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9.xml" ContentType="application/vnd.openxmlformats-officedocument.wordprocessingml.footer+xml"/>
  <Override PartName="/word/footer8.xml" ContentType="application/vnd.openxmlformats-officedocument.wordprocessingml.footer+xml"/>
  <Override PartName="/word/footer17.xml" ContentType="application/vnd.openxmlformats-officedocument.wordprocessingml.footer+xml"/>
  <Override PartName="/word/footer6.xml" ContentType="application/vnd.openxmlformats-officedocument.wordprocessingml.footer+xml"/>
  <Override PartName="/word/footer15.xml" ContentType="application/vnd.openxmlformats-officedocument.wordprocessingml.footer+xml"/>
  <Override PartName="/word/footer5.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10.xml" ContentType="application/vnd.openxmlformats-officedocument.wordprocessingml.footer+xml"/>
  <Override PartName="/word/header16.xml" ContentType="application/vnd.openxmlformats-officedocument.wordprocessingml.header+xml"/>
  <Override PartName="/word/styles.xml" ContentType="application/vnd.openxmlformats-officedocument.wordprocessingml.styles+xml"/>
  <Override PartName="/word/header9.xml" ContentType="application/vnd.openxmlformats-officedocument.wordprocessingml.header+xml"/>
  <Override PartName="/word/media/image4.wmf" ContentType="image/x-wmf"/>
  <Override PartName="/word/media/image1.png" ContentType="image/png"/>
  <Override PartName="/word/media/image6.wmf" ContentType="image/x-wmf"/>
  <Override PartName="/word/media/image5.wmf" ContentType="image/x-wmf"/>
  <Override PartName="/word/media/image2.wmf" ContentType="image/x-wmf"/>
  <Override PartName="/word/media/image3.wmf" ContentType="image/x-wmf"/>
  <Override PartName="/word/footer4.xml" ContentType="application/vnd.openxmlformats-officedocument.wordprocessingml.footer+xml"/>
  <Override PartName="/word/footer13.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header10.xml" ContentType="application/vnd.openxmlformats-officedocument.wordprocessingml.header+xml"/>
  <Override PartName="/word/footnotes.xml" ContentType="application/vnd.openxmlformats-officedocument.wordprocessingml.footnotes+xml"/>
  <Override PartName="/word/header1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header12.xml" ContentType="application/vnd.openxmlformats-officedocument.wordprocessingml.header+xml"/>
  <Override PartName="/word/header1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header15.xml" ContentType="application/vnd.openxmlformats-officedocument.wordprocessingml.header+xml"/>
  <Override PartName="/word/header2.xml" ContentType="application/vnd.openxmlformats-officedocument.wordprocessingml.header+xml"/>
  <Override PartName="/word/footer16.xml" ContentType="application/vnd.openxmlformats-officedocument.wordprocessingml.footer+xml"/>
  <Override PartName="/word/footer7.xml" ContentType="application/vnd.openxmlformats-officedocument.wordprocessingml.footer+xml"/>
  <Override PartName="/word/footer12.xml" ContentType="application/vnd.openxmlformats-officedocument.wordprocessingml.footer+xml"/>
  <Override PartName="/word/footer3.xml" ContentType="application/vnd.openxmlformats-officedocument.wordprocessingml.foot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4.xlsx" ContentType="application/vnd.openxmlformats-officedocument.spreadsheetml.sheet"/>
  <Override PartName="/word/embeddings/oleObject3.docx" ContentType="application/vnd.openxmlformats-officedocument.wordprocessingml.document"/>
  <Override PartName="/word/header8.xml" ContentType="application/vnd.openxmlformats-officedocument.wordprocessingml.header+xml"/>
  <Override PartName="/word/header3.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header7.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before="0" w:after="0"/>
        <w:ind w:left="0" w:right="0" w:hanging="0"/>
        <w:jc w:val="center"/>
        <w:rPr>
          <w:b/>
          <w:szCs w:val="28"/>
        </w:rPr>
      </w:pPr>
      <w:r>
        <w:rPr/>
        <w:drawing>
          <wp:inline distT="0" distB="0" distL="0" distR="0">
            <wp:extent cx="1536700" cy="5588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1536700" cy="558800"/>
                    </a:xfrm>
                    <a:prstGeom prst="rect">
                      <a:avLst/>
                    </a:prstGeom>
                  </pic:spPr>
                </pic:pic>
              </a:graphicData>
            </a:graphic>
          </wp:inline>
        </w:drawing>
      </w:r>
    </w:p>
    <w:p>
      <w:pPr>
        <w:pStyle w:val="Normal"/>
        <w:spacing w:before="0" w:after="0"/>
        <w:jc w:val="center"/>
        <w:rPr>
          <w:b/>
          <w:sz w:val="28"/>
          <w:szCs w:val="28"/>
        </w:rPr>
      </w:pPr>
      <w:r>
        <w:rPr>
          <w:b/>
          <w:bCs/>
          <w:sz w:val="28"/>
          <w:szCs w:val="28"/>
        </w:rPr>
        <w:t>Акционерное Общество</w:t>
      </w:r>
    </w:p>
    <w:p>
      <w:pPr>
        <w:pStyle w:val="Normal"/>
        <w:spacing w:before="0" w:after="0"/>
        <w:jc w:val="center"/>
        <w:rPr>
          <w:b/>
          <w:sz w:val="28"/>
          <w:szCs w:val="28"/>
        </w:rPr>
      </w:pPr>
      <w:r>
        <w:rPr>
          <w:b/>
          <w:sz w:val="28"/>
          <w:szCs w:val="28"/>
        </w:rPr>
        <w:t xml:space="preserve">«Дальневосточная распределительная сетевая </w:t>
      </w:r>
      <w:r>
        <w:rPr>
          <w:sz w:val="28"/>
          <w:szCs w:val="28"/>
        </w:rPr>
        <w:t xml:space="preserve"> </w:t>
      </w:r>
      <w:r>
        <w:rPr>
          <w:b/>
          <w:sz w:val="28"/>
          <w:szCs w:val="28"/>
        </w:rPr>
        <w:t>компания</w:t>
      </w:r>
    </w:p>
    <w:p>
      <w:pPr>
        <w:pStyle w:val="Normal"/>
        <w:ind w:left="4395" w:firstLine="1134"/>
        <w:rPr>
          <w:szCs w:val="28"/>
        </w:rPr>
      </w:pPr>
      <w:r>
        <w:rPr>
          <w:szCs w:val="28"/>
        </w:rPr>
      </w:r>
    </w:p>
    <w:p>
      <w:pPr>
        <w:pStyle w:val="Normal"/>
        <w:ind w:left="5529" w:hanging="0"/>
        <w:rPr/>
      </w:pPr>
      <w:r>
        <w:rPr/>
      </w:r>
    </w:p>
    <w:p>
      <w:pPr>
        <w:pStyle w:val="Normal"/>
        <w:ind w:left="5529" w:hanging="0"/>
        <w:rPr>
          <w:rFonts w:eastAsia="Calibri" w:cs="" w:cstheme="minorBidi" w:eastAsiaTheme="minorHAnsi"/>
          <w:highlight w:val="none"/>
          <w:shd w:fill="FFFF00" w:val="clear"/>
        </w:rPr>
      </w:pPr>
      <w:r>
        <w:rPr>
          <w:rFonts w:eastAsia="Calibri" w:cs="" w:cstheme="minorBidi" w:eastAsiaTheme="minorHAnsi"/>
          <w:shd w:fill="FFFF00" w:val="clear"/>
        </w:rPr>
      </w:r>
    </w:p>
    <w:p>
      <w:pPr>
        <w:pStyle w:val="Normal"/>
        <w:ind w:left="5529" w:hanging="0"/>
        <w:rPr>
          <w:rFonts w:eastAsia="Calibri" w:cs="" w:cstheme="minorBidi" w:eastAsiaTheme="minorHAnsi"/>
          <w:b/>
          <w:bCs/>
          <w:caps/>
          <w:highlight w:val="none"/>
          <w:shd w:fill="FFFF00" w:val="clear"/>
        </w:rPr>
      </w:pPr>
      <w:r>
        <w:rPr>
          <w:rFonts w:eastAsia="Calibri" w:cs="" w:cstheme="minorBidi" w:eastAsiaTheme="minorHAnsi"/>
          <w:b/>
          <w:bCs/>
          <w:caps/>
          <w:shd w:fill="FFFF00" w:val="clear"/>
        </w:rPr>
      </w:r>
    </w:p>
    <w:p>
      <w:pPr>
        <w:pStyle w:val="Normal"/>
        <w:spacing w:before="0" w:after="0"/>
        <w:jc w:val="right"/>
        <w:rPr>
          <w:b/>
          <w:sz w:val="20"/>
        </w:rPr>
      </w:pPr>
      <w:r>
        <w:rPr>
          <w:b/>
          <w:sz w:val="20"/>
        </w:rPr>
        <w:t xml:space="preserve"> </w:t>
      </w:r>
    </w:p>
    <w:p>
      <w:pPr>
        <w:pStyle w:val="Style25"/>
        <w:rPr/>
      </w:pPr>
      <w:r>
        <w:rPr/>
      </w:r>
    </w:p>
    <w:p>
      <w:pPr>
        <w:pStyle w:val="Style25"/>
        <w:rPr/>
      </w:pPr>
      <w:r>
        <w:rPr/>
      </w:r>
    </w:p>
    <w:p>
      <w:pPr>
        <w:pStyle w:val="Style25"/>
        <w:rPr/>
      </w:pPr>
      <w:r>
        <w:rPr/>
      </w:r>
    </w:p>
    <w:p>
      <w:pPr>
        <w:pStyle w:val="Style25"/>
        <w:rPr/>
      </w:pPr>
      <w:r>
        <w:rPr/>
      </w:r>
    </w:p>
    <w:p>
      <w:pPr>
        <w:pStyle w:val="Style25"/>
        <w:jc w:val="center"/>
        <w:rPr/>
      </w:pPr>
      <w:r>
        <w:rPr/>
      </w:r>
    </w:p>
    <w:p>
      <w:pPr>
        <w:pStyle w:val="Style25"/>
        <w:keepNext w:val="true"/>
        <w:numPr>
          <w:ilvl w:val="0"/>
          <w:numId w:val="0"/>
        </w:numPr>
        <w:ind w:left="0" w:hanging="0"/>
        <w:jc w:val="center"/>
        <w:outlineLvl w:val="2"/>
        <w:rPr>
          <w:b/>
          <w:bCs/>
          <w:caps/>
        </w:rPr>
      </w:pPr>
      <w:r>
        <w:rPr>
          <w:b/>
          <w:bCs/>
          <w:caps/>
        </w:rPr>
        <w:t>Документация о закупке</w:t>
      </w:r>
    </w:p>
    <w:p>
      <w:pPr>
        <w:pStyle w:val="Style25"/>
        <w:keepNext w:val="true"/>
        <w:spacing w:before="240" w:after="0"/>
        <w:jc w:val="center"/>
        <w:rPr>
          <w:rStyle w:val="Style4"/>
        </w:rPr>
      </w:pPr>
      <w:r>
        <w:rPr/>
        <w:t>Конкурс в электронной форме,</w:t>
        <w:br/>
        <w:t>участниками которого могут быть только субъекты МСП,</w:t>
        <w:br/>
        <w:t>на право заключения договора на право выполнения работ</w:t>
      </w:r>
      <w:r>
        <w:rPr>
          <w:b/>
          <w:bCs/>
        </w:rPr>
        <w:t> </w:t>
      </w:r>
      <w:r>
        <w:rPr>
          <w:rStyle w:val="Style4"/>
          <w:b/>
          <w:bCs/>
          <w:caps w:val="false"/>
          <w:smallCaps w:val="false"/>
          <w:strike w:val="false"/>
          <w:dstrike w:val="false"/>
          <w:color w:val="222222"/>
          <w:spacing w:val="0"/>
          <w:sz w:val="26"/>
          <w:szCs w:val="26"/>
          <w:u w:val="none"/>
          <w:effect w:val="none"/>
          <w:shd w:fill="auto" w:val="clear"/>
        </w:rPr>
        <w:t>«</w:t>
      </w:r>
      <w:r>
        <w:rPr>
          <w:rStyle w:val="Style4"/>
          <w:rFonts w:eastAsia="Times New Roman" w:cs="Times New Roman"/>
          <w:b/>
          <w:bCs/>
          <w:i w:val="false"/>
          <w:iCs w:val="false"/>
          <w:color w:val="000000"/>
          <w:kern w:val="0"/>
          <w:sz w:val="24"/>
          <w:szCs w:val="24"/>
          <w:shd w:fill="auto" w:val="clear"/>
          <w:lang w:eastAsia="en-US" w:bidi="ar-SA"/>
        </w:rPr>
        <w:t>ОКПД2 42.22.22.120. Реконструкция ВЛ 0,4-110 кВ на территории СП «Приморские  центральные электрические сети», СП «Приморские северные электрические сети»,  СП «Приморские южные электрические сети» расширение просеки в рамках инвестиционного проекта L_25-ПЭС-1708»</w:t>
      </w:r>
    </w:p>
    <w:p>
      <w:pPr>
        <w:pStyle w:val="Style25"/>
        <w:keepNext w:val="true"/>
        <w:spacing w:before="240" w:after="0"/>
        <w:jc w:val="center"/>
        <w:rPr>
          <w:rStyle w:val="Style4"/>
        </w:rPr>
      </w:pPr>
      <w:r>
        <w:rPr>
          <w:rStyle w:val="Style4"/>
          <w:b/>
          <w:bCs/>
          <w:i w:val="false"/>
          <w:iCs w:val="false"/>
          <w:shd w:fill="auto" w:val="clear"/>
        </w:rPr>
        <w:t xml:space="preserve">Лот </w:t>
      </w:r>
      <w:r>
        <w:rPr>
          <w:rStyle w:val="Style4"/>
          <w:rFonts w:eastAsia="Times New Roman" w:cs="Times New Roman"/>
          <w:b/>
          <w:bCs/>
          <w:i w:val="false"/>
          <w:iCs w:val="false"/>
          <w:color w:val="000000"/>
          <w:kern w:val="0"/>
          <w:sz w:val="24"/>
          <w:szCs w:val="24"/>
          <w:shd w:fill="auto" w:val="clear"/>
          <w:lang w:val="ru-RU" w:eastAsia="en-US" w:bidi="ar-SA"/>
        </w:rPr>
        <w:t>309101-ТПИР ОБСЛ-2026-ДРСК-ПЭС</w:t>
      </w:r>
      <w:r>
        <w:br w:type="page"/>
      </w:r>
    </w:p>
    <w:p>
      <w:pPr>
        <w:pStyle w:val="Style24"/>
        <w:numPr>
          <w:ilvl w:val="0"/>
          <w:numId w:val="0"/>
        </w:numPr>
        <w:ind w:left="0" w:hanging="0"/>
        <w:outlineLvl w:val="2"/>
        <w:rPr/>
      </w:pPr>
      <w:r>
        <w:rPr/>
        <w:t>Содержание</w:t>
      </w:r>
    </w:p>
    <w:sdt>
      <w:sdtPr>
        <w:docPartObj>
          <w:docPartGallery w:val="Table of Contents"/>
          <w:docPartUnique w:val="true"/>
        </w:docPartObj>
      </w:sdtPr>
      <w:sdtContent>
        <w:p>
          <w:pPr>
            <w:pStyle w:val="TOC1"/>
            <w:tabs>
              <w:tab w:val="clear" w:pos="9923"/>
              <w:tab w:val="left" w:pos="851" w:leader="none"/>
              <w:tab w:val="right" w:pos="9922" w:leader="dot"/>
            </w:tabs>
            <w:rPr/>
          </w:pPr>
          <w:r>
            <w:fldChar w:fldCharType="begin"/>
          </w:r>
          <w:r>
            <w:rPr>
              <w:webHidden/>
              <w:rStyle w:val="Style11"/>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Перечисление,5,Heading 6,6,Heading 6,6,Heading 7,7,Heading 7,7,Heading 8,8,Heading 8,8,Heading 9,9,Heading 9,9" \h</w:instrText>
          </w:r>
          <w:r>
            <w:rPr>
              <w:webHidden/>
              <w:rStyle w:val="Style11"/>
              <w:vanish w:val="false"/>
            </w:rPr>
            <w:fldChar w:fldCharType="separate"/>
          </w:r>
          <w:hyperlink w:anchor="__RefHeading___Toc192495_1558056896">
            <w:r>
              <w:rPr>
                <w:webHidden/>
                <w:rStyle w:val="Style11"/>
                <w:vanish w:val="false"/>
              </w:rPr>
              <w:tab/>
              <w:t>Сокращения</w:t>
              <w:tab/>
              <w:t>5</w:t>
            </w:r>
          </w:hyperlink>
        </w:p>
        <w:p>
          <w:pPr>
            <w:pStyle w:val="TOC1"/>
            <w:tabs>
              <w:tab w:val="clear" w:pos="9923"/>
              <w:tab w:val="left" w:pos="851" w:leader="none"/>
              <w:tab w:val="right" w:pos="9922" w:leader="dot"/>
            </w:tabs>
            <w:rPr/>
          </w:pPr>
          <w:hyperlink w:anchor="__RefHeading___Toc192497_1558056896">
            <w:r>
              <w:rPr>
                <w:webHidden/>
                <w:rStyle w:val="Style11"/>
                <w:vanish w:val="false"/>
              </w:rPr>
              <w:tab/>
              <w:t>Термины и определения</w:t>
              <w:tab/>
              <w:t>7</w:t>
            </w:r>
          </w:hyperlink>
        </w:p>
        <w:p>
          <w:pPr>
            <w:pStyle w:val="TOC1"/>
            <w:tabs>
              <w:tab w:val="clear" w:pos="9923"/>
              <w:tab w:val="left" w:pos="851" w:leader="none"/>
              <w:tab w:val="right" w:pos="9922" w:leader="dot"/>
            </w:tabs>
            <w:rPr/>
          </w:pPr>
          <w:hyperlink w:anchor="__RefHeading___Toc192499_1558056896">
            <w:r>
              <w:rPr>
                <w:webHidden/>
                <w:rStyle w:val="Style11"/>
                <w:vanish w:val="false"/>
              </w:rPr>
              <w:t>1.</w:t>
              <w:tab/>
              <w:t>Основные сведения о закупке</w:t>
              <w:tab/>
              <w:t>12</w:t>
            </w:r>
          </w:hyperlink>
        </w:p>
        <w:p>
          <w:pPr>
            <w:pStyle w:val="TOC2"/>
            <w:tabs>
              <w:tab w:val="clear" w:pos="9923"/>
              <w:tab w:val="left" w:pos="851" w:leader="none"/>
              <w:tab w:val="right" w:pos="9922" w:leader="dot"/>
            </w:tabs>
            <w:rPr/>
          </w:pPr>
          <w:hyperlink w:anchor="__RefHeading___Toc192501_1558056896">
            <w:r>
              <w:rPr>
                <w:webHidden/>
                <w:rStyle w:val="Style11"/>
                <w:vanish w:val="false"/>
              </w:rPr>
              <w:t>1.1</w:t>
              <w:tab/>
              <w:t>Статус настоящего раздела</w:t>
              <w:tab/>
              <w:t>12</w:t>
            </w:r>
          </w:hyperlink>
        </w:p>
        <w:p>
          <w:pPr>
            <w:pStyle w:val="TOC2"/>
            <w:tabs>
              <w:tab w:val="clear" w:pos="9923"/>
              <w:tab w:val="left" w:pos="851" w:leader="none"/>
              <w:tab w:val="right" w:pos="9922" w:leader="dot"/>
            </w:tabs>
            <w:rPr/>
          </w:pPr>
          <w:hyperlink w:anchor="__RefHeading___Toc192503_1558056896">
            <w:r>
              <w:rPr>
                <w:webHidden/>
                <w:rStyle w:val="Style11"/>
                <w:vanish w:val="false"/>
              </w:rPr>
              <w:t>1.2</w:t>
              <w:tab/>
              <w:t>Информация о проводимой закупке</w:t>
              <w:tab/>
              <w:t>12</w:t>
            </w:r>
          </w:hyperlink>
        </w:p>
        <w:p>
          <w:pPr>
            <w:pStyle w:val="TOC1"/>
            <w:tabs>
              <w:tab w:val="clear" w:pos="9923"/>
              <w:tab w:val="left" w:pos="851" w:leader="none"/>
              <w:tab w:val="right" w:pos="9922" w:leader="dot"/>
            </w:tabs>
            <w:rPr/>
          </w:pPr>
          <w:hyperlink w:anchor="__RefHeading___Toc192505_1558056896">
            <w:r>
              <w:rPr>
                <w:webHidden/>
                <w:rStyle w:val="Style11"/>
                <w:vanish w:val="false"/>
              </w:rPr>
              <w:t>2.</w:t>
              <w:tab/>
              <w:t>Общие положения</w:t>
              <w:tab/>
              <w:t>18</w:t>
            </w:r>
          </w:hyperlink>
        </w:p>
        <w:p>
          <w:pPr>
            <w:pStyle w:val="TOC2"/>
            <w:tabs>
              <w:tab w:val="clear" w:pos="9923"/>
              <w:tab w:val="left" w:pos="851" w:leader="none"/>
              <w:tab w:val="right" w:pos="9922" w:leader="dot"/>
            </w:tabs>
            <w:rPr/>
          </w:pPr>
          <w:hyperlink w:anchor="__RefHeading___Toc192507_1558056896">
            <w:r>
              <w:rPr>
                <w:webHidden/>
                <w:rStyle w:val="Style11"/>
                <w:vanish w:val="false"/>
              </w:rPr>
              <w:t>2.1</w:t>
              <w:tab/>
              <w:t>Общие сведения о закупке</w:t>
              <w:tab/>
              <w:t>18</w:t>
            </w:r>
          </w:hyperlink>
        </w:p>
        <w:p>
          <w:pPr>
            <w:pStyle w:val="TOC2"/>
            <w:tabs>
              <w:tab w:val="clear" w:pos="9923"/>
              <w:tab w:val="left" w:pos="851" w:leader="none"/>
              <w:tab w:val="right" w:pos="9922" w:leader="dot"/>
            </w:tabs>
            <w:rPr/>
          </w:pPr>
          <w:hyperlink w:anchor="__RefHeading___Toc192509_1558056896">
            <w:r>
              <w:rPr>
                <w:webHidden/>
                <w:rStyle w:val="Style11"/>
                <w:vanish w:val="false"/>
              </w:rPr>
              <w:t>2.2</w:t>
              <w:tab/>
              <w:t>Правовой статус документов</w:t>
              <w:tab/>
              <w:t>18</w:t>
            </w:r>
          </w:hyperlink>
        </w:p>
        <w:p>
          <w:pPr>
            <w:pStyle w:val="TOC2"/>
            <w:tabs>
              <w:tab w:val="clear" w:pos="9923"/>
              <w:tab w:val="left" w:pos="851" w:leader="none"/>
              <w:tab w:val="right" w:pos="9922" w:leader="dot"/>
            </w:tabs>
            <w:rPr/>
          </w:pPr>
          <w:hyperlink w:anchor="__RefHeading___Toc192511_1558056896">
            <w:r>
              <w:rPr>
                <w:webHidden/>
                <w:rStyle w:val="Style11"/>
                <w:vanish w:val="false"/>
              </w:rPr>
              <w:t>2.3</w:t>
              <w:tab/>
              <w:t>Обжалование</w:t>
              <w:tab/>
              <w:t>18</w:t>
            </w:r>
          </w:hyperlink>
        </w:p>
        <w:p>
          <w:pPr>
            <w:pStyle w:val="TOC2"/>
            <w:tabs>
              <w:tab w:val="clear" w:pos="9923"/>
              <w:tab w:val="left" w:pos="851" w:leader="none"/>
              <w:tab w:val="right" w:pos="9922" w:leader="dot"/>
            </w:tabs>
            <w:rPr/>
          </w:pPr>
          <w:hyperlink w:anchor="__RefHeading___Toc192513_1558056896">
            <w:r>
              <w:rPr>
                <w:webHidden/>
                <w:rStyle w:val="Style11"/>
                <w:vanish w:val="false"/>
              </w:rPr>
              <w:t>2.4</w:t>
              <w:tab/>
              <w:t>Особые положения при проведении закупки с использованием ЭП</w:t>
              <w:tab/>
              <w:t>19</w:t>
            </w:r>
          </w:hyperlink>
        </w:p>
        <w:p>
          <w:pPr>
            <w:pStyle w:val="TOC2"/>
            <w:tabs>
              <w:tab w:val="clear" w:pos="9923"/>
              <w:tab w:val="left" w:pos="851" w:leader="none"/>
              <w:tab w:val="right" w:pos="9922" w:leader="dot"/>
            </w:tabs>
            <w:rPr/>
          </w:pPr>
          <w:hyperlink w:anchor="__RefHeading___Toc192515_1558056896">
            <w:r>
              <w:rPr>
                <w:webHidden/>
                <w:rStyle w:val="Style11"/>
                <w:vanish w:val="false"/>
              </w:rPr>
              <w:t>2.5</w:t>
              <w:tab/>
              <w:t>Прочие положения</w:t>
              <w:tab/>
              <w:t>20</w:t>
            </w:r>
          </w:hyperlink>
        </w:p>
        <w:p>
          <w:pPr>
            <w:pStyle w:val="TOC1"/>
            <w:tabs>
              <w:tab w:val="clear" w:pos="9923"/>
              <w:tab w:val="left" w:pos="851" w:leader="none"/>
              <w:tab w:val="right" w:pos="9922" w:leader="dot"/>
            </w:tabs>
            <w:rPr/>
          </w:pPr>
          <w:hyperlink w:anchor="__RefHeading___Toc192517_1558056896">
            <w:r>
              <w:rPr>
                <w:webHidden/>
                <w:rStyle w:val="Style11"/>
                <w:vanish w:val="false"/>
              </w:rPr>
              <w:t>3.</w:t>
              <w:tab/>
              <w:t>Требования к Участникам</w:t>
              <w:tab/>
              <w:t>21</w:t>
            </w:r>
          </w:hyperlink>
        </w:p>
        <w:p>
          <w:pPr>
            <w:pStyle w:val="TOC2"/>
            <w:tabs>
              <w:tab w:val="clear" w:pos="9923"/>
              <w:tab w:val="left" w:pos="851" w:leader="none"/>
              <w:tab w:val="right" w:pos="9922" w:leader="dot"/>
            </w:tabs>
            <w:rPr/>
          </w:pPr>
          <w:hyperlink w:anchor="__RefHeading___Toc192519_1558056896">
            <w:r>
              <w:rPr>
                <w:webHidden/>
                <w:rStyle w:val="Style11"/>
                <w:vanish w:val="false"/>
              </w:rPr>
              <w:t>3.1</w:t>
              <w:tab/>
              <w:t>Общие требования к Участникам</w:t>
              <w:tab/>
              <w:t>21</w:t>
            </w:r>
          </w:hyperlink>
        </w:p>
        <w:p>
          <w:pPr>
            <w:pStyle w:val="TOC2"/>
            <w:tabs>
              <w:tab w:val="clear" w:pos="9923"/>
              <w:tab w:val="left" w:pos="851" w:leader="none"/>
              <w:tab w:val="right" w:pos="9922" w:leader="dot"/>
            </w:tabs>
            <w:rPr/>
          </w:pPr>
          <w:hyperlink w:anchor="__RefHeading___Toc192521_1558056896">
            <w:r>
              <w:rPr>
                <w:webHidden/>
                <w:rStyle w:val="Style11"/>
                <w:vanish w:val="false"/>
              </w:rPr>
              <w:t>3.2</w:t>
              <w:tab/>
            </w:r>
          </w:hyperlink>
          <w:hyperlink w:anchor="__RefHeading___Toc192523_1558056896">
            <w:r>
              <w:rPr>
                <w:webHidden/>
                <w:rStyle w:val="Style11"/>
                <w:vanish w:val="false"/>
              </w:rPr>
              <w:t>Генеральные подрядчики</w:t>
              <w:tab/>
              <w:t>22</w:t>
            </w:r>
          </w:hyperlink>
        </w:p>
        <w:p>
          <w:pPr>
            <w:pStyle w:val="TOC1"/>
            <w:tabs>
              <w:tab w:val="clear" w:pos="9923"/>
              <w:tab w:val="left" w:pos="851" w:leader="none"/>
              <w:tab w:val="right" w:pos="9922" w:leader="dot"/>
            </w:tabs>
            <w:rPr/>
          </w:pPr>
          <w:hyperlink w:anchor="__RefHeading___Toc192525_1558056896">
            <w:r>
              <w:rPr>
                <w:webHidden/>
                <w:rStyle w:val="Style11"/>
                <w:vanish w:val="false"/>
              </w:rPr>
              <w:t>4.</w:t>
              <w:tab/>
              <w:t>Порядок проведения закупки</w:t>
              <w:tab/>
              <w:t>24</w:t>
            </w:r>
          </w:hyperlink>
        </w:p>
        <w:p>
          <w:pPr>
            <w:pStyle w:val="TOC2"/>
            <w:tabs>
              <w:tab w:val="clear" w:pos="9923"/>
              <w:tab w:val="left" w:pos="851" w:leader="none"/>
              <w:tab w:val="right" w:pos="9922" w:leader="dot"/>
            </w:tabs>
            <w:rPr/>
          </w:pPr>
          <w:hyperlink w:anchor="__RefHeading___Toc192527_1558056896">
            <w:r>
              <w:rPr>
                <w:webHidden/>
                <w:rStyle w:val="Style11"/>
                <w:vanish w:val="false"/>
              </w:rPr>
              <w:t>4.1</w:t>
              <w:tab/>
              <w:t>Общий порядок проведения закупки</w:t>
              <w:tab/>
              <w:t>24</w:t>
            </w:r>
          </w:hyperlink>
        </w:p>
        <w:p>
          <w:pPr>
            <w:pStyle w:val="TOC2"/>
            <w:tabs>
              <w:tab w:val="clear" w:pos="9923"/>
              <w:tab w:val="left" w:pos="851" w:leader="none"/>
              <w:tab w:val="right" w:pos="9922" w:leader="dot"/>
            </w:tabs>
            <w:rPr/>
          </w:pPr>
          <w:hyperlink w:anchor="__RefHeading___Toc192529_1558056896">
            <w:r>
              <w:rPr>
                <w:webHidden/>
                <w:rStyle w:val="Style11"/>
                <w:vanish w:val="false"/>
              </w:rPr>
              <w:t>4.2</w:t>
              <w:tab/>
              <w:t>Официальное размещение Извещения и Документации о закупке</w:t>
              <w:tab/>
              <w:t>26</w:t>
            </w:r>
          </w:hyperlink>
        </w:p>
        <w:p>
          <w:pPr>
            <w:pStyle w:val="TOC2"/>
            <w:tabs>
              <w:tab w:val="clear" w:pos="9923"/>
              <w:tab w:val="left" w:pos="851" w:leader="none"/>
              <w:tab w:val="right" w:pos="9922" w:leader="dot"/>
            </w:tabs>
            <w:rPr/>
          </w:pPr>
          <w:hyperlink w:anchor="__RefHeading___Toc192531_1558056896">
            <w:r>
              <w:rPr>
                <w:webHidden/>
                <w:rStyle w:val="Style11"/>
                <w:vanish w:val="false"/>
              </w:rPr>
              <w:t>4.3</w:t>
              <w:tab/>
              <w:t>Подготовка заявки</w:t>
              <w:tab/>
              <w:t>26</w:t>
            </w:r>
          </w:hyperlink>
        </w:p>
        <w:p>
          <w:pPr>
            <w:pStyle w:val="TOC2"/>
            <w:tabs>
              <w:tab w:val="clear" w:pos="9923"/>
              <w:tab w:val="left" w:pos="851" w:leader="none"/>
              <w:tab w:val="right" w:pos="9922" w:leader="dot"/>
            </w:tabs>
            <w:rPr/>
          </w:pPr>
          <w:hyperlink w:anchor="__RefHeading___Toc192533_1558056896">
            <w:r>
              <w:rPr>
                <w:webHidden/>
                <w:rStyle w:val="Style11"/>
                <w:vanish w:val="false"/>
              </w:rPr>
              <w:t>4.4</w:t>
              <w:tab/>
              <w:t>Разъяснение Документации о закупке</w:t>
              <w:tab/>
              <w:t>28</w:t>
            </w:r>
          </w:hyperlink>
        </w:p>
        <w:p>
          <w:pPr>
            <w:pStyle w:val="TOC2"/>
            <w:tabs>
              <w:tab w:val="clear" w:pos="9923"/>
              <w:tab w:val="left" w:pos="851" w:leader="none"/>
              <w:tab w:val="right" w:pos="9922" w:leader="dot"/>
            </w:tabs>
            <w:rPr/>
          </w:pPr>
          <w:hyperlink w:anchor="__RefHeading___Toc192535_1558056896">
            <w:r>
              <w:rPr>
                <w:webHidden/>
                <w:rStyle w:val="Style11"/>
                <w:vanish w:val="false"/>
              </w:rPr>
              <w:t>4.5</w:t>
              <w:tab/>
              <w:t>Изменения Извещения и (или) Документации о закупке</w:t>
              <w:tab/>
              <w:t>29</w:t>
            </w:r>
          </w:hyperlink>
        </w:p>
        <w:p>
          <w:pPr>
            <w:pStyle w:val="TOC2"/>
            <w:tabs>
              <w:tab w:val="clear" w:pos="9923"/>
              <w:tab w:val="left" w:pos="851" w:leader="none"/>
              <w:tab w:val="right" w:pos="9922" w:leader="dot"/>
            </w:tabs>
            <w:rPr/>
          </w:pPr>
          <w:hyperlink w:anchor="__RefHeading___Toc192537_1558056896">
            <w:r>
              <w:rPr>
                <w:webHidden/>
                <w:rStyle w:val="Style11"/>
                <w:vanish w:val="false"/>
              </w:rPr>
              <w:t>4.6</w:t>
              <w:tab/>
              <w:t>Подача заявок и их прием</w:t>
              <w:tab/>
              <w:t>29</w:t>
            </w:r>
          </w:hyperlink>
        </w:p>
        <w:p>
          <w:pPr>
            <w:pStyle w:val="TOC2"/>
            <w:tabs>
              <w:tab w:val="clear" w:pos="9923"/>
              <w:tab w:val="left" w:pos="851" w:leader="none"/>
              <w:tab w:val="right" w:pos="9922" w:leader="dot"/>
            </w:tabs>
            <w:rPr/>
          </w:pPr>
          <w:hyperlink w:anchor="__RefHeading___Toc192539_1558056896">
            <w:r>
              <w:rPr>
                <w:webHidden/>
                <w:rStyle w:val="Style11"/>
                <w:vanish w:val="false"/>
              </w:rPr>
              <w:t>4.7</w:t>
              <w:tab/>
              <w:t>Изменение и отзыв заявок</w:t>
              <w:tab/>
              <w:t>30</w:t>
            </w:r>
          </w:hyperlink>
        </w:p>
        <w:p>
          <w:pPr>
            <w:pStyle w:val="TOC2"/>
            <w:tabs>
              <w:tab w:val="clear" w:pos="9923"/>
              <w:tab w:val="left" w:pos="851" w:leader="none"/>
              <w:tab w:val="right" w:pos="9922" w:leader="dot"/>
            </w:tabs>
            <w:rPr/>
          </w:pPr>
          <w:hyperlink w:anchor="__RefHeading___Toc192541_1558056896">
            <w:r>
              <w:rPr>
                <w:webHidden/>
                <w:rStyle w:val="Style11"/>
                <w:vanish w:val="false"/>
              </w:rPr>
              <w:t>4.8</w:t>
              <w:tab/>
              <w:t>Открытие доступа к первым частям заявок</w:t>
              <w:tab/>
              <w:t>30</w:t>
            </w:r>
          </w:hyperlink>
        </w:p>
        <w:p>
          <w:pPr>
            <w:pStyle w:val="TOC2"/>
            <w:tabs>
              <w:tab w:val="clear" w:pos="9923"/>
              <w:tab w:val="left" w:pos="851" w:leader="none"/>
              <w:tab w:val="right" w:pos="9922" w:leader="dot"/>
            </w:tabs>
            <w:rPr/>
          </w:pPr>
          <w:hyperlink w:anchor="__RefHeading___Toc192543_1558056896">
            <w:r>
              <w:rPr>
                <w:webHidden/>
                <w:rStyle w:val="Style11"/>
                <w:vanish w:val="false"/>
              </w:rPr>
              <w:t>4.9</w:t>
              <w:tab/>
              <w:t>Рассмотрение первых частей заявок / окончательных предложений (отборочная стадия)</w:t>
              <w:tab/>
              <w:t>30</w:t>
            </w:r>
          </w:hyperlink>
        </w:p>
        <w:p>
          <w:pPr>
            <w:pStyle w:val="TOC2"/>
            <w:tabs>
              <w:tab w:val="clear" w:pos="9923"/>
              <w:tab w:val="left" w:pos="851" w:leader="none"/>
              <w:tab w:val="right" w:pos="9922" w:leader="dot"/>
            </w:tabs>
            <w:rPr/>
          </w:pPr>
          <w:hyperlink w:anchor="__RefHeading___Toc192545_1558056896">
            <w:r>
              <w:rPr>
                <w:webHidden/>
                <w:rStyle w:val="Style11"/>
                <w:vanish w:val="false"/>
              </w:rPr>
              <w:t>4.10</w:t>
              <w:tab/>
              <w:t>Открытие доступа ко вторым частям заявок и ценовым предложениям</w:t>
              <w:tab/>
              <w:t>31</w:t>
            </w:r>
          </w:hyperlink>
        </w:p>
        <w:p>
          <w:pPr>
            <w:pStyle w:val="TOC2"/>
            <w:tabs>
              <w:tab w:val="clear" w:pos="9923"/>
              <w:tab w:val="left" w:pos="851" w:leader="none"/>
              <w:tab w:val="right" w:pos="9922" w:leader="dot"/>
            </w:tabs>
            <w:rPr/>
          </w:pPr>
          <w:hyperlink w:anchor="__RefHeading___Toc192547_1558056896">
            <w:r>
              <w:rPr>
                <w:webHidden/>
                <w:rStyle w:val="Style11"/>
                <w:vanish w:val="false"/>
              </w:rPr>
              <w:t>4.11</w:t>
              <w:tab/>
              <w:t>Рассмотрение вторых частей заявок (отборочная стадия), в том числе (при необходимости) проведение аккредитации, и ценовых предложений</w:t>
              <w:tab/>
              <w:t>31</w:t>
            </w:r>
          </w:hyperlink>
        </w:p>
        <w:p>
          <w:pPr>
            <w:pStyle w:val="TOC2"/>
            <w:tabs>
              <w:tab w:val="clear" w:pos="9923"/>
              <w:tab w:val="left" w:pos="851" w:leader="none"/>
              <w:tab w:val="right" w:pos="9922" w:leader="dot"/>
            </w:tabs>
            <w:rPr/>
          </w:pPr>
          <w:hyperlink w:anchor="__RefHeading___Toc192549_1558056896">
            <w:r>
              <w:rPr>
                <w:webHidden/>
                <w:rStyle w:val="Style11"/>
                <w:vanish w:val="false"/>
              </w:rPr>
              <w:t>4.12</w:t>
              <w:tab/>
              <w:t>Дополнительные запросы разъяснений заявок</w:t>
              <w:tab/>
              <w:t>33</w:t>
            </w:r>
          </w:hyperlink>
        </w:p>
        <w:p>
          <w:pPr>
            <w:pStyle w:val="TOC2"/>
            <w:tabs>
              <w:tab w:val="clear" w:pos="9923"/>
              <w:tab w:val="left" w:pos="851" w:leader="none"/>
              <w:tab w:val="right" w:pos="9922" w:leader="dot"/>
            </w:tabs>
            <w:rPr/>
          </w:pPr>
          <w:hyperlink w:anchor="__RefHeading___Toc192551_1558056896">
            <w:r>
              <w:rPr>
                <w:webHidden/>
                <w:rStyle w:val="Style11"/>
                <w:vanish w:val="false"/>
              </w:rPr>
              <w:t>4.13</w:t>
              <w:tab/>
              <w:t>Оценка и сопоставление заявок</w:t>
              <w:tab/>
              <w:t>34</w:t>
            </w:r>
          </w:hyperlink>
        </w:p>
        <w:p>
          <w:pPr>
            <w:pStyle w:val="TOC2"/>
            <w:tabs>
              <w:tab w:val="clear" w:pos="9923"/>
              <w:tab w:val="left" w:pos="851" w:leader="none"/>
              <w:tab w:val="right" w:pos="9922" w:leader="dot"/>
            </w:tabs>
            <w:rPr/>
          </w:pPr>
          <w:hyperlink w:anchor="__RefHeading___Toc192553_1558056896">
            <w:r>
              <w:rPr>
                <w:webHidden/>
                <w:rStyle w:val="Style11"/>
                <w:vanish w:val="false"/>
              </w:rPr>
              <w:t>4.14</w:t>
              <w:tab/>
              <w:t>Применение законодательства о национальном режиме</w:t>
              <w:tab/>
              <w:t>34</w:t>
            </w:r>
          </w:hyperlink>
        </w:p>
        <w:p>
          <w:pPr>
            <w:pStyle w:val="TOC2"/>
            <w:tabs>
              <w:tab w:val="clear" w:pos="9923"/>
              <w:tab w:val="left" w:pos="851" w:leader="none"/>
              <w:tab w:val="right" w:pos="9922" w:leader="dot"/>
            </w:tabs>
            <w:rPr/>
          </w:pPr>
          <w:hyperlink w:anchor="__RefHeading___Toc192555_1558056896">
            <w:r>
              <w:rPr>
                <w:webHidden/>
                <w:rStyle w:val="Style11"/>
                <w:vanish w:val="false"/>
              </w:rPr>
              <w:t>4.15</w:t>
              <w:tab/>
              <w:t>Подведение итогов закупки (определение Победителя)</w:t>
              <w:tab/>
              <w:t>35</w:t>
            </w:r>
          </w:hyperlink>
        </w:p>
        <w:p>
          <w:pPr>
            <w:pStyle w:val="TOC2"/>
            <w:tabs>
              <w:tab w:val="clear" w:pos="9923"/>
              <w:tab w:val="left" w:pos="851" w:leader="none"/>
              <w:tab w:val="right" w:pos="9922" w:leader="dot"/>
            </w:tabs>
            <w:rPr/>
          </w:pPr>
          <w:hyperlink w:anchor="__RefHeading___Toc192557_1558056896">
            <w:r>
              <w:rPr>
                <w:webHidden/>
                <w:rStyle w:val="Style11"/>
                <w:vanish w:val="false"/>
              </w:rPr>
              <w:t>4.16</w:t>
              <w:tab/>
              <w:t>Признание закупки несостоявшейся</w:t>
              <w:tab/>
              <w:t>36</w:t>
            </w:r>
          </w:hyperlink>
        </w:p>
        <w:p>
          <w:pPr>
            <w:pStyle w:val="TOC2"/>
            <w:tabs>
              <w:tab w:val="clear" w:pos="9923"/>
              <w:tab w:val="left" w:pos="851" w:leader="none"/>
              <w:tab w:val="right" w:pos="9922" w:leader="dot"/>
            </w:tabs>
            <w:rPr/>
          </w:pPr>
          <w:hyperlink w:anchor="__RefHeading___Toc192559_1558056896">
            <w:r>
              <w:rPr>
                <w:webHidden/>
                <w:rStyle w:val="Style11"/>
                <w:vanish w:val="false"/>
              </w:rPr>
              <w:t>4.17</w:t>
              <w:tab/>
              <w:t>Отказ от проведения закупки (отмена закупки)</w:t>
              <w:tab/>
              <w:t>37</w:t>
            </w:r>
          </w:hyperlink>
        </w:p>
        <w:p>
          <w:pPr>
            <w:pStyle w:val="TOC2"/>
            <w:tabs>
              <w:tab w:val="clear" w:pos="9923"/>
              <w:tab w:val="left" w:pos="851" w:leader="none"/>
              <w:tab w:val="right" w:pos="9922" w:leader="dot"/>
            </w:tabs>
            <w:rPr/>
          </w:pPr>
          <w:hyperlink w:anchor="__RefHeading___Toc192561_1558056896">
            <w:r>
              <w:rPr>
                <w:webHidden/>
                <w:rStyle w:val="Style11"/>
                <w:vanish w:val="false"/>
              </w:rPr>
              <w:t>4.18</w:t>
              <w:tab/>
              <w:t>Особенности проведения закупки с необходимостью обеспечения заявки</w:t>
              <w:tab/>
              <w:t>37</w:t>
            </w:r>
          </w:hyperlink>
        </w:p>
        <w:p>
          <w:pPr>
            <w:pStyle w:val="TOC2"/>
            <w:tabs>
              <w:tab w:val="clear" w:pos="9923"/>
              <w:tab w:val="left" w:pos="851" w:leader="none"/>
              <w:tab w:val="right" w:pos="9922" w:leader="dot"/>
            </w:tabs>
            <w:rPr/>
          </w:pPr>
          <w:hyperlink w:anchor="__RefHeading___Toc192563_1558056896">
            <w:r>
              <w:rPr>
                <w:webHidden/>
                <w:rStyle w:val="Style11"/>
                <w:vanish w:val="false"/>
              </w:rPr>
              <w:t>4.19</w:t>
              <w:tab/>
              <w:t>Особенности проведения многолотовой закупки</w:t>
              <w:tab/>
              <w:t>40</w:t>
            </w:r>
          </w:hyperlink>
        </w:p>
        <w:p>
          <w:pPr>
            <w:pStyle w:val="TOC1"/>
            <w:tabs>
              <w:tab w:val="clear" w:pos="9923"/>
              <w:tab w:val="left" w:pos="851" w:leader="none"/>
              <w:tab w:val="right" w:pos="9922" w:leader="dot"/>
            </w:tabs>
            <w:rPr/>
          </w:pPr>
          <w:hyperlink w:anchor="__RefHeading___Toc192565_1558056896">
            <w:r>
              <w:rPr>
                <w:webHidden/>
                <w:rStyle w:val="Style11"/>
                <w:vanish w:val="false"/>
              </w:rPr>
              <w:t>5.</w:t>
              <w:tab/>
              <w:t>Порядок заключения Договора</w:t>
              <w:tab/>
              <w:t>41</w:t>
            </w:r>
          </w:hyperlink>
        </w:p>
        <w:p>
          <w:pPr>
            <w:pStyle w:val="TOC2"/>
            <w:tabs>
              <w:tab w:val="clear" w:pos="9923"/>
              <w:tab w:val="left" w:pos="851" w:leader="none"/>
              <w:tab w:val="right" w:pos="9922" w:leader="dot"/>
            </w:tabs>
            <w:rPr/>
          </w:pPr>
          <w:hyperlink w:anchor="__RefHeading___Toc192567_1558056896">
            <w:r>
              <w:rPr>
                <w:webHidden/>
                <w:rStyle w:val="Style11"/>
                <w:vanish w:val="false"/>
              </w:rPr>
              <w:t>5.1</w:t>
              <w:tab/>
              <w:t>Общие положения</w:t>
              <w:tab/>
              <w:t>41</w:t>
            </w:r>
          </w:hyperlink>
        </w:p>
        <w:p>
          <w:pPr>
            <w:pStyle w:val="TOC2"/>
            <w:tabs>
              <w:tab w:val="clear" w:pos="9923"/>
              <w:tab w:val="left" w:pos="851" w:leader="none"/>
              <w:tab w:val="right" w:pos="9922" w:leader="dot"/>
            </w:tabs>
            <w:rPr/>
          </w:pPr>
          <w:hyperlink w:anchor="__RefHeading___Toc192569_1558056896">
            <w:r>
              <w:rPr>
                <w:webHidden/>
                <w:rStyle w:val="Style11"/>
                <w:vanish w:val="false"/>
              </w:rPr>
              <w:t>5.2</w:t>
              <w:tab/>
              <w:t>Заключение Договора</w:t>
              <w:tab/>
              <w:t>41</w:t>
            </w:r>
          </w:hyperlink>
        </w:p>
        <w:p>
          <w:pPr>
            <w:pStyle w:val="TOC2"/>
            <w:tabs>
              <w:tab w:val="clear" w:pos="9923"/>
              <w:tab w:val="left" w:pos="851" w:leader="none"/>
              <w:tab w:val="right" w:pos="9922" w:leader="dot"/>
            </w:tabs>
            <w:rPr/>
          </w:pPr>
          <w:hyperlink w:anchor="__RefHeading___Toc192571_1558056896">
            <w:r>
              <w:rPr>
                <w:webHidden/>
                <w:rStyle w:val="Style11"/>
                <w:vanish w:val="false"/>
              </w:rPr>
              <w:t>5.3</w:t>
              <w:tab/>
              <w:t>Уклонение Победителя от заключения Договора</w:t>
              <w:tab/>
              <w:t>42</w:t>
            </w:r>
          </w:hyperlink>
        </w:p>
        <w:p>
          <w:pPr>
            <w:pStyle w:val="TOC1"/>
            <w:tabs>
              <w:tab w:val="clear" w:pos="9923"/>
              <w:tab w:val="left" w:pos="851" w:leader="none"/>
              <w:tab w:val="right" w:pos="9922" w:leader="dot"/>
            </w:tabs>
            <w:rPr/>
          </w:pPr>
          <w:hyperlink w:anchor="__RefHeading___Toc192573_1558056896">
            <w:r>
              <w:rPr>
                <w:webHidden/>
                <w:rStyle w:val="Style11"/>
                <w:vanish w:val="false"/>
              </w:rPr>
              <w:t>6.</w:t>
              <w:tab/>
              <w:t>Приложение № 1 – Технические требования</w:t>
              <w:tab/>
              <w:t>44</w:t>
            </w:r>
          </w:hyperlink>
        </w:p>
        <w:p>
          <w:pPr>
            <w:pStyle w:val="TOC2"/>
            <w:tabs>
              <w:tab w:val="clear" w:pos="9923"/>
              <w:tab w:val="left" w:pos="851" w:leader="none"/>
              <w:tab w:val="right" w:pos="9922" w:leader="dot"/>
            </w:tabs>
            <w:rPr/>
          </w:pPr>
          <w:hyperlink w:anchor="__RefHeading___Toc192575_1558056896">
            <w:r>
              <w:rPr>
                <w:webHidden/>
                <w:rStyle w:val="Style11"/>
                <w:vanish w:val="false"/>
              </w:rPr>
              <w:t>6.1</w:t>
              <w:tab/>
              <w:t>Пояснения к Техническим требованиям</w:t>
              <w:tab/>
              <w:t>44</w:t>
            </w:r>
          </w:hyperlink>
        </w:p>
        <w:p>
          <w:pPr>
            <w:pStyle w:val="TOC1"/>
            <w:tabs>
              <w:tab w:val="clear" w:pos="9923"/>
              <w:tab w:val="left" w:pos="851" w:leader="none"/>
              <w:tab w:val="right" w:pos="9922" w:leader="dot"/>
            </w:tabs>
            <w:rPr/>
          </w:pPr>
          <w:hyperlink w:anchor="__RefHeading___Toc192577_1558056896">
            <w:r>
              <w:rPr>
                <w:webHidden/>
                <w:rStyle w:val="Style11"/>
                <w:vanish w:val="false"/>
              </w:rPr>
              <w:t>7.</w:t>
              <w:tab/>
              <w:t>Приложение № 2 – Проект договора</w:t>
              <w:tab/>
              <w:t>45</w:t>
            </w:r>
          </w:hyperlink>
        </w:p>
        <w:p>
          <w:pPr>
            <w:pStyle w:val="TOC2"/>
            <w:tabs>
              <w:tab w:val="clear" w:pos="9923"/>
              <w:tab w:val="left" w:pos="851" w:leader="none"/>
              <w:tab w:val="right" w:pos="9922" w:leader="dot"/>
            </w:tabs>
            <w:rPr/>
          </w:pPr>
          <w:hyperlink w:anchor="__RefHeading___Toc192579_1558056896">
            <w:r>
              <w:rPr>
                <w:webHidden/>
                <w:rStyle w:val="Style11"/>
                <w:vanish w:val="false"/>
              </w:rPr>
              <w:t>7.1</w:t>
              <w:tab/>
              <w:t>Пояснения к Проекту договора</w:t>
              <w:tab/>
              <w:t>45</w:t>
            </w:r>
          </w:hyperlink>
        </w:p>
        <w:p>
          <w:pPr>
            <w:pStyle w:val="TOC1"/>
            <w:tabs>
              <w:tab w:val="clear" w:pos="9923"/>
              <w:tab w:val="left" w:pos="851" w:leader="none"/>
              <w:tab w:val="right" w:pos="9922" w:leader="dot"/>
            </w:tabs>
            <w:rPr/>
          </w:pPr>
          <w:hyperlink w:anchor="__RefHeading___Toc192581_1558056896">
            <w:r>
              <w:rPr>
                <w:webHidden/>
                <w:rStyle w:val="Style11"/>
                <w:vanish w:val="false"/>
              </w:rPr>
              <w:t>8.</w:t>
              <w:tab/>
              <w:t>Приложение № 3 – Требования к Участникам</w:t>
              <w:tab/>
              <w:t>46</w:t>
            </w:r>
          </w:hyperlink>
        </w:p>
        <w:p>
          <w:pPr>
            <w:pStyle w:val="TOC2"/>
            <w:tabs>
              <w:tab w:val="clear" w:pos="9923"/>
              <w:tab w:val="left" w:pos="851" w:leader="none"/>
              <w:tab w:val="right" w:pos="9922" w:leader="dot"/>
            </w:tabs>
            <w:rPr/>
          </w:pPr>
          <w:hyperlink w:anchor="__RefHeading___Toc192583_1558056896">
            <w:r>
              <w:rPr>
                <w:webHidden/>
                <w:rStyle w:val="Style11"/>
                <w:vanish w:val="false"/>
              </w:rPr>
              <w:t>8.1</w:t>
              <w:tab/>
              <w:t>Пояснения к требованиям к Участникам</w:t>
              <w:tab/>
              <w:t>46</w:t>
            </w:r>
          </w:hyperlink>
        </w:p>
        <w:p>
          <w:pPr>
            <w:pStyle w:val="TOC2"/>
            <w:tabs>
              <w:tab w:val="clear" w:pos="9923"/>
              <w:tab w:val="left" w:pos="851" w:leader="none"/>
              <w:tab w:val="right" w:pos="9922" w:leader="dot"/>
            </w:tabs>
            <w:rPr/>
          </w:pPr>
          <w:hyperlink w:anchor="__RefHeading___Toc192585_1558056896">
            <w:r>
              <w:rPr>
                <w:webHidden/>
                <w:rStyle w:val="Style11"/>
                <w:vanish w:val="false"/>
              </w:rPr>
              <w:t>8.2</w:t>
              <w:tab/>
              <w:t>Обязательные требования</w:t>
              <w:tab/>
              <w:t>46</w:t>
            </w:r>
          </w:hyperlink>
        </w:p>
        <w:p>
          <w:pPr>
            <w:pStyle w:val="TOC2"/>
            <w:tabs>
              <w:tab w:val="clear" w:pos="9923"/>
              <w:tab w:val="left" w:pos="851" w:leader="none"/>
              <w:tab w:val="right" w:pos="9922" w:leader="dot"/>
            </w:tabs>
            <w:rPr/>
          </w:pPr>
          <w:hyperlink w:anchor="__RefHeading___Toc192587_1558056896">
            <w:r>
              <w:rPr>
                <w:webHidden/>
                <w:rStyle w:val="Style11"/>
                <w:vanish w:val="false"/>
              </w:rPr>
              <w:t>8.3</w:t>
              <w:tab/>
              <w:t>Специальные требования</w:t>
              <w:tab/>
              <w:t>48</w:t>
            </w:r>
          </w:hyperlink>
        </w:p>
        <w:p>
          <w:pPr>
            <w:pStyle w:val="TOC2"/>
            <w:tabs>
              <w:tab w:val="clear" w:pos="9923"/>
              <w:tab w:val="left" w:pos="851" w:leader="none"/>
              <w:tab w:val="right" w:pos="9922" w:leader="dot"/>
            </w:tabs>
            <w:rPr/>
          </w:pPr>
          <w:hyperlink w:anchor="__RefHeading___Toc192589_1558056896">
            <w:r>
              <w:rPr>
                <w:webHidden/>
                <w:rStyle w:val="Style11"/>
                <w:vanish w:val="false"/>
              </w:rPr>
              <w:t>8.4</w:t>
              <w:tab/>
            </w:r>
          </w:hyperlink>
          <w:hyperlink w:anchor="__RefHeading___Toc192591_1558056896">
            <w:r>
              <w:rPr>
                <w:webHidden/>
                <w:rStyle w:val="Style11"/>
                <w:vanish w:val="false"/>
              </w:rPr>
              <w:t>Дополнительные требования к Генеральным подрядчикам</w:t>
              <w:tab/>
              <w:t>51</w:t>
            </w:r>
          </w:hyperlink>
        </w:p>
        <w:p>
          <w:pPr>
            <w:pStyle w:val="TOC1"/>
            <w:tabs>
              <w:tab w:val="clear" w:pos="9923"/>
              <w:tab w:val="left" w:pos="851" w:leader="none"/>
              <w:tab w:val="right" w:pos="9922" w:leader="dot"/>
            </w:tabs>
            <w:rPr/>
          </w:pPr>
          <w:hyperlink w:anchor="__RefHeading___Toc192593_1558056896">
            <w:r>
              <w:rPr>
                <w:webHidden/>
                <w:rStyle w:val="Style11"/>
                <w:vanish w:val="false"/>
              </w:rPr>
              <w:t>9.</w:t>
              <w:tab/>
              <w:t>Приложение № 4 – Образцы форм документов, включаемых в состав заявки</w:t>
              <w:tab/>
              <w:t>52</w:t>
            </w:r>
          </w:hyperlink>
        </w:p>
        <w:p>
          <w:pPr>
            <w:pStyle w:val="TOC2"/>
            <w:tabs>
              <w:tab w:val="clear" w:pos="9923"/>
              <w:tab w:val="left" w:pos="851" w:leader="none"/>
              <w:tab w:val="right" w:pos="9922" w:leader="dot"/>
            </w:tabs>
            <w:rPr/>
          </w:pPr>
          <w:hyperlink w:anchor="__RefHeading___Toc192595_1558056896">
            <w:r>
              <w:rPr>
                <w:webHidden/>
                <w:rStyle w:val="Style11"/>
                <w:vanish w:val="false"/>
              </w:rPr>
              <w:t>9.1</w:t>
              <w:tab/>
              <w:t>Пояснения к Образцам форм документов, включаемых в состав заявки</w:t>
              <w:tab/>
              <w:t>52</w:t>
            </w:r>
          </w:hyperlink>
        </w:p>
        <w:p>
          <w:pPr>
            <w:pStyle w:val="TOC1"/>
            <w:tabs>
              <w:tab w:val="clear" w:pos="9923"/>
              <w:tab w:val="left" w:pos="851" w:leader="none"/>
              <w:tab w:val="right" w:pos="9922" w:leader="dot"/>
            </w:tabs>
            <w:rPr/>
          </w:pPr>
          <w:hyperlink w:anchor="__RefHeading___Toc192597_1558056896">
            <w:r>
              <w:rPr>
                <w:webHidden/>
                <w:rStyle w:val="Style11"/>
                <w:vanish w:val="false"/>
              </w:rPr>
              <w:t>10.</w:t>
              <w:tab/>
              <w:t>Приложение № 5 – Образцы форм документов, предоставляемых Победителем</w:t>
              <w:tab/>
              <w:t>53</w:t>
            </w:r>
          </w:hyperlink>
        </w:p>
        <w:p>
          <w:pPr>
            <w:pStyle w:val="TOC2"/>
            <w:tabs>
              <w:tab w:val="clear" w:pos="9923"/>
              <w:tab w:val="left" w:pos="851" w:leader="none"/>
              <w:tab w:val="right" w:pos="9922" w:leader="dot"/>
            </w:tabs>
            <w:rPr/>
          </w:pPr>
          <w:hyperlink w:anchor="__RefHeading___Toc192599_1558056896">
            <w:r>
              <w:rPr>
                <w:webHidden/>
                <w:rStyle w:val="Style11"/>
                <w:vanish w:val="false"/>
              </w:rPr>
              <w:t>10.1</w:t>
              <w:tab/>
              <w:t>Пояснения к Образцам форм документов, предоставляемых Победителем</w:t>
              <w:tab/>
              <w:t>53</w:t>
            </w:r>
          </w:hyperlink>
        </w:p>
        <w:p>
          <w:pPr>
            <w:pStyle w:val="TOC2"/>
            <w:tabs>
              <w:tab w:val="clear" w:pos="9923"/>
              <w:tab w:val="left" w:pos="851" w:leader="none"/>
              <w:tab w:val="right" w:pos="9922" w:leader="dot"/>
            </w:tabs>
            <w:rPr/>
          </w:pPr>
          <w:hyperlink w:anchor="__RefHeading___Toc192601_1558056896">
            <w:r>
              <w:rPr>
                <w:webHidden/>
                <w:rStyle w:val="Style11"/>
                <w:vanish w:val="false"/>
              </w:rPr>
              <w:t>10.2</w:t>
              <w:tab/>
              <w:t>Форма справки «Сведения о цепочке собственников, включая бенефициаров (в том числе конечных)»</w:t>
              <w:tab/>
              <w:t>53</w:t>
            </w:r>
          </w:hyperlink>
        </w:p>
        <w:p>
          <w:pPr>
            <w:pStyle w:val="TOC2"/>
            <w:tabs>
              <w:tab w:val="clear" w:pos="9923"/>
              <w:tab w:val="left" w:pos="851" w:leader="none"/>
              <w:tab w:val="right" w:pos="9922" w:leader="dot"/>
            </w:tabs>
            <w:rPr/>
          </w:pPr>
          <w:hyperlink w:anchor="__RefHeading___Toc192603_1558056896">
            <w:r>
              <w:rPr>
                <w:webHidden/>
                <w:rStyle w:val="Style11"/>
                <w:vanish w:val="false"/>
              </w:rPr>
              <w:t>10.3</w:t>
              <w:tab/>
              <w:t>Форма «Заверение об обстоятельствах»</w:t>
              <w:tab/>
              <w:t>53</w:t>
            </w:r>
          </w:hyperlink>
        </w:p>
        <w:p>
          <w:pPr>
            <w:pStyle w:val="TOC1"/>
            <w:tabs>
              <w:tab w:val="clear" w:pos="9923"/>
              <w:tab w:val="left" w:pos="851" w:leader="none"/>
              <w:tab w:val="right" w:pos="9922" w:leader="dot"/>
            </w:tabs>
            <w:rPr/>
          </w:pPr>
          <w:hyperlink w:anchor="__RefHeading___Toc192605_1558056896">
            <w:r>
              <w:rPr>
                <w:webHidden/>
                <w:rStyle w:val="Style11"/>
                <w:vanish w:val="false"/>
              </w:rPr>
              <w:t>11.</w:t>
              <w:tab/>
              <w:t>Приложение № 6 – Состав заявки</w:t>
              <w:tab/>
              <w:t>54</w:t>
            </w:r>
          </w:hyperlink>
        </w:p>
        <w:p>
          <w:pPr>
            <w:pStyle w:val="TOC2"/>
            <w:tabs>
              <w:tab w:val="clear" w:pos="9923"/>
              <w:tab w:val="left" w:pos="851" w:leader="none"/>
              <w:tab w:val="right" w:pos="9922" w:leader="dot"/>
            </w:tabs>
            <w:rPr/>
          </w:pPr>
          <w:hyperlink w:anchor="__RefHeading___Toc192607_1558056896">
            <w:r>
              <w:rPr>
                <w:webHidden/>
                <w:rStyle w:val="Style11"/>
                <w:vanish w:val="false"/>
              </w:rPr>
              <w:t>11.1</w:t>
              <w:tab/>
              <w:t>Состав заявки</w:t>
              <w:tab/>
              <w:t>54</w:t>
            </w:r>
          </w:hyperlink>
        </w:p>
        <w:p>
          <w:pPr>
            <w:pStyle w:val="TOC1"/>
            <w:tabs>
              <w:tab w:val="clear" w:pos="9923"/>
              <w:tab w:val="left" w:pos="851" w:leader="none"/>
              <w:tab w:val="right" w:pos="9922" w:leader="dot"/>
            </w:tabs>
            <w:rPr/>
          </w:pPr>
          <w:hyperlink w:anchor="__RefHeading___Toc192609_1558056896">
            <w:r>
              <w:rPr>
                <w:webHidden/>
                <w:rStyle w:val="Style11"/>
                <w:vanish w:val="false"/>
              </w:rPr>
              <w:t>12.</w:t>
              <w:tab/>
              <w:t>Приложение № 7 – Отборочные критерии рассмотрения заявок</w:t>
              <w:tab/>
              <w:t>56</w:t>
            </w:r>
          </w:hyperlink>
        </w:p>
        <w:p>
          <w:pPr>
            <w:pStyle w:val="TOC2"/>
            <w:tabs>
              <w:tab w:val="clear" w:pos="9923"/>
              <w:tab w:val="left" w:pos="851" w:leader="none"/>
              <w:tab w:val="right" w:pos="9922" w:leader="dot"/>
            </w:tabs>
            <w:rPr/>
          </w:pPr>
          <w:hyperlink w:anchor="__RefHeading___Toc192611_1558056896">
            <w:r>
              <w:rPr>
                <w:webHidden/>
                <w:rStyle w:val="Style11"/>
                <w:vanish w:val="false"/>
              </w:rPr>
              <w:t>12.1</w:t>
              <w:tab/>
            </w:r>
            <w:r>
              <w:rPr>
                <w:rStyle w:val="Style11"/>
              </w:rPr>
              <w:t>Отборочные критерии рассмотрения первых частей заявок (первых частей заявок, содержащихся в окончательных предложениях)</w:t>
              <w:tab/>
              <w:t>56</w:t>
            </w:r>
          </w:hyperlink>
        </w:p>
        <w:p>
          <w:pPr>
            <w:pStyle w:val="TOC2"/>
            <w:tabs>
              <w:tab w:val="clear" w:pos="9923"/>
              <w:tab w:val="left" w:pos="851" w:leader="none"/>
              <w:tab w:val="right" w:pos="9922" w:leader="dot"/>
            </w:tabs>
            <w:rPr/>
          </w:pPr>
          <w:hyperlink w:anchor="__RefHeading___Toc192613_1558056896">
            <w:r>
              <w:rPr>
                <w:webHidden/>
                <w:rStyle w:val="Style11"/>
                <w:vanish w:val="false"/>
              </w:rPr>
              <w:t>12.2</w:t>
              <w:tab/>
            </w:r>
            <w:r>
              <w:rPr>
                <w:rStyle w:val="Style11"/>
              </w:rPr>
              <w:t>Отборочные критерии рассмотрения вторых частей заявок</w:t>
              <w:tab/>
              <w:t>57</w:t>
            </w:r>
          </w:hyperlink>
        </w:p>
        <w:p>
          <w:pPr>
            <w:pStyle w:val="TOC2"/>
            <w:tabs>
              <w:tab w:val="clear" w:pos="9923"/>
              <w:tab w:val="left" w:pos="851" w:leader="none"/>
              <w:tab w:val="right" w:pos="9922" w:leader="dot"/>
            </w:tabs>
            <w:rPr/>
          </w:pPr>
          <w:hyperlink w:anchor="__RefHeading___Toc192615_1558056896">
            <w:r>
              <w:rPr>
                <w:webHidden/>
                <w:rStyle w:val="Style11"/>
                <w:vanish w:val="false"/>
              </w:rPr>
              <w:t>12.3</w:t>
              <w:tab/>
            </w:r>
            <w:r>
              <w:rPr>
                <w:rStyle w:val="Style11"/>
              </w:rPr>
              <w:t>Отборочные критерии рассмотрения ценовых предложений (дополнительных ценовых предложений)</w:t>
              <w:tab/>
              <w:t>59</w:t>
            </w:r>
          </w:hyperlink>
        </w:p>
        <w:p>
          <w:pPr>
            <w:pStyle w:val="TOC2"/>
            <w:tabs>
              <w:tab w:val="clear" w:pos="9923"/>
              <w:tab w:val="left" w:pos="851" w:leader="none"/>
              <w:tab w:val="right" w:pos="9922" w:leader="dot"/>
            </w:tabs>
            <w:rPr/>
          </w:pPr>
          <w:hyperlink w:anchor="__RefHeading___Toc192617_1558056896">
            <w:r>
              <w:rPr>
                <w:webHidden/>
                <w:rStyle w:val="Style11"/>
                <w:vanish w:val="false"/>
              </w:rPr>
              <w:t>12.4</w:t>
              <w:tab/>
            </w:r>
            <w:r>
              <w:rPr>
                <w:rStyle w:val="Style11"/>
              </w:rPr>
              <w:t>Дополнительные критерии проверки заявок на соответствие условиям Документации о закупке</w:t>
              <w:tab/>
              <w:t>60</w:t>
            </w:r>
          </w:hyperlink>
        </w:p>
        <w:p>
          <w:pPr>
            <w:pStyle w:val="TOC1"/>
            <w:tabs>
              <w:tab w:val="clear" w:pos="9923"/>
              <w:tab w:val="left" w:pos="851" w:leader="none"/>
              <w:tab w:val="right" w:pos="9922" w:leader="dot"/>
            </w:tabs>
            <w:rPr/>
          </w:pPr>
          <w:hyperlink w:anchor="__RefHeading___Toc192619_1558056896">
            <w:r>
              <w:rPr>
                <w:webHidden/>
                <w:rStyle w:val="Style11"/>
                <w:vanish w:val="false"/>
              </w:rPr>
              <w:t>13.</w:t>
              <w:tab/>
              <w:t>Приложение № 8 – Порядок и критерии оценки и сопоставления заявок</w:t>
              <w:tab/>
              <w:t>62</w:t>
            </w:r>
          </w:hyperlink>
        </w:p>
        <w:p>
          <w:pPr>
            <w:pStyle w:val="TOC2"/>
            <w:tabs>
              <w:tab w:val="clear" w:pos="9923"/>
              <w:tab w:val="left" w:pos="851" w:leader="none"/>
              <w:tab w:val="right" w:pos="9922" w:leader="dot"/>
            </w:tabs>
            <w:rPr/>
          </w:pPr>
          <w:hyperlink w:anchor="__RefHeading___Toc192621_1558056896">
            <w:r>
              <w:rPr>
                <w:webHidden/>
                <w:rStyle w:val="Style11"/>
                <w:vanish w:val="false"/>
              </w:rPr>
              <w:t>13.1</w:t>
              <w:tab/>
              <w:t>Порядок и критерии оценки и сопоставления заявок</w:t>
              <w:tab/>
              <w:t>62</w:t>
            </w:r>
          </w:hyperlink>
        </w:p>
        <w:p>
          <w:pPr>
            <w:pStyle w:val="TOC1"/>
            <w:tabs>
              <w:tab w:val="clear" w:pos="9923"/>
              <w:tab w:val="left" w:pos="851" w:leader="none"/>
              <w:tab w:val="right" w:pos="9922" w:leader="dot"/>
            </w:tabs>
            <w:rPr/>
          </w:pPr>
          <w:hyperlink w:anchor="__RefHeading___Toc192623_1558056896">
            <w:r>
              <w:rPr>
                <w:webHidden/>
                <w:rStyle w:val="Style11"/>
                <w:vanish w:val="false"/>
              </w:rPr>
              <w:t>14.</w:t>
              <w:tab/>
              <w:t>Приложение № 9 – Обоснование НМЦ</w:t>
              <w:tab/>
              <w:t>68</w:t>
            </w:r>
          </w:hyperlink>
        </w:p>
        <w:p>
          <w:pPr>
            <w:pStyle w:val="TOC2"/>
            <w:tabs>
              <w:tab w:val="clear" w:pos="9923"/>
              <w:tab w:val="left" w:pos="851" w:leader="none"/>
              <w:tab w:val="right" w:pos="9922" w:leader="dot"/>
            </w:tabs>
            <w:rPr/>
          </w:pPr>
          <w:hyperlink w:anchor="__RefHeading___Toc192625_1558056896">
            <w:r>
              <w:rPr>
                <w:webHidden/>
                <w:rStyle w:val="Style11"/>
                <w:vanish w:val="false"/>
              </w:rPr>
              <w:t>14.1</w:t>
              <w:tab/>
              <w:t>Пояснения к Обоснованию НМЦ</w:t>
              <w:tab/>
              <w:t>68</w:t>
            </w:r>
          </w:hyperlink>
        </w:p>
        <w:p>
          <w:pPr>
            <w:pStyle w:val="TOC1"/>
            <w:tabs>
              <w:tab w:val="clear" w:pos="9923"/>
              <w:tab w:val="left" w:pos="851" w:leader="none"/>
              <w:tab w:val="right" w:pos="9922" w:leader="dot"/>
            </w:tabs>
            <w:rPr/>
          </w:pPr>
          <w:hyperlink w:anchor="__RefHeading___Toc192627_1558056896">
            <w:r>
              <w:rPr>
                <w:webHidden/>
                <w:rStyle w:val="Style11"/>
                <w:vanish w:val="false"/>
              </w:rPr>
              <w:t>15.</w:t>
              <w:tab/>
              <w:t>Приложение № 10 – Форма Заявки на аккредитацию</w:t>
              <w:tab/>
              <w:t>69</w:t>
            </w:r>
          </w:hyperlink>
        </w:p>
        <w:p>
          <w:pPr>
            <w:pStyle w:val="TOC2"/>
            <w:tabs>
              <w:tab w:val="clear" w:pos="9923"/>
              <w:tab w:val="left" w:pos="851" w:leader="none"/>
              <w:tab w:val="right" w:pos="9922" w:leader="dot"/>
            </w:tabs>
            <w:rPr/>
          </w:pPr>
          <w:hyperlink w:anchor="__RefHeading___Toc192629_1558056896">
            <w:r>
              <w:rPr>
                <w:webHidden/>
                <w:rStyle w:val="Style11"/>
                <w:vanish w:val="false"/>
              </w:rPr>
              <w:t>15.1</w:t>
              <w:tab/>
              <w:t>Пояснения к форме Заявки на аккредитацию</w:t>
              <w:tab/>
              <w:t>69</w:t>
            </w:r>
          </w:hyperlink>
          <w:r>
            <w:rPr>
              <w:rStyle w:val="Style11"/>
              <w:vanish w:val="false"/>
            </w:rPr>
            <w:fldChar w:fldCharType="end"/>
          </w:r>
        </w:p>
      </w:sdtContent>
    </w:sdt>
    <w:p>
      <w:pPr>
        <w:pStyle w:val="Style25"/>
        <w:rPr/>
      </w:pPr>
      <w:r>
        <w:rPr/>
      </w:r>
    </w:p>
    <w:p>
      <w:pPr>
        <w:pStyle w:val="Style25"/>
        <w:keepNext w:val="true"/>
        <w:spacing w:before="60" w:after="0"/>
        <w:rPr>
          <w:rStyle w:val="Style10"/>
        </w:rPr>
      </w:pPr>
      <w:r>
        <w:rPr/>
      </w:r>
    </w:p>
    <w:p>
      <w:pPr>
        <w:pStyle w:val="Style24"/>
        <w:numPr>
          <w:ilvl w:val="0"/>
          <w:numId w:val="0"/>
        </w:numPr>
        <w:ind w:left="0" w:hanging="0"/>
        <w:outlineLvl w:val="0"/>
        <w:rPr/>
      </w:pPr>
      <w:bookmarkStart w:id="0" w:name="__RefHeading___Toc192495_1558056896"/>
      <w:bookmarkStart w:id="1" w:name="_Toc186224110"/>
      <w:bookmarkEnd w:id="0"/>
      <w:r>
        <w:rPr/>
        <w:t>Сокращения</w:t>
      </w:r>
      <w:bookmarkEnd w:id="1"/>
    </w:p>
    <w:p>
      <w:pPr>
        <w:pStyle w:val="Style25"/>
        <w:ind w:firstLine="567"/>
        <w:rPr/>
      </w:pPr>
      <w:r>
        <w:rPr>
          <w:b/>
          <w:bCs/>
        </w:rPr>
        <w:t>ГК РФ</w:t>
      </w:r>
      <w:r>
        <w:rPr/>
        <w:t xml:space="preserve"> – Гражданской кодекс Российской Федерации.</w:t>
      </w:r>
    </w:p>
    <w:p>
      <w:pPr>
        <w:pStyle w:val="Style25"/>
        <w:ind w:firstLine="567"/>
        <w:rPr/>
      </w:pPr>
      <w:r>
        <w:rPr>
          <w:b/>
          <w:bCs/>
        </w:rPr>
        <w:t>Декларация ПИРААП</w:t>
      </w:r>
      <w:r>
        <w:rPr/>
        <w:t xml:space="preserve"> – декларация о подтверждении использования при изготовлении продукции российского алюминия и (или) его полуфабрикатов с указанием их доли в общем объеме используемого алюминия и (или) его полуфабрикатов в натуральном выражении.</w:t>
      </w:r>
    </w:p>
    <w:p>
      <w:pPr>
        <w:pStyle w:val="Style25"/>
        <w:ind w:firstLine="567"/>
        <w:rPr/>
      </w:pPr>
      <w:r>
        <w:rPr>
          <w:b/>
          <w:bCs/>
        </w:rPr>
        <w:t>ЕГРИП</w:t>
      </w:r>
      <w:r>
        <w:rPr/>
        <w:t xml:space="preserve"> – Единый государственный реестр индивидуальных предпринимателей.</w:t>
      </w:r>
    </w:p>
    <w:p>
      <w:pPr>
        <w:pStyle w:val="Style25"/>
        <w:ind w:firstLine="567"/>
        <w:rPr/>
      </w:pPr>
      <w:r>
        <w:rPr>
          <w:b/>
          <w:bCs/>
        </w:rPr>
        <w:t>ЕГРЮЛ</w:t>
      </w:r>
      <w:r>
        <w:rPr/>
        <w:t xml:space="preserve"> – Единый государственный реестр юридических лиц.</w:t>
      </w:r>
    </w:p>
    <w:p>
      <w:pPr>
        <w:pStyle w:val="Style25"/>
        <w:ind w:firstLine="567"/>
        <w:rPr/>
      </w:pPr>
      <w:r>
        <w:rPr>
          <w:b/>
          <w:bCs/>
        </w:rPr>
        <w:t>ЕИС</w:t>
      </w:r>
      <w:r>
        <w:rPr/>
        <w:t xml:space="preserve"> – Единая информационная система в сфере закупок.</w:t>
      </w:r>
    </w:p>
    <w:p>
      <w:pPr>
        <w:pStyle w:val="Style25"/>
        <w:ind w:firstLine="567"/>
        <w:rPr/>
      </w:pPr>
      <w:r>
        <w:rPr>
          <w:b/>
          <w:bCs/>
        </w:rPr>
        <w:t>Закон 44-ФЗ</w:t>
      </w:r>
      <w:r>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w:t>
      </w:r>
    </w:p>
    <w:p>
      <w:pPr>
        <w:pStyle w:val="Style25"/>
        <w:ind w:firstLine="567"/>
        <w:rPr/>
      </w:pPr>
      <w:r>
        <w:rPr>
          <w:b/>
          <w:bCs/>
        </w:rPr>
        <w:t>Закон 98-ФЗ</w:t>
      </w:r>
      <w:r>
        <w:rPr/>
        <w:t xml:space="preserve"> – Федеральный закон от 29 июля 2004 года № 98-ФЗ «О коммерческой тайне».</w:t>
      </w:r>
    </w:p>
    <w:p>
      <w:pPr>
        <w:pStyle w:val="Style25"/>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5"/>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5"/>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5"/>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5"/>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5"/>
        <w:ind w:firstLine="567"/>
        <w:rPr/>
      </w:pPr>
      <w:r>
        <w:rPr>
          <w:b/>
          <w:bCs/>
        </w:rPr>
        <w:t>Извещение</w:t>
      </w:r>
      <w:r>
        <w:rPr/>
        <w:t xml:space="preserve"> – извещение о проведении настоящей закупки.</w:t>
      </w:r>
    </w:p>
    <w:p>
      <w:pPr>
        <w:pStyle w:val="Style25"/>
        <w:ind w:firstLine="567"/>
        <w:rPr/>
      </w:pPr>
      <w:r>
        <w:rPr>
          <w:b/>
          <w:bCs/>
        </w:rPr>
        <w:t>ИНН</w:t>
      </w:r>
      <w:r>
        <w:rPr/>
        <w:t xml:space="preserve"> – идентификационный номер налогоплательщика.</w:t>
      </w:r>
    </w:p>
    <w:p>
      <w:pPr>
        <w:pStyle w:val="Style25"/>
        <w:ind w:firstLine="567"/>
        <w:rPr/>
      </w:pPr>
      <w:r>
        <w:rPr>
          <w:b/>
          <w:bCs/>
        </w:rPr>
        <w:t>ИФНС</w:t>
      </w:r>
      <w:r>
        <w:rPr/>
        <w:t xml:space="preserve"> – инспекция Федеральной налоговой службы Российской Федерации.</w:t>
      </w:r>
    </w:p>
    <w:p>
      <w:pPr>
        <w:pStyle w:val="Style25"/>
        <w:ind w:firstLine="567"/>
        <w:rPr/>
      </w:pPr>
      <w:r>
        <w:rPr>
          <w:b/>
          <w:bCs/>
        </w:rPr>
        <w:t>МТР</w:t>
      </w:r>
      <w:r>
        <w:rPr/>
        <w:t xml:space="preserve"> – материально-технические ресурсы.</w:t>
      </w:r>
    </w:p>
    <w:p>
      <w:pPr>
        <w:pStyle w:val="Style25"/>
        <w:ind w:firstLine="567"/>
        <w:rPr/>
      </w:pPr>
      <w:r>
        <w:rPr>
          <w:b/>
          <w:bCs/>
        </w:rPr>
        <w:t>НДС</w:t>
      </w:r>
      <w:r>
        <w:rPr/>
        <w:t xml:space="preserve"> – налог на добавленную стоимость.</w:t>
      </w:r>
    </w:p>
    <w:p>
      <w:pPr>
        <w:pStyle w:val="Style25"/>
        <w:ind w:firstLine="567"/>
        <w:rPr/>
      </w:pPr>
      <w:r>
        <w:rPr>
          <w:b/>
          <w:bCs/>
        </w:rPr>
        <w:t>НМЦ</w:t>
      </w:r>
      <w:r>
        <w:rPr/>
        <w:t xml:space="preserve"> – начальная (максимальная) цена договора.</w:t>
      </w:r>
    </w:p>
    <w:p>
      <w:pPr>
        <w:pStyle w:val="Style25"/>
        <w:ind w:firstLine="567"/>
        <w:rPr/>
      </w:pPr>
      <w:r>
        <w:rPr>
          <w:b/>
          <w:bCs/>
        </w:rPr>
        <w:t>Оператор ЭП</w:t>
      </w:r>
      <w:r>
        <w:rPr/>
        <w:t xml:space="preserve"> – оператор электронной площадки.</w:t>
      </w:r>
    </w:p>
    <w:p>
      <w:pPr>
        <w:pStyle w:val="Style25"/>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5"/>
        <w:ind w:firstLine="567"/>
        <w:rPr/>
      </w:pPr>
      <w:r>
        <w:rPr>
          <w:b/>
          <w:bCs/>
        </w:rPr>
        <w:t>Положение о закупке</w:t>
      </w:r>
      <w:r>
        <w:rPr/>
        <w:t xml:space="preserve"> – Единое Положение о закупке продукции для нужд Группы РусГидро.</w:t>
      </w:r>
    </w:p>
    <w:p>
      <w:pPr>
        <w:pStyle w:val="Style25"/>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5"/>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25"/>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5"/>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5"/>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5"/>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5"/>
        <w:ind w:firstLine="567"/>
        <w:rPr/>
      </w:pPr>
      <w:r>
        <w:rPr>
          <w:b/>
          <w:bCs/>
        </w:rPr>
        <w:t>Субъект МСП</w:t>
      </w:r>
      <w:r>
        <w:rPr/>
        <w:t xml:space="preserve"> – субъект малого и среднего предпринимательства.</w:t>
      </w:r>
    </w:p>
    <w:p>
      <w:pPr>
        <w:pStyle w:val="Style25"/>
        <w:ind w:firstLine="567"/>
        <w:rPr/>
      </w:pPr>
      <w:r>
        <w:rPr>
          <w:b/>
          <w:bCs/>
        </w:rPr>
        <w:t>ЭП</w:t>
      </w:r>
      <w:r>
        <w:rPr/>
        <w:t xml:space="preserve"> – электронная площадка.</w:t>
      </w:r>
    </w:p>
    <w:p>
      <w:pPr>
        <w:pStyle w:val="Style24"/>
        <w:numPr>
          <w:ilvl w:val="0"/>
          <w:numId w:val="0"/>
        </w:numPr>
        <w:ind w:left="0" w:hanging="0"/>
        <w:outlineLvl w:val="0"/>
        <w:rPr/>
      </w:pPr>
      <w:bookmarkStart w:id="2" w:name="__RefHeading___Toc192497_1558056896"/>
      <w:bookmarkStart w:id="3" w:name="_Toc186224111"/>
      <w:bookmarkEnd w:id="2"/>
      <w:r>
        <w:rPr/>
        <w:t>Термины и определения</w:t>
      </w:r>
      <w:bookmarkEnd w:id="3"/>
    </w:p>
    <w:p>
      <w:pPr>
        <w:pStyle w:val="Style25"/>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5"/>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5"/>
        <w:ind w:firstLine="567"/>
        <w:rPr/>
      </w:pPr>
      <w:r>
        <w:rPr>
          <w:b/>
          <w:bCs/>
        </w:rPr>
        <w:t>Вторая часть заявки</w:t>
      </w:r>
      <w:r>
        <w:rPr/>
        <w:t xml:space="preserve"> – комплект документов, входящих в состав заявки и содержащих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информацию и документы, необходимые для осуществления оценки заявки в отношении Участника (в случае установления в Документации о закупке соответствующих критериев и порядка оценки) (без указания сведений о ценовом предложении Участника).</w:t>
      </w:r>
    </w:p>
    <w:p>
      <w:pPr>
        <w:pStyle w:val="Style25"/>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5"/>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5"/>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5"/>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5"/>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5"/>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5"/>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5"/>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5"/>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5"/>
        <w:ind w:firstLine="567"/>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5"/>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5"/>
        <w:ind w:firstLine="567"/>
        <w:rPr/>
      </w:pPr>
      <w:r>
        <w:rPr/>
      </w:r>
    </w:p>
    <w:p>
      <w:pPr>
        <w:pStyle w:val="Style25"/>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5"/>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5"/>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5"/>
        <w:ind w:firstLine="567"/>
        <w:rPr/>
      </w:pPr>
      <w:r>
        <w:rPr>
          <w:b/>
          <w:bCs/>
        </w:rPr>
        <w:t>Окончательное предложение</w:t>
      </w:r>
      <w:r>
        <w:rPr/>
        <w:t xml:space="preserve"> – комплект документов, входящих в состав первой части заявки и содержащих предложение Участника о функциональных характеристиках (потребительских свойствах) предлагаемой к поставке продукции и об иных условиях исполнения договора, с учетом уточненных Извещения и Документации о закупке по результатам проведенных обсуждений (в случае проведения таковых и выявления необходимости внесения изменений в Извещение и Документацию о закупке).</w:t>
      </w:r>
    </w:p>
    <w:p>
      <w:pPr>
        <w:pStyle w:val="Style25"/>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5"/>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5"/>
        <w:ind w:firstLine="567"/>
        <w:rPr/>
      </w:pPr>
      <w:r>
        <w:rPr>
          <w:b/>
          <w:bCs/>
        </w:rPr>
        <w:t>Официальное размещение</w:t>
      </w:r>
      <w:r>
        <w:rPr/>
        <w:t xml:space="preserve"> – размещение информации о закупке в ЕИС, на Официальном сайте </w:t>
      </w:r>
      <w:bookmarkStart w:id="4" w:name="_Hlk149048701"/>
      <w:r>
        <w:rPr/>
        <w:t>(с размещением копий на ЭП)</w:t>
      </w:r>
      <w:bookmarkEnd w:id="4"/>
      <w:r>
        <w:rPr/>
        <w:t>.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8"/>
        <w:keepNext w:val="true"/>
        <w:rPr>
          <w:shd w:fill="DDDDDD" w:val="clear"/>
        </w:rPr>
      </w:pPr>
      <w:r>
        <w:rPr>
          <w:shd w:fill="DDDDDD" w:val="clear"/>
        </w:rPr>
        <w:t>(Если условиями закупки предусмотрен дополнительный этап закупки – Переторжка):]</w:t>
      </w:r>
    </w:p>
    <w:p>
      <w:pPr>
        <w:pStyle w:val="Style25"/>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ценовых предложений с целью повысить их предпочтительность для Заказчика.</w:t>
      </w:r>
    </w:p>
    <w:p>
      <w:pPr>
        <w:pStyle w:val="Style25"/>
        <w:ind w:firstLine="567"/>
        <w:rPr/>
      </w:pPr>
      <w:r>
        <w:rPr>
          <w:b/>
          <w:bCs/>
        </w:rPr>
        <w:t>Первая часть заявки</w:t>
      </w:r>
      <w:r>
        <w:rPr/>
        <w:t xml:space="preserve"> – комплект документов, входящих в состав заявки и содержащих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в том числе сведения об окончательном предложении Участника по результатам проведения обсуждений (в случае проведения таковых), а также информацию и документы, необходимые для осуществления оценки заявки в отношении предлагаемой к поставке продукции (в случае установления в Документации о закупке соответствующих критериев и порядка оценки).</w:t>
      </w:r>
    </w:p>
    <w:p>
      <w:pPr>
        <w:pStyle w:val="Style25"/>
        <w:ind w:firstLine="567"/>
        <w:rPr/>
      </w:pPr>
      <w:r>
        <w:rPr>
          <w:b/>
          <w:bCs/>
        </w:rPr>
        <w:t>Победитель</w:t>
      </w:r>
      <w:r>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5"/>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5"/>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5"/>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5"/>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5"/>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5"/>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5"/>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5"/>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2"/>
      </w:r>
      <w:r>
        <w:rPr/>
        <w:t>, если иное не установлено в Документации о закупке.</w:t>
      </w:r>
    </w:p>
    <w:p>
      <w:pPr>
        <w:pStyle w:val="Style25"/>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25"/>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5"/>
        <w:ind w:firstLine="567"/>
        <w:rPr/>
      </w:pPr>
      <w:r>
        <w:rPr>
          <w:b/>
          <w:bCs/>
        </w:rPr>
        <w:t>Ценовое предложение</w:t>
      </w:r>
      <w:r>
        <w:rPr/>
        <w:t xml:space="preserve"> – комплект документов, входящих в состав заявки, но подаваемых отдельно от первой и второй частей заявки и содержащих предложение Участника о цене Договора и (или) каждой единицы продукции, являющейся предметом Договора, и (или) формулу расчета цены Договора и (или) расходы на эксплуатацию и ремонт товаров, использование результатов работ / услуг и (или) любые иные сведения / документы, требуемые в соответствии с Документацией о закупке и содержащие информацию о ценовых параметрах предложения Участника.</w:t>
      </w:r>
    </w:p>
    <w:p>
      <w:pPr>
        <w:pStyle w:val="Style19"/>
        <w:rPr/>
      </w:pPr>
      <w:bookmarkStart w:id="5" w:name="__RefHeading___Toc192499_1558056896"/>
      <w:bookmarkStart w:id="6" w:name="_Toc186224112"/>
      <w:bookmarkStart w:id="7" w:name="_Ref125359988"/>
      <w:bookmarkEnd w:id="5"/>
      <w:r>
        <w:rPr/>
        <w:t>Основные сведения о закупке</w:t>
      </w:r>
      <w:bookmarkEnd w:id="6"/>
      <w:bookmarkEnd w:id="7"/>
    </w:p>
    <w:p>
      <w:pPr>
        <w:pStyle w:val="Style20"/>
        <w:rPr/>
      </w:pPr>
      <w:bookmarkStart w:id="8" w:name="__RefHeading___Toc192501_1558056896"/>
      <w:bookmarkStart w:id="9" w:name="_Toc186224113"/>
      <w:bookmarkEnd w:id="8"/>
      <w:r>
        <w:rPr/>
        <w:t>Статус настоящего раздела</w:t>
      </w:r>
      <w:bookmarkEnd w:id="9"/>
    </w:p>
    <w:p>
      <w:pPr>
        <w:pStyle w:val="Style21"/>
        <w:rPr/>
      </w:pPr>
      <w:r>
        <w:rPr/>
        <w:t>В настоящем разделе содержатся основные сведения о предмете, способе и иных ключевых условиях проводимой закупки.</w:t>
      </w:r>
    </w:p>
    <w:p>
      <w:pPr>
        <w:pStyle w:val="Style21"/>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7"/>
          </w:rPr>
          <w:t>Технических требованиях (Приложение № 1)</w:t>
        </w:r>
      </w:hyperlink>
      <w:r>
        <w:rPr>
          <w:rStyle w:val="Style7"/>
        </w:rPr>
        <w:t>,</w:t>
      </w:r>
      <w:r>
        <w:rPr/>
        <w:t xml:space="preserve"> в </w:t>
      </w:r>
      <w:hyperlink w:anchor="Прил02_ПроектДоговора">
        <w:r>
          <w:rPr>
            <w:rStyle w:val="Style7"/>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1"/>
        <w:rPr/>
      </w:pPr>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p>
    <w:p>
      <w:pPr>
        <w:pStyle w:val="Style20"/>
        <w:spacing w:before="360" w:after="120"/>
        <w:rPr/>
      </w:pPr>
      <w:bookmarkStart w:id="10" w:name="__RefHeading___Toc192503_1558056896"/>
      <w:bookmarkStart w:id="11" w:name="_Ref132876309"/>
      <w:bookmarkStart w:id="12" w:name="_Toc186224114"/>
      <w:bookmarkStart w:id="13" w:name="_Ref125359973"/>
      <w:bookmarkStart w:id="14" w:name="_Ref127270076"/>
      <w:bookmarkEnd w:id="10"/>
      <w:r>
        <w:rPr/>
        <w:t>Информация о проводимой закупке</w:t>
      </w:r>
      <w:bookmarkEnd w:id="11"/>
      <w:bookmarkEnd w:id="12"/>
      <w:bookmarkEnd w:id="13"/>
      <w:bookmarkEnd w:id="14"/>
    </w:p>
    <w:tbl>
      <w:tblPr>
        <w:tblStyle w:val="afff3"/>
        <w:tblW w:w="9918"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19"/>
        <w:gridCol w:w="2953"/>
        <w:gridCol w:w="5846"/>
      </w:tblGrid>
      <w:tr>
        <w:trPr>
          <w:cnfStyle w:val="100000000000" w:firstRow="1" w:lastRow="0" w:firstColumn="0" w:lastColumn="0" w:oddVBand="0" w:evenVBand="0" w:oddHBand="0" w:evenHBand="0" w:firstRowFirstColumn="0" w:firstRowLastColumn="0" w:lastRowFirstColumn="0" w:lastRowLastColumn="0"/>
        </w:trPr>
        <w:tc>
          <w:tcPr>
            <w:tcW w:w="1119" w:type="dxa"/>
            <w:tcBorders/>
          </w:tcPr>
          <w:p>
            <w:pPr>
              <w:pStyle w:val="Style25"/>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2953" w:type="dxa"/>
            <w:tcBorders/>
          </w:tcPr>
          <w:p>
            <w:pPr>
              <w:pStyle w:val="Style25"/>
              <w:keepNext w:val="true"/>
              <w:widowControl w:val="false"/>
              <w:suppressAutoHyphens w:val="true"/>
              <w:spacing w:before="60" w:after="60"/>
              <w:jc w:val="center"/>
              <w:rPr>
                <w:sz w:val="24"/>
                <w:szCs w:val="24"/>
              </w:rPr>
            </w:pPr>
            <w:r>
              <w:rPr>
                <w:rFonts w:eastAsia="Calibri" w:cs=""/>
                <w:b/>
                <w:kern w:val="0"/>
                <w:sz w:val="24"/>
                <w:szCs w:val="24"/>
                <w:lang w:val="ru-RU" w:eastAsia="en-US" w:bidi="ar-SA"/>
              </w:rPr>
              <w:t>Наименование пункта</w:t>
            </w:r>
          </w:p>
        </w:tc>
        <w:tc>
          <w:tcPr>
            <w:tcW w:w="5846" w:type="dxa"/>
            <w:tcBorders/>
          </w:tcPr>
          <w:p>
            <w:pPr>
              <w:pStyle w:val="Style25"/>
              <w:keepNext w:val="true"/>
              <w:widowControl w:val="false"/>
              <w:suppressAutoHyphens w:val="true"/>
              <w:spacing w:before="60" w:after="60"/>
              <w:jc w:val="center"/>
              <w:rPr>
                <w:sz w:val="24"/>
                <w:szCs w:val="24"/>
              </w:rPr>
            </w:pPr>
            <w:r>
              <w:rPr>
                <w:rFonts w:eastAsia="Calibri" w:cs=""/>
                <w:b/>
                <w:kern w:val="0"/>
                <w:sz w:val="24"/>
                <w:szCs w:val="24"/>
                <w:lang w:val="ru-RU" w:eastAsia="en-US" w:bidi="ar-SA"/>
              </w:rPr>
              <w:t>Содержание пункта</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15" w:name="_Ref125360980"/>
            <w:bookmarkStart w:id="16" w:name="_Ref125360980"/>
            <w:bookmarkEnd w:id="16"/>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Способ закупки:</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Конкурс в электронной форме, участниками которого могут быть только субъекты МСП.</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17" w:name="_Ref125360996"/>
            <w:bookmarkStart w:id="18" w:name="_Ref125360996"/>
            <w:bookmarkEnd w:id="18"/>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Предмет Договора</w:t>
              <w:br/>
              <w:t>(в том числе номер лота):</w:t>
            </w:r>
          </w:p>
        </w:tc>
        <w:tc>
          <w:tcPr>
            <w:tcW w:w="5846" w:type="dxa"/>
            <w:tcBorders/>
          </w:tcPr>
          <w:p>
            <w:pPr>
              <w:pStyle w:val="Style25"/>
              <w:widowControl w:val="false"/>
              <w:suppressAutoHyphens w:val="true"/>
              <w:spacing w:before="60" w:after="60"/>
              <w:rPr/>
            </w:pPr>
            <w:r>
              <w:rPr>
                <w:rStyle w:val="Style4"/>
                <w:rFonts w:eastAsia="Calibri" w:cs=""/>
                <w:b/>
                <w:bCs/>
                <w:kern w:val="0"/>
                <w:sz w:val="24"/>
                <w:szCs w:val="24"/>
                <w:shd w:fill="auto" w:val="clear"/>
                <w:lang w:val="ru-RU" w:eastAsia="en-US" w:bidi="ar-SA"/>
              </w:rPr>
              <w:t>Лот №</w:t>
            </w:r>
            <w:r>
              <w:rPr>
                <w:rStyle w:val="Style4"/>
                <w:rFonts w:eastAsia="Times New Roman" w:cs="Times New Roman"/>
                <w:b/>
                <w:bCs/>
                <w:i/>
                <w:color w:val="000000"/>
                <w:kern w:val="0"/>
                <w:sz w:val="24"/>
                <w:szCs w:val="24"/>
                <w:shd w:fill="auto" w:val="clear"/>
                <w:lang w:val="ru-RU" w:eastAsia="en-US" w:bidi="ar-SA"/>
              </w:rPr>
              <w:t>309101-ТПИР ОБСЛ-2026-ДРСК-ПЭС</w:t>
            </w:r>
            <w:r>
              <w:rPr>
                <w:rStyle w:val="Style4"/>
                <w:rFonts w:eastAsia="Calibri" w:cs=""/>
                <w:b/>
                <w:bCs/>
                <w:kern w:val="0"/>
                <w:sz w:val="24"/>
                <w:szCs w:val="24"/>
                <w:shd w:fill="auto" w:val="clear"/>
                <w:lang w:val="ru-RU" w:eastAsia="en-US" w:bidi="ar-SA"/>
              </w:rPr>
              <w:t xml:space="preserve"> </w:t>
            </w:r>
            <w:r>
              <w:rPr>
                <w:rStyle w:val="Style4"/>
                <w:rFonts w:eastAsia="Calibri" w:cs=""/>
                <w:b/>
                <w:bCs/>
                <w:i/>
                <w:kern w:val="0"/>
                <w:sz w:val="22"/>
                <w:szCs w:val="22"/>
                <w:shd w:fill="auto" w:val="clear"/>
                <w:lang w:val="ru-RU" w:eastAsia="en-US" w:bidi="ar-SA"/>
              </w:rPr>
              <w:t>О</w:t>
            </w:r>
            <w:r>
              <w:rPr>
                <w:rStyle w:val="Style4"/>
                <w:rFonts w:eastAsia="Calibri" w:cs=""/>
                <w:b/>
                <w:bCs/>
                <w:i/>
                <w:kern w:val="0"/>
                <w:sz w:val="24"/>
                <w:szCs w:val="24"/>
                <w:shd w:fill="auto" w:val="clear"/>
                <w:lang w:val="ru-RU" w:eastAsia="en-US" w:bidi="ar-SA"/>
              </w:rPr>
              <w:t>КПД2 42.22.22.120. Реконструкция ВЛ 0,4-110 кВ на территории СП «Приморские  центральные электрические сети», СП «Приморские северные электрические сети»,  СП «Приморские южные электрические сети» расширение просеки в рамках инвестиционного проекта L_25-ПЭС-1708</w:t>
            </w:r>
          </w:p>
        </w:tc>
      </w:tr>
      <w:tr>
        <w:trPr/>
        <w:tc>
          <w:tcPr>
            <w:tcW w:w="1119" w:type="dxa"/>
            <w:tcBorders/>
          </w:tcPr>
          <w:p>
            <w:pPr>
              <w:pStyle w:val="Style21"/>
              <w:widowControl w:val="false"/>
              <w:suppressAutoHyphens w:val="true"/>
              <w:spacing w:before="60" w:after="60"/>
              <w:rPr>
                <w:rFonts w:eastAsia="Calibri"/>
              </w:rPr>
            </w:pPr>
            <w:r>
              <w:rPr>
                <w:rFonts w:eastAsia="Calibri"/>
              </w:rPr>
            </w:r>
          </w:p>
        </w:tc>
        <w:tc>
          <w:tcPr>
            <w:tcW w:w="2953"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Описание</w:t>
              <w:br/>
              <w:t>предмета закупки:</w:t>
            </w:r>
          </w:p>
        </w:tc>
        <w:tc>
          <w:tcPr>
            <w:tcW w:w="5846" w:type="dxa"/>
            <w:tcBorders/>
          </w:tcPr>
          <w:p>
            <w:pPr>
              <w:pStyle w:val="Style25"/>
              <w:widowControl w:val="false"/>
              <w:suppressAutoHyphens w:val="true"/>
              <w:spacing w:before="60" w:after="60"/>
              <w:rPr/>
            </w:pPr>
            <w:r>
              <w:rPr>
                <w:rFonts w:eastAsia="Calibri" w:cs=""/>
                <w:kern w:val="0"/>
                <w:sz w:val="24"/>
                <w:szCs w:val="24"/>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7"/>
                  <w:rFonts w:eastAsia="Calibri" w:cs=""/>
                  <w:kern w:val="0"/>
                  <w:sz w:val="24"/>
                  <w:szCs w:val="24"/>
                  <w:lang w:val="ru-RU" w:eastAsia="en-US" w:bidi="ar-SA"/>
                </w:rPr>
                <w:t>Технических требованиях (Приложении № 1)</w:t>
              </w:r>
            </w:hyperlink>
            <w:r>
              <w:rPr>
                <w:rFonts w:eastAsia="Calibri" w:cs=""/>
                <w:kern w:val="0"/>
                <w:sz w:val="24"/>
                <w:szCs w:val="24"/>
                <w:lang w:val="ru-RU" w:eastAsia="en-US" w:bidi="ar-SA"/>
              </w:rPr>
              <w:t>.</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19" w:name="_Ref125367124"/>
            <w:bookmarkStart w:id="20" w:name="_Ref125367124"/>
            <w:bookmarkEnd w:id="20"/>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Многолотовая закупка:</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Нет</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21" w:name="_Ref125360764"/>
            <w:bookmarkStart w:id="22" w:name="_Ref125360764"/>
            <w:bookmarkEnd w:id="22"/>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Наименование и адрес ЭП, на которой проводится закупка:</w:t>
            </w:r>
          </w:p>
        </w:tc>
        <w:tc>
          <w:tcPr>
            <w:tcW w:w="5846" w:type="dxa"/>
            <w:tcBorders/>
          </w:tcPr>
          <w:p>
            <w:pPr>
              <w:pStyle w:val="Normal"/>
              <w:widowControl w:val="false"/>
              <w:suppressAutoHyphens w:val="true"/>
              <w:spacing w:before="0" w:after="60"/>
              <w:jc w:val="left"/>
              <w:rPr/>
            </w:pPr>
            <w:r>
              <w:rPr>
                <w:rFonts w:eastAsia="Calibri" w:cs=""/>
                <w:kern w:val="0"/>
                <w:sz w:val="24"/>
                <w:szCs w:val="24"/>
                <w:lang w:val="ru-RU" w:eastAsia="en-US" w:bidi="ar-SA"/>
              </w:rPr>
              <w:t xml:space="preserve">Электронная (торговая) площадка: </w:t>
            </w:r>
            <w:hyperlink r:id="rId3">
              <w:r>
                <w:rPr>
                  <w:rFonts w:eastAsia="Calibri" w:cs=""/>
                  <w:kern w:val="0"/>
                  <w:sz w:val="24"/>
                  <w:szCs w:val="24"/>
                  <w:lang w:val="ru-RU" w:eastAsia="en-US" w:bidi="ar-SA"/>
                </w:rPr>
                <w:t>https://tender.lot-online.ru</w:t>
              </w:r>
            </w:hyperlink>
            <w:r>
              <w:rPr>
                <w:rFonts w:eastAsia="Calibri" w:cs=""/>
                <w:kern w:val="0"/>
                <w:sz w:val="24"/>
                <w:szCs w:val="24"/>
                <w:lang w:val="ru-RU" w:eastAsia="en-US" w:bidi="ar-SA"/>
              </w:rPr>
              <w:t>.</w:t>
            </w:r>
          </w:p>
          <w:p>
            <w:pPr>
              <w:pStyle w:val="Normal"/>
              <w:widowControl w:val="false"/>
              <w:suppressAutoHyphens w:val="true"/>
              <w:spacing w:before="0" w:after="60"/>
              <w:ind w:left="38" w:hanging="0"/>
              <w:jc w:val="left"/>
              <w:rPr/>
            </w:pPr>
            <w:r>
              <w:rPr>
                <w:rStyle w:val="Style4"/>
                <w:rFonts w:eastAsia="Calibri" w:cs=""/>
                <w:i w:val="false"/>
                <w:iCs w:val="false"/>
                <w:kern w:val="0"/>
                <w:sz w:val="24"/>
                <w:szCs w:val="24"/>
                <w:shd w:fill="auto" w:val="clear"/>
                <w:lang w:val="ru-RU" w:eastAsia="en-US" w:bidi="ar-SA"/>
              </w:rPr>
              <w:t xml:space="preserve">Регламент ЭТП, в соответствии с которым проводится закупка, размещен по адресу: </w:t>
            </w:r>
            <w:hyperlink r:id="rId4" w:tgtFrame="https://tender.lot-online.ru/app/EtpDocList/page">
              <w:r>
                <w:rPr>
                  <w:rFonts w:eastAsia="Calibri" w:cs=""/>
                  <w:kern w:val="0"/>
                  <w:sz w:val="24"/>
                  <w:szCs w:val="24"/>
                  <w:lang w:val="ru-RU" w:eastAsia="en-US" w:bidi="ar-SA"/>
                </w:rPr>
                <w:t>https://tender.lot-online.ru/app/EtpDocList/page</w:t>
              </w:r>
            </w:hyperlink>
          </w:p>
        </w:tc>
      </w:tr>
      <w:tr>
        <w:trPr/>
        <w:tc>
          <w:tcPr>
            <w:tcW w:w="1119" w:type="dxa"/>
            <w:tcBorders/>
          </w:tcPr>
          <w:p>
            <w:pPr>
              <w:pStyle w:val="Style21"/>
              <w:widowControl w:val="false"/>
              <w:suppressAutoHyphens w:val="true"/>
              <w:spacing w:before="60" w:after="60"/>
              <w:rPr>
                <w:rFonts w:eastAsia="Calibri"/>
              </w:rPr>
            </w:pPr>
            <w:r>
              <w:rPr>
                <w:rFonts w:eastAsia="Calibri"/>
              </w:rPr>
            </w:r>
            <w:bookmarkStart w:id="23" w:name="_Ref125360970"/>
            <w:bookmarkStart w:id="24" w:name="_Ref125360970"/>
            <w:bookmarkEnd w:id="24"/>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Участники:</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25"/>
              <w:widowControl w:val="false"/>
              <w:suppressAutoHyphens w:val="true"/>
              <w:spacing w:before="60" w:after="60"/>
              <w:rPr/>
            </w:pPr>
            <w:r>
              <w:rPr>
                <w:rFonts w:eastAsia="Calibri" w:cs=""/>
                <w:kern w:val="0"/>
                <w:sz w:val="24"/>
                <w:szCs w:val="24"/>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7"/>
                  <w:rFonts w:eastAsia="Calibri" w:cs=""/>
                  <w:kern w:val="0"/>
                  <w:sz w:val="24"/>
                  <w:szCs w:val="24"/>
                  <w:lang w:val="ru-RU" w:eastAsia="en-US" w:bidi="ar-SA"/>
                </w:rPr>
                <w:t>Проекта Договора (Приложение № 2)</w:t>
              </w:r>
            </w:hyperlink>
            <w:r>
              <w:rPr>
                <w:rFonts w:eastAsia="Calibri" w:cs=""/>
                <w:kern w:val="0"/>
                <w:sz w:val="24"/>
                <w:szCs w:val="24"/>
                <w:lang w:val="ru-RU" w:eastAsia="en-US" w:bidi="ar-SA"/>
              </w:rPr>
              <w:t xml:space="preserve"> прямого запрета на привлечение к исполнению обязательств по Договору третьих лиц).</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25" w:name="_Ref125360988"/>
            <w:bookmarkStart w:id="26" w:name="_Ref125360988"/>
            <w:bookmarkEnd w:id="26"/>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Заказчик:</w:t>
            </w:r>
          </w:p>
        </w:tc>
        <w:tc>
          <w:tcPr>
            <w:tcW w:w="5846" w:type="dxa"/>
            <w:tcBorders/>
          </w:tcPr>
          <w:p>
            <w:pPr>
              <w:pStyle w:val="Tableheader"/>
              <w:widowControl w:val="false"/>
              <w:suppressAutoHyphens w:val="true"/>
              <w:spacing w:before="0" w:after="0"/>
              <w:jc w:val="left"/>
              <w:rPr>
                <w:b w:val="false"/>
                <w:sz w:val="24"/>
              </w:rPr>
            </w:pPr>
            <w:r>
              <w:rPr>
                <w:b w:val="false"/>
                <w:sz w:val="24"/>
              </w:rPr>
              <w:t>Наименование (полное и сокращенное): АО «Дальневосточная распределительная сетевая компания» (АО «ДРСК»)</w:t>
            </w:r>
          </w:p>
          <w:p>
            <w:pPr>
              <w:pStyle w:val="Tableheader"/>
              <w:widowControl w:val="false"/>
              <w:suppressAutoHyphens w:val="true"/>
              <w:spacing w:before="0" w:after="0"/>
              <w:jc w:val="left"/>
              <w:rPr>
                <w:b w:val="false"/>
                <w:sz w:val="24"/>
              </w:rPr>
            </w:pPr>
            <w:r>
              <w:rPr>
                <w:b w:val="false"/>
                <w:sz w:val="24"/>
              </w:rPr>
              <w:t>Место нахождения: 675000, Амурская обл., г. Благовещенск, ул. Шевченко, 32</w:t>
            </w:r>
          </w:p>
          <w:p>
            <w:pPr>
              <w:pStyle w:val="Tableheader"/>
              <w:widowControl w:val="false"/>
              <w:suppressAutoHyphens w:val="true"/>
              <w:spacing w:before="0" w:after="0"/>
              <w:jc w:val="left"/>
              <w:rPr>
                <w:b w:val="false"/>
                <w:sz w:val="24"/>
              </w:rPr>
            </w:pPr>
            <w:r>
              <w:rPr>
                <w:b w:val="false"/>
                <w:sz w:val="24"/>
              </w:rPr>
              <w:t>Почтовый адрес: 675000, Амурская обл., г. Благовещенск, ул. Шевченко, 32</w:t>
            </w:r>
          </w:p>
          <w:p>
            <w:pPr>
              <w:pStyle w:val="Tableheader"/>
              <w:widowControl w:val="false"/>
              <w:suppressAutoHyphens w:val="true"/>
              <w:spacing w:before="0" w:after="0"/>
              <w:jc w:val="left"/>
              <w:rPr>
                <w:b w:val="false"/>
                <w:sz w:val="24"/>
              </w:rPr>
            </w:pPr>
            <w:r>
              <w:rPr>
                <w:b w:val="false"/>
                <w:sz w:val="24"/>
              </w:rPr>
              <w:t>Адрес электронной почты doc@drsk.ru</w:t>
            </w:r>
          </w:p>
          <w:p>
            <w:pPr>
              <w:pStyle w:val="Tableheader"/>
              <w:widowControl w:val="false"/>
              <w:suppressAutoHyphens w:val="true"/>
              <w:spacing w:before="120" w:after="120"/>
              <w:rPr>
                <w:rStyle w:val="Style12"/>
                <w:b/>
              </w:rPr>
            </w:pPr>
            <w:r>
              <w:rPr>
                <w:rStyle w:val="Style12"/>
                <w:b/>
                <w:i w:val="false"/>
                <w:sz w:val="24"/>
                <w:szCs w:val="26"/>
                <w:shd w:fill="auto" w:val="clear"/>
              </w:rPr>
              <w:t xml:space="preserve">Контактный телефон: </w:t>
            </w:r>
            <w:r>
              <w:rPr>
                <w:rStyle w:val="Style4"/>
                <w:b w:val="false"/>
                <w:i w:val="false"/>
                <w:iCs w:val="false"/>
                <w:sz w:val="24"/>
                <w:szCs w:val="26"/>
                <w:shd w:fill="auto" w:val="clear"/>
                <w:lang w:val="ru-RU"/>
              </w:rPr>
              <w:t>8 (4162) 327-284</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27" w:name="_Ref125360954"/>
            <w:bookmarkStart w:id="28" w:name="_Ref125360954"/>
            <w:bookmarkEnd w:id="28"/>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Организатор:</w:t>
            </w:r>
          </w:p>
        </w:tc>
        <w:tc>
          <w:tcPr>
            <w:tcW w:w="5846" w:type="dxa"/>
            <w:tcBorders/>
          </w:tcPr>
          <w:p>
            <w:pPr>
              <w:pStyle w:val="Tableheader"/>
              <w:widowControl w:val="false"/>
              <w:suppressAutoHyphens w:val="true"/>
              <w:spacing w:before="0" w:after="0"/>
              <w:jc w:val="left"/>
              <w:rPr>
                <w:b w:val="false"/>
                <w:sz w:val="24"/>
              </w:rPr>
            </w:pPr>
            <w:r>
              <w:rPr>
                <w:b w:val="false"/>
                <w:sz w:val="24"/>
              </w:rPr>
              <w:t>Наименование (полное и сокращенное): АО «Дальневосточная распределительная сетевая компания» (АО «ДРСК»)</w:t>
            </w:r>
          </w:p>
          <w:p>
            <w:pPr>
              <w:pStyle w:val="Tableheader"/>
              <w:widowControl w:val="false"/>
              <w:suppressAutoHyphens w:val="true"/>
              <w:spacing w:before="0" w:after="0"/>
              <w:jc w:val="left"/>
              <w:rPr>
                <w:b w:val="false"/>
                <w:sz w:val="24"/>
              </w:rPr>
            </w:pPr>
            <w:r>
              <w:rPr>
                <w:b w:val="false"/>
                <w:sz w:val="24"/>
              </w:rPr>
              <w:t>Место нахождения: 675000, Амурская обл., г. Благовещенск, ул. Шевченко, 32</w:t>
            </w:r>
          </w:p>
          <w:p>
            <w:pPr>
              <w:pStyle w:val="Tableheader"/>
              <w:widowControl w:val="false"/>
              <w:suppressAutoHyphens w:val="true"/>
              <w:spacing w:before="0" w:after="0"/>
              <w:jc w:val="left"/>
              <w:rPr>
                <w:b w:val="false"/>
                <w:sz w:val="24"/>
              </w:rPr>
            </w:pPr>
            <w:r>
              <w:rPr>
                <w:b w:val="false"/>
                <w:sz w:val="24"/>
              </w:rPr>
              <w:t>Почтовый адрес: 675000, Амурская обл., г. Благовещенск, ул. Шевченко, 32</w:t>
            </w:r>
          </w:p>
          <w:p>
            <w:pPr>
              <w:pStyle w:val="Tableheader"/>
              <w:widowControl w:val="false"/>
              <w:suppressAutoHyphens w:val="true"/>
              <w:spacing w:before="0" w:after="0"/>
              <w:jc w:val="left"/>
              <w:rPr>
                <w:b w:val="false"/>
                <w:sz w:val="24"/>
              </w:rPr>
            </w:pPr>
            <w:r>
              <w:rPr>
                <w:b w:val="false"/>
                <w:sz w:val="24"/>
              </w:rPr>
              <w:t>Адрес электронной почты doc@drsk.ru</w:t>
            </w:r>
          </w:p>
          <w:p>
            <w:pPr>
              <w:pStyle w:val="Tableheader"/>
              <w:widowControl w:val="false"/>
              <w:suppressAutoHyphens w:val="true"/>
              <w:spacing w:before="120" w:after="120"/>
              <w:rPr>
                <w:rStyle w:val="Style12"/>
                <w:b/>
              </w:rPr>
            </w:pPr>
            <w:r>
              <w:rPr>
                <w:rStyle w:val="Style12"/>
                <w:b/>
                <w:sz w:val="24"/>
                <w:shd w:fill="auto" w:val="clear"/>
              </w:rPr>
              <w:t xml:space="preserve">Контактный телефон: </w:t>
            </w:r>
            <w:r>
              <w:rPr>
                <w:rStyle w:val="Style4"/>
                <w:b w:val="false"/>
                <w:i w:val="false"/>
                <w:iCs w:val="false"/>
                <w:sz w:val="24"/>
                <w:shd w:fill="auto" w:val="clear"/>
                <w:lang w:val="ru-RU"/>
              </w:rPr>
              <w:t>8 (4162) 327-284</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29" w:name="_Ref125361238"/>
            <w:bookmarkStart w:id="30" w:name="_Ref125361238"/>
            <w:bookmarkEnd w:id="30"/>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Представитель Организатора:</w:t>
            </w:r>
          </w:p>
        </w:tc>
        <w:tc>
          <w:tcPr>
            <w:tcW w:w="5846" w:type="dxa"/>
            <w:tcBorders/>
          </w:tcPr>
          <w:p>
            <w:pPr>
              <w:pStyle w:val="Style25"/>
              <w:widowControl w:val="false"/>
              <w:suppressAutoHyphens w:val="true"/>
              <w:spacing w:before="60" w:after="60"/>
              <w:rPr>
                <w:rStyle w:val="Style4"/>
                <w:rFonts w:ascii="Times New Roman" w:hAnsi="Times New Roman" w:eastAsia="Calibri" w:cs=""/>
                <w:kern w:val="0"/>
                <w:sz w:val="26"/>
                <w:szCs w:val="22"/>
                <w:lang w:val="ru-RU" w:eastAsia="en-US" w:bidi="ar-SA"/>
              </w:rPr>
            </w:pPr>
            <w:r>
              <w:rPr>
                <w:rStyle w:val="Style4"/>
                <w:b w:val="false"/>
                <w:i w:val="false"/>
                <w:iCs w:val="false"/>
                <w:sz w:val="24"/>
                <w:shd w:fill="auto" w:val="clear"/>
                <w:lang w:val="ru-RU"/>
              </w:rPr>
              <w:t>Контактное лицо: Щербакова Татьяна Викторовна Контактный телефон: 8 (4162) 327-284</w:t>
            </w:r>
          </w:p>
          <w:p>
            <w:pPr>
              <w:pStyle w:val="Style25"/>
              <w:widowControl w:val="false"/>
              <w:suppressAutoHyphens w:val="true"/>
              <w:spacing w:before="60" w:after="60"/>
              <w:rPr>
                <w:rStyle w:val="Style4"/>
              </w:rPr>
            </w:pPr>
            <w:r>
              <w:rPr>
                <w:rStyle w:val="Style4"/>
                <w:i w:val="false"/>
                <w:iCs w:val="false"/>
                <w:sz w:val="24"/>
                <w:shd w:fill="auto" w:val="clear"/>
              </w:rPr>
              <w:t xml:space="preserve">Адрес электронной почты: </w:t>
            </w:r>
            <w:hyperlink r:id="rId5">
              <w:r>
                <w:rPr>
                  <w:rStyle w:val="Hyperlink"/>
                  <w:rFonts w:eastAsia="Calibri" w:cs=""/>
                  <w:i w:val="false"/>
                  <w:iCs w:val="false"/>
                  <w:color w:val="000000"/>
                  <w:kern w:val="0"/>
                  <w:sz w:val="24"/>
                  <w:szCs w:val="22"/>
                  <w:shd w:fill="auto" w:val="clear"/>
                  <w:lang w:val="ru-RU" w:eastAsia="en-US" w:bidi="ar-SA"/>
                </w:rPr>
                <w:t>sherbakova-tv@drsk.ru</w:t>
              </w:r>
            </w:hyperlink>
          </w:p>
        </w:tc>
      </w:tr>
      <w:tr>
        <w:trPr/>
        <w:tc>
          <w:tcPr>
            <w:tcW w:w="1119" w:type="dxa"/>
            <w:tcBorders/>
          </w:tcPr>
          <w:p>
            <w:pPr>
              <w:pStyle w:val="Style21"/>
              <w:widowControl w:val="false"/>
              <w:suppressAutoHyphens w:val="true"/>
              <w:spacing w:before="60" w:after="60"/>
              <w:rPr>
                <w:rFonts w:eastAsia="Calibri"/>
              </w:rPr>
            </w:pPr>
            <w:r>
              <w:rPr>
                <w:rFonts w:eastAsia="Calibri"/>
              </w:rPr>
            </w:r>
            <w:bookmarkStart w:id="31" w:name="_Ref125362694"/>
            <w:bookmarkStart w:id="32" w:name="_Ref125362694"/>
            <w:bookmarkEnd w:id="32"/>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Документация о закупке официально размещена в ЕИС и доступна на Официальном сайте для ознакомления любым заинтересованным лицам. Официальным источником информации о ходе проведения закупки является Официальный сайт (zakupki.gov.ru).</w:t>
            </w:r>
          </w:p>
          <w:p>
            <w:pPr>
              <w:pStyle w:val="Style25"/>
              <w:widowControl w:val="false"/>
              <w:suppressAutoHyphens w:val="true"/>
              <w:spacing w:before="60" w:after="60"/>
              <w:rPr>
                <w:sz w:val="24"/>
                <w:szCs w:val="24"/>
              </w:rPr>
            </w:pPr>
            <w:r>
              <w:rPr>
                <w:rFonts w:eastAsia="Calibri" w:cs=""/>
                <w:kern w:val="0"/>
                <w:sz w:val="24"/>
                <w:szCs w:val="24"/>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33" w:name="_Ref125360963"/>
            <w:bookmarkStart w:id="34" w:name="_Ref125360963"/>
            <w:bookmarkEnd w:id="34"/>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Дата размещения Извещения о проведении закупки:</w:t>
            </w:r>
          </w:p>
        </w:tc>
        <w:tc>
          <w:tcPr>
            <w:tcW w:w="5846" w:type="dxa"/>
            <w:tcBorders/>
          </w:tcPr>
          <w:p>
            <w:pPr>
              <w:pStyle w:val="Style25"/>
              <w:widowControl w:val="false"/>
              <w:suppressAutoHyphens w:val="true"/>
              <w:spacing w:before="60" w:after="60"/>
              <w:rPr>
                <w:rFonts w:eastAsia="Calibri" w:cs="" w:cstheme="minorBidi" w:eastAsiaTheme="minorHAnsi"/>
                <w:highlight w:val="none"/>
                <w:shd w:fill="FFFFFF" w:val="clear"/>
              </w:rPr>
            </w:pPr>
            <w:r>
              <w:rPr>
                <w:rFonts w:eastAsia="Calibri" w:cs="" w:cstheme="minorBidi" w:eastAsiaTheme="minorHAnsi"/>
                <w:kern w:val="0"/>
                <w:sz w:val="24"/>
                <w:szCs w:val="24"/>
                <w:shd w:fill="FFFFFF" w:val="clear"/>
                <w:lang w:val="ru-RU" w:eastAsia="en-US" w:bidi="ar-SA"/>
              </w:rPr>
              <w:t>07.07.2026</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35" w:name="_Ref125362837"/>
            <w:bookmarkStart w:id="36" w:name="_Ref125362837"/>
            <w:bookmarkEnd w:id="36"/>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Начальная (максимальная) цена договора (цена лота):</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 xml:space="preserve">НМЦ составляет </w:t>
            </w:r>
            <w:r>
              <w:rPr>
                <w:rFonts w:eastAsia="Calibri" w:cs="" w:cstheme="minorBidi" w:eastAsiaTheme="minorHAnsi"/>
                <w:color w:val="auto"/>
                <w:kern w:val="0"/>
                <w:sz w:val="24"/>
                <w:szCs w:val="24"/>
                <w:lang w:val="ru-RU" w:eastAsia="en-US" w:bidi="ar-SA"/>
              </w:rPr>
              <w:t>27 793 520,75</w:t>
            </w:r>
            <w:r>
              <w:rPr>
                <w:rFonts w:eastAsia="Calibri" w:cs=""/>
                <w:kern w:val="0"/>
                <w:sz w:val="24"/>
                <w:szCs w:val="24"/>
                <w:lang w:val="ru-RU" w:eastAsia="en-US" w:bidi="ar-SA"/>
              </w:rPr>
              <w:t> руб., без учета НДС.</w:t>
            </w:r>
          </w:p>
          <w:p>
            <w:pPr>
              <w:pStyle w:val="Style28"/>
              <w:widowControl w:val="false"/>
              <w:suppressAutoHyphens w:val="true"/>
              <w:spacing w:before="60" w:after="60"/>
              <w:rPr>
                <w:rFonts w:ascii="Times New Roman" w:hAnsi="Times New Roman" w:eastAsia="Calibri" w:cs=""/>
                <w:kern w:val="0"/>
                <w:sz w:val="24"/>
                <w:szCs w:val="24"/>
                <w:lang w:val="ru-RU" w:eastAsia="en-US" w:bidi="ar-SA"/>
              </w:rPr>
            </w:pPr>
            <w:r>
              <w:rPr>
                <w:rFonts w:eastAsia="Calibri" w:cs=""/>
                <w:kern w:val="0"/>
                <w:sz w:val="24"/>
                <w:szCs w:val="24"/>
                <w:lang w:val="ru-RU" w:eastAsia="en-US" w:bidi="ar-SA"/>
              </w:rPr>
            </w:r>
          </w:p>
          <w:p>
            <w:pPr>
              <w:pStyle w:val="Style25"/>
              <w:widowControl w:val="false"/>
              <w:suppressAutoHyphens w:val="true"/>
              <w:spacing w:before="60" w:after="60"/>
              <w:rPr/>
            </w:pPr>
            <w:r>
              <w:rPr>
                <w:rFonts w:eastAsia="Calibri" w:cs=""/>
                <w:kern w:val="0"/>
                <w:sz w:val="24"/>
                <w:szCs w:val="24"/>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7"/>
                  <w:rFonts w:eastAsia="Calibri" w:cs=""/>
                  <w:kern w:val="0"/>
                  <w:sz w:val="24"/>
                  <w:szCs w:val="24"/>
                  <w:lang w:val="ru-RU" w:eastAsia="en-US" w:bidi="ar-SA"/>
                </w:rPr>
                <w:t>Приложение № 4</w:t>
              </w:r>
            </w:hyperlink>
            <w:r>
              <w:rPr>
                <w:rFonts w:eastAsia="Calibri" w:cs=""/>
                <w:kern w:val="0"/>
                <w:sz w:val="24"/>
                <w:szCs w:val="24"/>
                <w:lang w:val="ru-RU" w:eastAsia="en-US" w:bidi="ar-SA"/>
              </w:rPr>
              <w:t>)).</w:t>
            </w:r>
          </w:p>
          <w:p>
            <w:pPr>
              <w:pStyle w:val="Style25"/>
              <w:widowControl w:val="false"/>
              <w:suppressAutoHyphens w:val="true"/>
              <w:spacing w:before="60" w:after="60"/>
              <w:rPr/>
            </w:pPr>
            <w:r>
              <w:rPr>
                <w:rFonts w:eastAsia="Calibri" w:cs=""/>
                <w:kern w:val="0"/>
                <w:sz w:val="24"/>
                <w:szCs w:val="24"/>
                <w:lang w:val="ru-RU" w:eastAsia="en-US" w:bidi="ar-SA"/>
              </w:rPr>
              <w:t xml:space="preserve">Обоснование НМЦ представлено в </w:t>
            </w:r>
            <w:hyperlink w:anchor="Прил09_ОбоснованиеНМЦ">
              <w:r>
                <w:rPr>
                  <w:rStyle w:val="Style7"/>
                  <w:rFonts w:eastAsia="Calibri" w:cs=""/>
                  <w:kern w:val="0"/>
                  <w:sz w:val="24"/>
                  <w:szCs w:val="24"/>
                  <w:lang w:val="ru-RU" w:eastAsia="en-US" w:bidi="ar-SA"/>
                </w:rPr>
                <w:t>Приложении № 9</w:t>
              </w:r>
            </w:hyperlink>
            <w:r>
              <w:rPr>
                <w:rFonts w:eastAsia="Calibri" w:cs=""/>
                <w:kern w:val="0"/>
                <w:sz w:val="24"/>
                <w:szCs w:val="24"/>
                <w:lang w:val="ru-RU" w:eastAsia="en-US" w:bidi="ar-SA"/>
              </w:rPr>
              <w:t>.</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37" w:name="_Ref125363076"/>
            <w:bookmarkStart w:id="38" w:name="_Ref125363076"/>
            <w:bookmarkEnd w:id="38"/>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Обеспечение заявки на участие в закупке:</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требуется.</w:t>
            </w:r>
          </w:p>
          <w:p>
            <w:pPr>
              <w:pStyle w:val="Style25"/>
              <w:widowControl w:val="false"/>
              <w:suppressAutoHyphens w:val="true"/>
              <w:spacing w:before="60" w:after="60"/>
              <w:rPr/>
            </w:pPr>
            <w:r>
              <w:rPr>
                <w:rStyle w:val="Style4"/>
                <w:rFonts w:eastAsia="Calibri" w:cs=""/>
                <w:i w:val="false"/>
                <w:iCs w:val="false"/>
                <w:kern w:val="0"/>
                <w:sz w:val="24"/>
                <w:szCs w:val="24"/>
                <w:shd w:fill="auto" w:val="clear"/>
                <w:lang w:val="ru-RU" w:eastAsia="en-US" w:bidi="ar-SA"/>
              </w:rPr>
              <w:t>Внимание! Для того, чтобы иметь возможность подать заявку на участие в закупке, в соответствии с Регламентом ЭП на счете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39" w:name="_Ref125362995"/>
            <w:bookmarkStart w:id="40" w:name="_Ref125362995"/>
            <w:bookmarkEnd w:id="40"/>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Требования</w:t>
              <w:br/>
              <w:t>к описанию продукции:</w:t>
            </w:r>
          </w:p>
        </w:tc>
        <w:tc>
          <w:tcPr>
            <w:tcW w:w="5846" w:type="dxa"/>
            <w:tcBorders/>
          </w:tcPr>
          <w:p>
            <w:pPr>
              <w:pStyle w:val="Style25"/>
              <w:widowControl w:val="false"/>
              <w:suppressAutoHyphens w:val="true"/>
              <w:spacing w:before="60" w:after="60"/>
              <w:rPr/>
            </w:pPr>
            <w:r>
              <w:rPr>
                <w:rFonts w:eastAsia="Calibri" w:cs=""/>
                <w:kern w:val="0"/>
                <w:sz w:val="24"/>
                <w:szCs w:val="24"/>
                <w:lang w:val="ru-RU" w:eastAsia="en-US" w:bidi="ar-SA"/>
              </w:rPr>
              <w:t>Согласие (декларация) Участника на поставку продукции по установленной форме Технического предложения (форма 4) (</w:t>
            </w:r>
            <w:hyperlink w:anchor="Прил04_ФормыЗаявки">
              <w:r>
                <w:rPr>
                  <w:rStyle w:val="Style7"/>
                  <w:rFonts w:eastAsia="Calibri" w:cs=""/>
                  <w:kern w:val="0"/>
                  <w:sz w:val="24"/>
                  <w:szCs w:val="24"/>
                  <w:lang w:val="ru-RU" w:eastAsia="en-US" w:bidi="ar-SA"/>
                </w:rPr>
                <w:t>Приложение № 4</w:t>
              </w:r>
            </w:hyperlink>
            <w:r>
              <w:rPr>
                <w:rFonts w:eastAsia="Calibri" w:cs=""/>
                <w:kern w:val="0"/>
                <w:sz w:val="24"/>
                <w:szCs w:val="24"/>
                <w:lang w:val="ru-RU" w:eastAsia="en-US" w:bidi="ar-SA"/>
              </w:rPr>
              <w:t>)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trPr/>
        <w:tc>
          <w:tcPr>
            <w:tcW w:w="1119" w:type="dxa"/>
            <w:tcBorders/>
          </w:tcPr>
          <w:p>
            <w:pPr>
              <w:pStyle w:val="Style21"/>
              <w:widowControl w:val="false"/>
              <w:suppressAutoHyphens w:val="true"/>
              <w:spacing w:before="60" w:after="60"/>
              <w:rPr>
                <w:rFonts w:eastAsia="Calibri"/>
              </w:rPr>
            </w:pPr>
            <w:r>
              <w:rPr>
                <w:rFonts w:eastAsia="Calibri"/>
              </w:rPr>
            </w:r>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Применение законодательства о национальном режиме:</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Национальный режим предоставляется.</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41" w:name="_Ref125533737"/>
            <w:bookmarkStart w:id="42" w:name="_Ref125533737"/>
            <w:bookmarkEnd w:id="42"/>
          </w:p>
        </w:tc>
        <w:tc>
          <w:tcPr>
            <w:tcW w:w="2953" w:type="dxa"/>
            <w:tcBorders/>
          </w:tcPr>
          <w:p>
            <w:pPr>
              <w:pStyle w:val="Normal"/>
              <w:widowControl w:val="false"/>
              <w:suppressAutoHyphens w:val="true"/>
              <w:spacing w:before="60" w:after="60"/>
              <w:jc w:val="left"/>
              <w:rPr>
                <w:sz w:val="24"/>
                <w:szCs w:val="24"/>
              </w:rPr>
            </w:pPr>
            <w:r>
              <w:rPr>
                <w:rFonts w:eastAsia="Calibri" w:cs=""/>
                <w:kern w:val="0"/>
                <w:sz w:val="24"/>
                <w:szCs w:val="24"/>
                <w:lang w:val="ru-RU" w:eastAsia="en-US" w:bidi="ar-SA"/>
              </w:rPr>
              <w:t>Дополнительный этап закупки – Предзаявочное обсуждение:</w:t>
            </w:r>
          </w:p>
          <w:p>
            <w:pPr>
              <w:pStyle w:val="Normal"/>
              <w:widowControl w:val="false"/>
              <w:suppressAutoHyphens w:val="true"/>
              <w:spacing w:before="60" w:after="60"/>
              <w:jc w:val="left"/>
              <w:rPr>
                <w:sz w:val="24"/>
                <w:szCs w:val="24"/>
              </w:rPr>
            </w:pPr>
            <w:r>
              <w:rPr>
                <w:rFonts w:eastAsia="Calibri" w:cs=""/>
                <w:i/>
                <w:iCs/>
                <w:kern w:val="0"/>
                <w:sz w:val="24"/>
                <w:szCs w:val="24"/>
                <w:lang w:val="ru-RU" w:eastAsia="en-US" w:bidi="ar-SA"/>
              </w:rPr>
              <w:t>(проведение в срок до окончания срока подачи заявок Заказчиком обсуждения с Участниками функциональных характеристик (потребительских свойств) продукции и иных условий исполнения договора в целях уточнения в Извещении, Документации о закупке, проекте договора требуемых характеристик (потребительских свойств) закупаемой продукции)</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предусмотрен.</w:t>
            </w:r>
          </w:p>
          <w:p>
            <w:pPr>
              <w:pStyle w:val="Style28"/>
              <w:widowControl w:val="false"/>
              <w:suppressAutoHyphens w:val="true"/>
              <w:spacing w:before="60" w:after="60"/>
              <w:rPr>
                <w:sz w:val="24"/>
                <w:szCs w:val="24"/>
              </w:rPr>
            </w:pPr>
            <w:r>
              <w:rPr>
                <w:sz w:val="24"/>
                <w:szCs w:val="24"/>
              </w:rPr>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43" w:name="_Ref132896648"/>
            <w:bookmarkStart w:id="44" w:name="_Ref132896648"/>
            <w:bookmarkEnd w:id="44"/>
          </w:p>
        </w:tc>
        <w:tc>
          <w:tcPr>
            <w:tcW w:w="2953" w:type="dxa"/>
            <w:tcBorders/>
          </w:tcPr>
          <w:p>
            <w:pPr>
              <w:pStyle w:val="Normal"/>
              <w:widowControl w:val="false"/>
              <w:suppressAutoHyphens w:val="true"/>
              <w:spacing w:before="60" w:after="60"/>
              <w:jc w:val="left"/>
              <w:rPr>
                <w:sz w:val="24"/>
                <w:szCs w:val="24"/>
              </w:rPr>
            </w:pPr>
            <w:r>
              <w:rPr>
                <w:rFonts w:eastAsia="Calibri" w:cs=""/>
                <w:kern w:val="0"/>
                <w:sz w:val="24"/>
                <w:szCs w:val="24"/>
                <w:lang w:val="ru-RU" w:eastAsia="en-US" w:bidi="ar-SA"/>
              </w:rPr>
              <w:t>Дополнительный этап закупки – Обсуждение заявок:</w:t>
            </w:r>
          </w:p>
          <w:p>
            <w:pPr>
              <w:pStyle w:val="Normal"/>
              <w:widowControl w:val="false"/>
              <w:suppressAutoHyphens w:val="true"/>
              <w:spacing w:before="60" w:after="60"/>
              <w:jc w:val="left"/>
              <w:rPr>
                <w:sz w:val="24"/>
                <w:szCs w:val="24"/>
              </w:rPr>
            </w:pPr>
            <w:r>
              <w:rPr>
                <w:rFonts w:eastAsia="Calibri" w:cs=""/>
                <w:i/>
                <w:iCs/>
                <w:kern w:val="0"/>
                <w:sz w:val="24"/>
                <w:szCs w:val="24"/>
                <w:lang w:val="ru-RU" w:eastAsia="en-US" w:bidi="ar-SA"/>
              </w:rPr>
              <w:t>(обсуждение Заказчиком предложений о функциональных характеристиках (потребительских свойствах) продукции и об иных условиях исполнения договора, содержащихся в заявках Участников, в целях уточнения в Извещении, Документации о закупке, проекте договора требуемых характеристик (потребительских свойств) закупаемой продукции)</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предусмотрен</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45" w:name="_Ref125475086"/>
            <w:bookmarkStart w:id="46" w:name="_Ref125475086"/>
            <w:bookmarkEnd w:id="46"/>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Место и порядок</w:t>
              <w:br/>
              <w:t>подачи заявок:</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Заявки подаются посредством функционала ЭП, по адресу ЭП, указанному в пункте </w:t>
            </w:r>
            <w:r>
              <w:rPr>
                <w:rFonts w:eastAsia="Calibri" w:cs=""/>
                <w:kern w:val="0"/>
                <w:sz w:val="24"/>
                <w:szCs w:val="24"/>
                <w:lang w:val="ru-RU" w:eastAsia="en-US" w:bidi="ar-SA"/>
              </w:rPr>
              <w:fldChar w:fldCharType="begin"/>
            </w:r>
            <w:r>
              <w:rPr>
                <w:sz w:val="24"/>
                <w:kern w:val="0"/>
                <w:szCs w:val="24"/>
                <w:rFonts w:eastAsia="Calibri" w:cs=""/>
                <w:lang w:val="ru-RU" w:eastAsia="en-US" w:bidi="ar-SA"/>
              </w:rPr>
              <w:instrText xml:space="preserve"> REF _Ref125360764 \r \h </w:instrText>
            </w:r>
            <w:r>
              <w:rPr>
                <w:sz w:val="24"/>
                <w:kern w:val="0"/>
                <w:szCs w:val="24"/>
                <w:rFonts w:eastAsia="Calibri" w:cs=""/>
                <w:lang w:val="ru-RU" w:eastAsia="en-US" w:bidi="ar-SA"/>
              </w:rPr>
              <w:fldChar w:fldCharType="separate"/>
            </w:r>
            <w:r>
              <w:rPr>
                <w:sz w:val="24"/>
                <w:kern w:val="0"/>
                <w:szCs w:val="24"/>
                <w:rFonts w:eastAsia="Calibri" w:cs=""/>
                <w:lang w:val="ru-RU" w:eastAsia="en-US" w:bidi="ar-SA"/>
              </w:rPr>
              <w:t>1.2.5</w:t>
            </w:r>
            <w:r>
              <w:rPr>
                <w:sz w:val="24"/>
                <w:kern w:val="0"/>
                <w:szCs w:val="24"/>
                <w:rFonts w:eastAsia="Calibri" w:cs=""/>
                <w:lang w:val="ru-RU" w:eastAsia="en-US" w:bidi="ar-SA"/>
              </w:rPr>
              <w:fldChar w:fldCharType="end"/>
            </w:r>
            <w:r>
              <w:rPr>
                <w:rFonts w:eastAsia="Calibri" w:cs=""/>
                <w:kern w:val="0"/>
                <w:sz w:val="24"/>
                <w:szCs w:val="24"/>
                <w:lang w:val="ru-RU" w:eastAsia="en-US" w:bidi="ar-SA"/>
              </w:rPr>
              <w:t>.</w:t>
            </w:r>
          </w:p>
          <w:p>
            <w:pPr>
              <w:pStyle w:val="Style25"/>
              <w:widowControl w:val="false"/>
              <w:suppressAutoHyphens w:val="true"/>
              <w:spacing w:before="60" w:after="60"/>
              <w:rPr>
                <w:sz w:val="24"/>
                <w:szCs w:val="24"/>
              </w:rPr>
            </w:pPr>
            <w:r>
              <w:rPr>
                <w:rFonts w:eastAsia="Calibri" w:cs=""/>
                <w:kern w:val="0"/>
                <w:sz w:val="24"/>
                <w:szCs w:val="24"/>
                <w:lang w:val="ru-RU" w:eastAsia="en-US" w:bidi="ar-SA"/>
              </w:rPr>
              <w:t>Заявка должна состоять из двух частей и ценового предложения.</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47" w:name="_Ref125360779"/>
            <w:bookmarkStart w:id="48" w:name="_Ref125360779"/>
            <w:bookmarkEnd w:id="48"/>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Дата начала; дата и время окончания срока подачи заявок (окончательных предложений):</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Дата начала подачи заявок:</w:t>
            </w:r>
          </w:p>
          <w:p>
            <w:pPr>
              <w:pStyle w:val="Style25"/>
              <w:widowControl w:val="false"/>
              <w:suppressAutoHyphens w:val="true"/>
              <w:spacing w:before="60" w:after="60"/>
              <w:rPr>
                <w:rFonts w:eastAsia="Calibri" w:cs="" w:cstheme="minorBidi" w:eastAsiaTheme="minorHAnsi"/>
                <w:highlight w:val="none"/>
                <w:shd w:fill="FFFFFF" w:val="clear"/>
              </w:rPr>
            </w:pPr>
            <w:r>
              <w:rPr>
                <w:rFonts w:eastAsia="Calibri" w:cs="" w:cstheme="minorBidi" w:eastAsiaTheme="minorHAnsi"/>
                <w:kern w:val="0"/>
                <w:sz w:val="24"/>
                <w:szCs w:val="24"/>
                <w:shd w:fill="FFFFFF" w:val="clear"/>
                <w:lang w:val="ru-RU" w:eastAsia="en-US" w:bidi="ar-SA"/>
              </w:rPr>
              <w:t>07.07.2026г.</w:t>
            </w:r>
          </w:p>
          <w:p>
            <w:pPr>
              <w:pStyle w:val="Style25"/>
              <w:widowControl w:val="false"/>
              <w:suppressAutoHyphens w:val="true"/>
              <w:spacing w:before="60" w:after="60"/>
              <w:rPr>
                <w:rFonts w:eastAsia="Calibri" w:cs=""/>
                <w:kern w:val="0"/>
                <w:sz w:val="24"/>
                <w:szCs w:val="24"/>
                <w:lang w:val="ru-RU" w:eastAsia="en-US" w:bidi="ar-SA"/>
              </w:rPr>
            </w:pPr>
            <w:r>
              <w:rPr>
                <w:rFonts w:eastAsia="Calibri" w:cs=""/>
                <w:kern w:val="0"/>
                <w:sz w:val="24"/>
                <w:szCs w:val="24"/>
                <w:lang w:val="ru-RU" w:eastAsia="en-US" w:bidi="ar-SA"/>
              </w:rPr>
            </w:r>
          </w:p>
          <w:p>
            <w:pPr>
              <w:pStyle w:val="Style25"/>
              <w:widowControl w:val="false"/>
              <w:suppressAutoHyphens w:val="true"/>
              <w:spacing w:before="60" w:after="60"/>
              <w:rPr>
                <w:sz w:val="24"/>
                <w:szCs w:val="24"/>
              </w:rPr>
            </w:pPr>
            <w:r>
              <w:rPr>
                <w:rFonts w:eastAsia="Calibri" w:cs=""/>
                <w:kern w:val="0"/>
                <w:sz w:val="24"/>
                <w:szCs w:val="24"/>
                <w:lang w:val="ru-RU" w:eastAsia="en-US" w:bidi="ar-SA"/>
              </w:rPr>
              <w:t>Дата и время окончания срока подачи заявок (окончательных предложений):</w:t>
            </w:r>
          </w:p>
          <w:p>
            <w:pPr>
              <w:pStyle w:val="Style25"/>
              <w:widowControl w:val="false"/>
              <w:suppressAutoHyphens w:val="true"/>
              <w:spacing w:before="60" w:after="60"/>
              <w:rPr>
                <w:sz w:val="24"/>
                <w:szCs w:val="24"/>
              </w:rPr>
            </w:pPr>
            <w:r>
              <w:rPr>
                <w:rFonts w:eastAsia="Calibri" w:cs="" w:cstheme="minorBidi" w:eastAsiaTheme="minorHAnsi"/>
                <w:kern w:val="0"/>
                <w:sz w:val="24"/>
                <w:szCs w:val="24"/>
                <w:shd w:fill="FFFFFF" w:val="clear"/>
                <w:lang w:val="ru-RU" w:eastAsia="en-US" w:bidi="ar-SA"/>
              </w:rPr>
              <w:t>20.07.2026</w:t>
            </w:r>
            <w:r>
              <w:rPr>
                <w:rFonts w:eastAsia="Calibri" w:cs=""/>
                <w:kern w:val="0"/>
                <w:sz w:val="24"/>
                <w:szCs w:val="24"/>
                <w:lang w:val="ru-RU" w:eastAsia="en-US" w:bidi="ar-SA"/>
              </w:rPr>
              <w:t xml:space="preserve"> г. в 09 ч. 00 мин. (по московскому времени).</w:t>
            </w:r>
          </w:p>
        </w:tc>
      </w:tr>
      <w:tr>
        <w:trPr/>
        <w:tc>
          <w:tcPr>
            <w:tcW w:w="1119" w:type="dxa"/>
            <w:tcBorders/>
          </w:tcPr>
          <w:p>
            <w:pPr>
              <w:pStyle w:val="Style21"/>
              <w:widowControl w:val="false"/>
              <w:suppressAutoHyphens w:val="true"/>
              <w:spacing w:before="60" w:after="60"/>
              <w:rPr>
                <w:rFonts w:eastAsia="Calibri"/>
              </w:rPr>
            </w:pPr>
            <w:r>
              <w:rPr>
                <w:rFonts w:eastAsia="Calibri"/>
              </w:rPr>
            </w:r>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Срок предоставления Участникам разъяснений Документации о закупке:</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Дата и время окончания срока предоставления разъяснений:</w:t>
            </w:r>
          </w:p>
          <w:p>
            <w:pPr>
              <w:pStyle w:val="Style25"/>
              <w:widowControl w:val="false"/>
              <w:suppressAutoHyphens w:val="true"/>
              <w:spacing w:before="60" w:after="60"/>
              <w:rPr>
                <w:sz w:val="24"/>
                <w:szCs w:val="24"/>
              </w:rPr>
            </w:pPr>
            <w:r>
              <w:rPr>
                <w:rFonts w:eastAsia="Calibri" w:cs="" w:cstheme="minorBidi" w:eastAsiaTheme="minorHAnsi"/>
                <w:kern w:val="0"/>
                <w:sz w:val="24"/>
                <w:szCs w:val="24"/>
                <w:shd w:fill="FFFFFF" w:val="clear"/>
                <w:lang w:val="ru-RU" w:eastAsia="en-US" w:bidi="ar-SA"/>
              </w:rPr>
              <w:t>20.07.2026г.</w:t>
            </w:r>
            <w:r>
              <w:rPr>
                <w:rFonts w:eastAsia="Calibri" w:cs=""/>
                <w:kern w:val="0"/>
                <w:sz w:val="24"/>
                <w:szCs w:val="24"/>
                <w:lang w:val="ru-RU" w:eastAsia="en-US" w:bidi="ar-SA"/>
              </w:rPr>
              <w:t xml:space="preserve"> в 9 ч. 00 мин. (по московскому времени).</w:t>
            </w:r>
          </w:p>
          <w:p>
            <w:pPr>
              <w:pStyle w:val="Style25"/>
              <w:widowControl w:val="false"/>
              <w:suppressAutoHyphens w:val="true"/>
              <w:spacing w:before="60" w:after="60"/>
              <w:rPr>
                <w:sz w:val="24"/>
                <w:szCs w:val="24"/>
              </w:rPr>
            </w:pPr>
            <w:r>
              <w:rPr>
                <w:rFonts w:eastAsia="Calibri" w:cs=""/>
                <w:kern w:val="0"/>
                <w:sz w:val="24"/>
                <w:szCs w:val="24"/>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4"/>
                <w:szCs w:val="24"/>
                <w:lang w:val="ru-RU" w:eastAsia="en-US" w:bidi="ar-SA"/>
              </w:rPr>
              <w:fldChar w:fldCharType="begin"/>
            </w:r>
            <w:r>
              <w:rPr>
                <w:sz w:val="24"/>
                <w:kern w:val="0"/>
                <w:szCs w:val="24"/>
                <w:rFonts w:eastAsia="Calibri" w:cs=""/>
                <w:lang w:val="ru-RU" w:eastAsia="en-US" w:bidi="ar-SA"/>
              </w:rPr>
              <w:instrText xml:space="preserve"> REF _Ref125360779 \r \h </w:instrText>
            </w:r>
            <w:r>
              <w:rPr>
                <w:sz w:val="24"/>
                <w:kern w:val="0"/>
                <w:szCs w:val="24"/>
                <w:rFonts w:eastAsia="Calibri" w:cs=""/>
                <w:lang w:val="ru-RU" w:eastAsia="en-US" w:bidi="ar-SA"/>
              </w:rPr>
              <w:fldChar w:fldCharType="separate"/>
            </w:r>
            <w:r>
              <w:rPr>
                <w:sz w:val="24"/>
                <w:kern w:val="0"/>
                <w:szCs w:val="24"/>
                <w:rFonts w:eastAsia="Calibri" w:cs=""/>
                <w:lang w:val="ru-RU" w:eastAsia="en-US" w:bidi="ar-SA"/>
              </w:rPr>
              <w:t>1.2.19</w:t>
            </w:r>
            <w:r>
              <w:rPr>
                <w:sz w:val="24"/>
                <w:kern w:val="0"/>
                <w:szCs w:val="24"/>
                <w:rFonts w:eastAsia="Calibri" w:cs=""/>
                <w:lang w:val="ru-RU" w:eastAsia="en-US" w:bidi="ar-SA"/>
              </w:rPr>
              <w:fldChar w:fldCharType="end"/>
            </w:r>
            <w:r>
              <w:rPr>
                <w:rFonts w:eastAsia="Calibri" w:cs=""/>
                <w:kern w:val="0"/>
                <w:sz w:val="24"/>
                <w:szCs w:val="24"/>
                <w:lang w:val="ru-RU" w:eastAsia="en-US" w:bidi="ar-SA"/>
              </w:rPr>
              <w:t>.</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49" w:name="_Ref125476197"/>
            <w:bookmarkStart w:id="50" w:name="_Ref125476197"/>
            <w:bookmarkEnd w:id="50"/>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Место открытия</w:t>
              <w:br/>
              <w:t>доступа к заявкам:</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4"/>
                <w:szCs w:val="24"/>
                <w:lang w:val="ru-RU" w:eastAsia="en-US" w:bidi="ar-SA"/>
              </w:rPr>
              <w:fldChar w:fldCharType="begin"/>
            </w:r>
            <w:r>
              <w:rPr>
                <w:sz w:val="24"/>
                <w:kern w:val="0"/>
                <w:szCs w:val="24"/>
                <w:rFonts w:eastAsia="Calibri" w:cs=""/>
                <w:lang w:val="ru-RU" w:eastAsia="en-US" w:bidi="ar-SA"/>
              </w:rPr>
              <w:instrText xml:space="preserve"> REF _Ref125360764 \r \h </w:instrText>
            </w:r>
            <w:r>
              <w:rPr>
                <w:sz w:val="24"/>
                <w:kern w:val="0"/>
                <w:szCs w:val="24"/>
                <w:rFonts w:eastAsia="Calibri" w:cs=""/>
                <w:lang w:val="ru-RU" w:eastAsia="en-US" w:bidi="ar-SA"/>
              </w:rPr>
              <w:fldChar w:fldCharType="separate"/>
            </w:r>
            <w:r>
              <w:rPr>
                <w:sz w:val="24"/>
                <w:kern w:val="0"/>
                <w:szCs w:val="24"/>
                <w:rFonts w:eastAsia="Calibri" w:cs=""/>
                <w:lang w:val="ru-RU" w:eastAsia="en-US" w:bidi="ar-SA"/>
              </w:rPr>
              <w:t>1.2.5</w:t>
            </w:r>
            <w:r>
              <w:rPr>
                <w:sz w:val="24"/>
                <w:kern w:val="0"/>
                <w:szCs w:val="24"/>
                <w:rFonts w:eastAsia="Calibri" w:cs=""/>
                <w:lang w:val="ru-RU" w:eastAsia="en-US" w:bidi="ar-SA"/>
              </w:rPr>
              <w:fldChar w:fldCharType="end"/>
            </w:r>
            <w:r>
              <w:rPr>
                <w:rFonts w:eastAsia="Calibri" w:cs=""/>
                <w:kern w:val="0"/>
                <w:sz w:val="24"/>
                <w:szCs w:val="24"/>
                <w:lang w:val="ru-RU" w:eastAsia="en-US" w:bidi="ar-SA"/>
              </w:rPr>
              <w:t>.</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51" w:name="_Ref125362733"/>
            <w:bookmarkStart w:id="52" w:name="_Ref125362733"/>
            <w:bookmarkEnd w:id="52"/>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Дата окончания рассмотрения первых частей заявок (первых частей заявок, содержащихся в окончательных предложениях):</w:t>
            </w:r>
          </w:p>
        </w:tc>
        <w:tc>
          <w:tcPr>
            <w:tcW w:w="5846" w:type="dxa"/>
            <w:tcBorders/>
          </w:tcPr>
          <w:p>
            <w:pPr>
              <w:pStyle w:val="Style25"/>
              <w:widowControl w:val="false"/>
              <w:suppressAutoHyphens w:val="true"/>
              <w:spacing w:before="60" w:after="60"/>
              <w:rPr>
                <w:rFonts w:eastAsia="Calibri" w:cs="" w:cstheme="minorBidi" w:eastAsiaTheme="minorHAnsi"/>
                <w:highlight w:val="none"/>
                <w:shd w:fill="FFFFFF" w:val="clear"/>
              </w:rPr>
            </w:pPr>
            <w:r>
              <w:rPr>
                <w:rFonts w:eastAsia="Calibri" w:cs="" w:cstheme="minorBidi" w:eastAsiaTheme="minorHAnsi"/>
                <w:kern w:val="0"/>
                <w:sz w:val="24"/>
                <w:szCs w:val="24"/>
                <w:shd w:fill="FFFFFF" w:val="clear"/>
                <w:lang w:val="ru-RU" w:eastAsia="en-US" w:bidi="ar-SA"/>
              </w:rPr>
              <w:t>28.07.2026 г.</w:t>
            </w:r>
          </w:p>
        </w:tc>
      </w:tr>
      <w:tr>
        <w:trPr/>
        <w:tc>
          <w:tcPr>
            <w:tcW w:w="1119" w:type="dxa"/>
            <w:tcBorders/>
          </w:tcPr>
          <w:p>
            <w:pPr>
              <w:pStyle w:val="Style21"/>
              <w:widowControl w:val="false"/>
              <w:suppressAutoHyphens w:val="true"/>
              <w:spacing w:before="60" w:after="60"/>
              <w:rPr>
                <w:rFonts w:eastAsia="Calibri"/>
              </w:rPr>
            </w:pPr>
            <w:r>
              <w:rPr>
                <w:rFonts w:eastAsia="Calibri"/>
              </w:rPr>
            </w:r>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Срок направления Оператором ЭП вторых частей заявок и ценовых предложений в адрес Организатора</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позднее 1 (одного) рабочего дня, следующего за днем официального размещения на Официальном сайте (ЕИС) протокола рассмотрения первых частей заявок (первых частей заявок, содержащихся в окончательных предложениях).</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53" w:name="_Ref132898515"/>
            <w:bookmarkStart w:id="54" w:name="_Ref132898515"/>
            <w:bookmarkEnd w:id="54"/>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Дата окончания рассмотрения вторых частей заявок и ценовых предложений:</w:t>
            </w:r>
          </w:p>
        </w:tc>
        <w:tc>
          <w:tcPr>
            <w:tcW w:w="5846" w:type="dxa"/>
            <w:tcBorders/>
          </w:tcPr>
          <w:p>
            <w:pPr>
              <w:pStyle w:val="Style25"/>
              <w:widowControl w:val="false"/>
              <w:suppressAutoHyphens w:val="true"/>
              <w:spacing w:before="60" w:after="60"/>
              <w:rPr>
                <w:rFonts w:eastAsia="Calibri" w:cs="" w:cstheme="minorBidi" w:eastAsiaTheme="minorHAnsi"/>
                <w:highlight w:val="none"/>
                <w:shd w:fill="FFFFFF" w:val="clear"/>
              </w:rPr>
            </w:pPr>
            <w:r>
              <w:rPr>
                <w:rFonts w:eastAsia="Calibri" w:cs="" w:cstheme="minorBidi" w:eastAsiaTheme="minorHAnsi"/>
                <w:kern w:val="0"/>
                <w:sz w:val="24"/>
                <w:szCs w:val="24"/>
                <w:shd w:fill="FFFFFF" w:val="clear"/>
                <w:lang w:val="ru-RU" w:eastAsia="en-US" w:bidi="ar-SA"/>
              </w:rPr>
              <w:t>20.08.2026 г.</w:t>
            </w:r>
          </w:p>
        </w:tc>
      </w:tr>
      <w:tr>
        <w:trPr/>
        <w:tc>
          <w:tcPr>
            <w:tcW w:w="1119" w:type="dxa"/>
            <w:tcBorders/>
          </w:tcPr>
          <w:p>
            <w:pPr>
              <w:pStyle w:val="Style21"/>
              <w:widowControl w:val="false"/>
              <w:suppressAutoHyphens w:val="true"/>
              <w:spacing w:before="60" w:after="60"/>
              <w:rPr>
                <w:rFonts w:eastAsia="Calibri"/>
              </w:rPr>
            </w:pPr>
            <w:r>
              <w:rPr>
                <w:rFonts w:eastAsia="Calibri"/>
              </w:rPr>
            </w:r>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Дополнительный этап закупки – Переторжка (подача дополнительных ценовых предложений):</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предусмотрен.</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55" w:name="_Ref125362757"/>
            <w:bookmarkStart w:id="56" w:name="_Ref125362757"/>
            <w:bookmarkEnd w:id="56"/>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Дата подведения</w:t>
              <w:br/>
              <w:t>итогов закупки:</w:t>
            </w:r>
          </w:p>
        </w:tc>
        <w:tc>
          <w:tcPr>
            <w:tcW w:w="5846" w:type="dxa"/>
            <w:tcBorders/>
          </w:tcPr>
          <w:p>
            <w:pPr>
              <w:pStyle w:val="Style25"/>
              <w:widowControl w:val="false"/>
              <w:suppressAutoHyphens w:val="true"/>
              <w:spacing w:before="60" w:after="60"/>
              <w:rPr>
                <w:rFonts w:eastAsia="Calibri" w:cs="" w:cstheme="minorBidi" w:eastAsiaTheme="minorHAnsi"/>
                <w:highlight w:val="none"/>
                <w:shd w:fill="FFFFFF" w:val="clear"/>
              </w:rPr>
            </w:pPr>
            <w:r>
              <w:rPr>
                <w:rFonts w:eastAsia="Calibri" w:cs="" w:cstheme="minorBidi" w:eastAsiaTheme="minorHAnsi"/>
                <w:kern w:val="0"/>
                <w:sz w:val="24"/>
                <w:szCs w:val="24"/>
                <w:shd w:fill="FFFFFF" w:val="clear"/>
                <w:lang w:val="ru-RU" w:eastAsia="en-US" w:bidi="ar-SA"/>
              </w:rPr>
              <w:t>21.08.2026 г.</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57" w:name="_Ref125366047"/>
            <w:bookmarkStart w:id="58" w:name="_Ref125366047"/>
            <w:bookmarkEnd w:id="58"/>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Преференция продукции, изготовленной с использованием российского алюминия и (или) алюминиевых полуфабрикатов:</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предоставляется.</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59" w:name="_Ref125361769"/>
            <w:bookmarkStart w:id="60" w:name="_Ref125361769"/>
            <w:bookmarkEnd w:id="60"/>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Рассмотрение, оценка и сопоставление заявок Участников с учетом привлекаемых субподрядчиков:</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Не предусмотрено.</w:t>
            </w:r>
          </w:p>
        </w:tc>
      </w:tr>
      <w:tr>
        <w:trPr/>
        <w:tc>
          <w:tcPr>
            <w:tcW w:w="1119" w:type="dxa"/>
            <w:tcBorders/>
          </w:tcPr>
          <w:p>
            <w:pPr>
              <w:pStyle w:val="Style21"/>
              <w:widowControl w:val="false"/>
              <w:suppressAutoHyphens w:val="true"/>
              <w:spacing w:before="60" w:after="60"/>
              <w:rPr>
                <w:rFonts w:eastAsia="Calibri"/>
              </w:rPr>
            </w:pPr>
            <w:r>
              <w:rPr>
                <w:rFonts w:eastAsia="Calibri"/>
              </w:rPr>
            </w:r>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Порядок подведения итогов закупки:</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61" w:name="_Ref125366606"/>
            <w:bookmarkStart w:id="62" w:name="_Ref125366606"/>
            <w:bookmarkEnd w:id="62"/>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Количество победителей закупки (в рамках одного лота):</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Один победитель.</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63" w:name="_Ref125366813"/>
            <w:bookmarkStart w:id="64" w:name="_Ref125366813"/>
            <w:bookmarkEnd w:id="64"/>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Место подачи документов в отношении цепочки собственников, включая конечных бенефициаров:</w:t>
            </w:r>
          </w:p>
        </w:tc>
        <w:tc>
          <w:tcPr>
            <w:tcW w:w="5846" w:type="dxa"/>
            <w:tcBorders/>
          </w:tcPr>
          <w:p>
            <w:pPr>
              <w:pStyle w:val="Tableheader"/>
              <w:widowControl w:val="false"/>
              <w:suppressAutoHyphens w:val="true"/>
              <w:snapToGrid w:val="false"/>
              <w:spacing w:before="0" w:after="60"/>
              <w:jc w:val="left"/>
              <w:rPr>
                <w:sz w:val="24"/>
                <w:szCs w:val="24"/>
              </w:rPr>
            </w:pPr>
            <w:r>
              <w:rPr>
                <w:rFonts w:eastAsia="Calibri" w:cs=""/>
                <w:b w:val="false"/>
                <w:kern w:val="0"/>
                <w:sz w:val="24"/>
                <w:szCs w:val="24"/>
                <w:lang w:val="ru-RU" w:eastAsia="en-US" w:bidi="ar-SA"/>
              </w:rPr>
              <w:t xml:space="preserve">Почтовый адрес: 675004, г. Благовещенск, ул. Шевченко, 32, каб. 214. </w:t>
            </w:r>
          </w:p>
          <w:p>
            <w:pPr>
              <w:pStyle w:val="Tableheader"/>
              <w:widowControl w:val="false"/>
              <w:suppressAutoHyphens w:val="true"/>
              <w:spacing w:before="0" w:after="60"/>
              <w:jc w:val="left"/>
              <w:rPr>
                <w:sz w:val="24"/>
                <w:szCs w:val="24"/>
              </w:rPr>
            </w:pPr>
            <w:r>
              <w:rPr>
                <w:rFonts w:eastAsia="Calibri" w:cs=""/>
                <w:b w:val="false"/>
                <w:kern w:val="0"/>
                <w:sz w:val="24"/>
                <w:szCs w:val="24"/>
                <w:lang w:val="ru-RU" w:eastAsia="en-US" w:bidi="ar-SA"/>
              </w:rPr>
              <w:t xml:space="preserve">Контактное лицо для приема документов (Ф.И.О.): </w:t>
            </w:r>
            <w:r>
              <w:rPr>
                <w:rStyle w:val="Style4"/>
                <w:rFonts w:eastAsia="Calibri" w:cs="" w:cstheme="minorBidi" w:eastAsiaTheme="minorHAnsi"/>
                <w:b w:val="false"/>
                <w:i w:val="false"/>
                <w:iCs w:val="false"/>
                <w:color w:val="000000"/>
                <w:kern w:val="0"/>
                <w:sz w:val="24"/>
                <w:szCs w:val="24"/>
                <w:shd w:fill="FFFFFF" w:val="clear"/>
                <w:lang w:val="ru-RU" w:eastAsia="en-US" w:bidi="ar-SA"/>
              </w:rPr>
              <w:t xml:space="preserve">Ярый Виталий Сергеевич </w:t>
            </w:r>
            <w:r>
              <w:rPr>
                <w:rStyle w:val="Style12"/>
                <w:rFonts w:eastAsia="Calibri" w:cs="" w:cstheme="minorBidi" w:eastAsiaTheme="minorHAnsi"/>
                <w:b w:val="false"/>
                <w:i w:val="false"/>
                <w:iCs w:val="false"/>
                <w:color w:val="000000"/>
                <w:kern w:val="0"/>
                <w:sz w:val="24"/>
                <w:szCs w:val="24"/>
                <w:shd w:fill="FFFFFF" w:val="clear"/>
                <w:lang w:val="ru-RU" w:eastAsia="en-US" w:bidi="ar-SA"/>
              </w:rPr>
              <w:t xml:space="preserve">- </w:t>
            </w:r>
            <w:r>
              <w:rPr>
                <w:rStyle w:val="Style4"/>
                <w:rFonts w:eastAsia="Calibri" w:cs="" w:cstheme="minorBidi" w:eastAsiaTheme="minorHAnsi"/>
                <w:b w:val="false"/>
                <w:i w:val="false"/>
                <w:iCs w:val="false"/>
                <w:color w:val="000000"/>
                <w:kern w:val="0"/>
                <w:sz w:val="24"/>
                <w:szCs w:val="24"/>
                <w:shd w:fill="FFFFFF" w:val="clear"/>
                <w:lang w:val="ru-RU" w:eastAsia="en-US" w:bidi="ar-SA"/>
              </w:rPr>
              <w:t>ведущий специалист СЭБ АО «ДРСК»,</w:t>
            </w:r>
            <w:r>
              <w:rPr>
                <w:rFonts w:eastAsia="Calibri" w:cs="" w:cstheme="minorBidi" w:eastAsiaTheme="minorHAnsi"/>
                <w:b w:val="false"/>
                <w:i w:val="false"/>
                <w:iCs w:val="false"/>
                <w:color w:val="000000"/>
                <w:kern w:val="0"/>
                <w:sz w:val="24"/>
                <w:szCs w:val="24"/>
                <w:shd w:fill="FFFFFF" w:val="clear"/>
                <w:lang w:val="ru-RU" w:eastAsia="en-US" w:bidi="ar-SA"/>
              </w:rPr>
              <w:t xml:space="preserve"> Теле</w:t>
            </w:r>
            <w:r>
              <w:rPr>
                <w:rFonts w:eastAsia="Calibri" w:cs="" w:cstheme="minorBidi" w:eastAsiaTheme="minorHAnsi"/>
                <w:b w:val="false"/>
                <w:color w:val="auto"/>
                <w:kern w:val="0"/>
                <w:sz w:val="24"/>
                <w:szCs w:val="24"/>
                <w:lang w:val="ru-RU" w:eastAsia="en-US" w:bidi="ar-SA"/>
              </w:rPr>
              <w:t>фон: (4162) 397-325</w:t>
            </w:r>
          </w:p>
        </w:tc>
      </w:tr>
      <w:tr>
        <w:trPr/>
        <w:tc>
          <w:tcPr>
            <w:tcW w:w="1119" w:type="dxa"/>
            <w:tcBorders/>
          </w:tcPr>
          <w:p>
            <w:pPr>
              <w:pStyle w:val="Style21"/>
              <w:widowControl w:val="false"/>
              <w:suppressAutoHyphens w:val="true"/>
              <w:spacing w:before="60" w:after="60"/>
              <w:rPr>
                <w:rFonts w:eastAsia="Calibri"/>
              </w:rPr>
            </w:pPr>
            <w:r>
              <w:rPr>
                <w:rFonts w:eastAsia="Calibri"/>
              </w:rPr>
            </w:r>
            <w:bookmarkStart w:id="65" w:name="_Ref125368490"/>
            <w:bookmarkStart w:id="66" w:name="_Ref125368490"/>
            <w:bookmarkEnd w:id="66"/>
          </w:p>
        </w:tc>
        <w:tc>
          <w:tcPr>
            <w:tcW w:w="2953" w:type="dxa"/>
            <w:tcBorders/>
          </w:tcPr>
          <w:p>
            <w:pPr>
              <w:pStyle w:val="Style25"/>
              <w:widowControl w:val="false"/>
              <w:suppressAutoHyphens w:val="true"/>
              <w:spacing w:before="60" w:after="60"/>
              <w:jc w:val="left"/>
              <w:rPr>
                <w:sz w:val="24"/>
                <w:szCs w:val="24"/>
              </w:rPr>
            </w:pPr>
            <w:r>
              <w:rPr>
                <w:rFonts w:eastAsia="Calibri" w:cs=""/>
                <w:kern w:val="0"/>
                <w:sz w:val="24"/>
                <w:szCs w:val="24"/>
                <w:lang w:val="ru-RU" w:eastAsia="en-US" w:bidi="ar-SA"/>
              </w:rPr>
              <w:t>Некритичные пункты Проекта договора:</w:t>
            </w:r>
          </w:p>
        </w:tc>
        <w:tc>
          <w:tcPr>
            <w:tcW w:w="5846" w:type="dxa"/>
            <w:tcBorders/>
          </w:tcPr>
          <w:p>
            <w:pPr>
              <w:pStyle w:val="Style25"/>
              <w:widowControl w:val="false"/>
              <w:suppressAutoHyphens w:val="true"/>
              <w:spacing w:before="60" w:after="60"/>
              <w:rPr>
                <w:sz w:val="24"/>
                <w:szCs w:val="24"/>
              </w:rPr>
            </w:pPr>
            <w:r>
              <w:rPr>
                <w:rFonts w:eastAsia="Calibri" w:cs=""/>
                <w:kern w:val="0"/>
                <w:sz w:val="24"/>
                <w:szCs w:val="24"/>
                <w:lang w:val="ru-RU" w:eastAsia="en-US" w:bidi="ar-SA"/>
              </w:rPr>
              <w:t>Отсутствуют.</w:t>
            </w:r>
          </w:p>
        </w:tc>
      </w:tr>
      <w:tr>
        <w:trPr/>
        <w:tc>
          <w:tcPr>
            <w:tcW w:w="1119" w:type="dxa"/>
            <w:tcBorders>
              <w:right w:val="nil"/>
            </w:tcBorders>
          </w:tcPr>
          <w:p>
            <w:pPr>
              <w:pStyle w:val="Style21"/>
              <w:widowControl w:val="false"/>
              <w:suppressAutoHyphens w:val="true"/>
              <w:spacing w:before="60" w:after="60"/>
              <w:rPr>
                <w:rFonts w:ascii="Times New Roman" w:hAnsi="Times New Roman" w:eastAsia="Calibri" w:cs="" w:cstheme="minorBidi" w:eastAsiaTheme="minorHAnsi"/>
                <w:color w:val="auto"/>
                <w:kern w:val="0"/>
                <w:lang w:val="ru-RU" w:eastAsia="en-US" w:bidi="ar-SA"/>
              </w:rPr>
            </w:pPr>
            <w:r>
              <w:rPr>
                <w:rFonts w:eastAsia="Calibri" w:cs="" w:cstheme="minorBidi" w:eastAsiaTheme="minorHAnsi"/>
                <w:color w:val="auto"/>
                <w:kern w:val="0"/>
                <w:lang w:val="ru-RU" w:eastAsia="en-US" w:bidi="ar-SA"/>
              </w:rPr>
            </w:r>
          </w:p>
        </w:tc>
        <w:tc>
          <w:tcPr>
            <w:tcW w:w="2953" w:type="dxa"/>
            <w:tcBorders>
              <w:right w:val="nil"/>
            </w:tcBorders>
          </w:tcPr>
          <w:p>
            <w:pPr>
              <w:pStyle w:val="Style25"/>
              <w:widowControl w:val="false"/>
              <w:suppressAutoHyphens w:val="true"/>
              <w:spacing w:before="60" w:after="60"/>
              <w:jc w:val="left"/>
              <w:rPr>
                <w:rFonts w:ascii="Times New Roman" w:hAnsi="Times New Roman" w:eastAsia="Calibri" w:cs="" w:cstheme="minorBidi" w:eastAsiaTheme="minorHAnsi"/>
                <w:color w:val="auto"/>
                <w:kern w:val="0"/>
                <w:lang w:val="ru-RU" w:eastAsia="en-US" w:bidi="ar-SA"/>
              </w:rPr>
            </w:pPr>
            <w:r>
              <w:rPr>
                <w:rFonts w:eastAsia="Calibri" w:cs="" w:cstheme="minorBidi" w:eastAsiaTheme="minorHAnsi"/>
                <w:color w:val="auto"/>
                <w:kern w:val="0"/>
                <w:lang w:val="ru-RU" w:eastAsia="en-US" w:bidi="ar-SA"/>
              </w:rPr>
              <w:t>Обеспечение</w:t>
              <w:br/>
              <w:t>исполнения Договора:</w:t>
            </w:r>
          </w:p>
        </w:tc>
        <w:tc>
          <w:tcPr>
            <w:tcW w:w="5846" w:type="dxa"/>
            <w:tcBorders/>
          </w:tcPr>
          <w:p>
            <w:pPr>
              <w:pStyle w:val="Style25"/>
              <w:widowControl w:val="false"/>
              <w:shd w:val="clear" w:fill="FFFFFF"/>
              <w:spacing w:before="60" w:after="60"/>
              <w:rPr>
                <w:rFonts w:ascii="Times New Roman" w:hAnsi="Times New Roman" w:eastAsia="Calibri" w:cs="" w:cstheme="minorBidi" w:eastAsiaTheme="minorHAnsi"/>
                <w:color w:val="auto"/>
                <w:kern w:val="0"/>
                <w:lang w:val="ru-RU" w:eastAsia="en-US" w:bidi="ar-SA"/>
              </w:rPr>
            </w:pPr>
            <w:r>
              <w:rPr>
                <w:rFonts w:eastAsia="Calibri" w:cs="" w:cstheme="minorBidi" w:eastAsiaTheme="minorHAnsi"/>
                <w:color w:val="auto"/>
                <w:kern w:val="0"/>
                <w:lang w:val="ru-RU" w:eastAsia="en-US" w:bidi="ar-SA"/>
              </w:rPr>
              <w:t>Требуется.</w:t>
            </w:r>
          </w:p>
          <w:p>
            <w:pPr>
              <w:pStyle w:val="Normal"/>
              <w:widowControl w:val="false"/>
              <w:shd w:val="clear" w:fill="FFFFFF"/>
              <w:spacing w:lineRule="auto" w:line="240" w:before="60" w:after="60"/>
              <w:ind w:left="11" w:hanging="0"/>
              <w:rPr>
                <w:rFonts w:ascii="Times New Roman" w:hAnsi="Times New Roman" w:eastAsia="Calibri" w:cs="" w:cstheme="minorBidi" w:eastAsiaTheme="minorHAnsi"/>
                <w:color w:val="auto"/>
                <w:kern w:val="0"/>
                <w:lang w:val="ru-RU" w:eastAsia="en-US" w:bidi="ar-SA"/>
              </w:rPr>
            </w:pPr>
            <w:r>
              <w:rPr>
                <w:rFonts w:eastAsia="Calibri" w:cs="" w:cstheme="minorBidi" w:eastAsiaTheme="minorHAnsi"/>
                <w:color w:val="auto"/>
                <w:kern w:val="0"/>
                <w:lang w:val="ru-RU" w:eastAsia="en-US" w:bidi="ar-SA"/>
              </w:rPr>
              <w:t>Размер обеспечения исполнения Договора:</w:t>
            </w:r>
          </w:p>
          <w:p>
            <w:pPr>
              <w:pStyle w:val="Normal"/>
              <w:widowControl w:val="false"/>
              <w:shd w:val="clear" w:fill="FFFFFF"/>
              <w:tabs>
                <w:tab w:val="clear" w:pos="720"/>
                <w:tab w:val="left" w:pos="400" w:leader="none"/>
              </w:tabs>
              <w:spacing w:lineRule="auto" w:line="240" w:before="60" w:after="60"/>
              <w:ind w:left="11" w:hanging="0"/>
              <w:jc w:val="both"/>
              <w:rPr>
                <w:rFonts w:ascii="Times New Roman" w:hAnsi="Times New Roman" w:eastAsia="Calibri" w:cs="" w:cstheme="minorBidi" w:eastAsiaTheme="minorHAnsi"/>
                <w:color w:val="auto"/>
                <w:kern w:val="0"/>
                <w:lang w:val="ru-RU" w:eastAsia="en-US" w:bidi="ar-SA"/>
              </w:rPr>
            </w:pPr>
            <w:r>
              <w:rPr>
                <w:rFonts w:eastAsia="Calibri" w:cs="" w:cstheme="minorBidi" w:eastAsiaTheme="minorHAnsi"/>
                <w:color w:val="auto"/>
                <w:kern w:val="0"/>
                <w:lang w:val="ru-RU" w:eastAsia="en-US" w:bidi="ar-SA"/>
              </w:rPr>
              <w:t xml:space="preserve">   </w:t>
            </w:r>
            <w:r>
              <w:rPr>
                <w:rFonts w:eastAsia="Calibri" w:cs="" w:cstheme="minorBidi" w:eastAsiaTheme="minorHAnsi"/>
                <w:color w:val="auto"/>
                <w:kern w:val="0"/>
                <w:lang w:val="ru-RU" w:eastAsia="en-US" w:bidi="ar-SA"/>
              </w:rPr>
              <w:t>Сумма Независимой гарантии должна составлять:</w:t>
            </w:r>
          </w:p>
          <w:p>
            <w:pPr>
              <w:pStyle w:val="Normal"/>
              <w:widowControl w:val="false"/>
              <w:shd w:val="clear" w:fill="FFFFFF"/>
              <w:spacing w:lineRule="auto" w:line="240" w:before="60" w:after="60"/>
              <w:ind w:left="11" w:hanging="0"/>
              <w:jc w:val="both"/>
              <w:rPr>
                <w:rFonts w:ascii="Times New Roman" w:hAnsi="Times New Roman" w:eastAsia="Calibri" w:cs="" w:cstheme="minorBidi" w:eastAsiaTheme="minorHAnsi"/>
                <w:color w:val="auto"/>
                <w:kern w:val="0"/>
                <w:lang w:val="ru-RU" w:eastAsia="en-US" w:bidi="ar-SA"/>
              </w:rPr>
            </w:pPr>
            <w:r>
              <w:rPr>
                <w:rFonts w:eastAsia="Calibri" w:cs="" w:cstheme="minorBidi" w:eastAsiaTheme="minorHAnsi"/>
                <w:color w:val="auto"/>
                <w:kern w:val="0"/>
                <w:lang w:val="ru-RU" w:eastAsia="en-US" w:bidi="ar-SA"/>
              </w:rPr>
              <w:t xml:space="preserve">  • </w:t>
            </w:r>
            <w:r>
              <w:rPr>
                <w:rFonts w:eastAsia="Calibri" w:cs="" w:cstheme="minorBidi" w:eastAsiaTheme="minorHAnsi"/>
                <w:color w:val="auto"/>
                <w:kern w:val="0"/>
                <w:lang w:val="ru-RU" w:eastAsia="en-US" w:bidi="ar-SA"/>
              </w:rPr>
              <w:t>не менее 100 (ста) процентов от размера уплачиваемой по Договору предварительной оплаты (аванса);</w:t>
            </w:r>
          </w:p>
          <w:p>
            <w:pPr>
              <w:pStyle w:val="Normal"/>
              <w:widowControl w:val="false"/>
              <w:shd w:val="clear" w:fill="FFFFFF"/>
              <w:spacing w:lineRule="auto" w:line="240" w:before="60" w:after="60"/>
              <w:ind w:left="11" w:hanging="0"/>
              <w:rPr>
                <w:rFonts w:ascii="Times New Roman" w:hAnsi="Times New Roman" w:eastAsia="Calibri" w:cs="" w:cstheme="minorBidi" w:eastAsiaTheme="minorHAnsi"/>
                <w:color w:val="auto"/>
                <w:kern w:val="0"/>
                <w:lang w:val="ru-RU" w:eastAsia="en-US" w:bidi="ar-SA"/>
              </w:rPr>
            </w:pPr>
            <w:r>
              <w:rPr>
                <w:rFonts w:eastAsia="Calibri" w:cs="" w:cstheme="minorBidi" w:eastAsiaTheme="minorHAnsi"/>
                <w:color w:val="auto"/>
                <w:kern w:val="0"/>
                <w:lang w:val="ru-RU" w:eastAsia="en-US" w:bidi="ar-SA"/>
              </w:rPr>
              <w:t xml:space="preserve"> </w:t>
            </w:r>
            <w:r>
              <w:rPr>
                <w:rFonts w:eastAsia="Calibri" w:cs="" w:cstheme="minorBidi" w:eastAsiaTheme="minorHAnsi"/>
                <w:color w:val="auto"/>
                <w:kern w:val="0"/>
                <w:lang w:val="ru-RU" w:eastAsia="en-US" w:bidi="ar-SA"/>
              </w:rPr>
              <w:t>Валюта обеспечения исполнения Договора: рублей</w:t>
            </w:r>
          </w:p>
          <w:p>
            <w:pPr>
              <w:pStyle w:val="Normal"/>
              <w:widowControl w:val="false"/>
              <w:shd w:val="clear" w:fill="FFFFFF"/>
              <w:spacing w:lineRule="auto" w:line="240" w:before="60" w:after="60"/>
              <w:ind w:left="11" w:hanging="0"/>
              <w:rPr>
                <w:rFonts w:ascii="Times New Roman" w:hAnsi="Times New Roman" w:eastAsia="Calibri" w:cs="" w:cstheme="minorBidi" w:eastAsiaTheme="minorHAnsi"/>
                <w:color w:val="auto"/>
                <w:kern w:val="0"/>
                <w:lang w:val="ru-RU" w:eastAsia="en-US" w:bidi="ar-SA"/>
              </w:rPr>
            </w:pPr>
            <w:r>
              <w:rPr>
                <w:rFonts w:eastAsia="Calibri" w:cs="" w:cstheme="minorBidi" w:eastAsiaTheme="minorHAnsi"/>
                <w:color w:val="auto"/>
                <w:kern w:val="0"/>
                <w:lang w:val="ru-RU" w:eastAsia="en-US" w:bidi="ar-SA"/>
              </w:rPr>
              <w:t>Иные требования к обеспечению исполнения Договора: приведены в Проекте договора (Приложение №2 к Документации о закупке)».</w:t>
            </w:r>
          </w:p>
        </w:tc>
      </w:tr>
    </w:tbl>
    <w:p>
      <w:pPr>
        <w:pStyle w:val="Style19"/>
        <w:rPr>
          <w:sz w:val="22"/>
        </w:rPr>
      </w:pPr>
      <w:bookmarkStart w:id="67" w:name="__RefHeading___Toc192505_1558056896"/>
      <w:bookmarkStart w:id="68" w:name="_Ref125360337"/>
      <w:bookmarkStart w:id="69" w:name="_Ref125360073"/>
      <w:bookmarkStart w:id="70" w:name="_Toc186224115"/>
      <w:bookmarkEnd w:id="67"/>
      <w:r>
        <w:rPr>
          <w:sz w:val="22"/>
        </w:rPr>
        <w:t>Общие положения</w:t>
      </w:r>
      <w:bookmarkEnd w:id="68"/>
      <w:bookmarkEnd w:id="69"/>
      <w:bookmarkEnd w:id="70"/>
    </w:p>
    <w:p>
      <w:pPr>
        <w:pStyle w:val="Style20"/>
        <w:rPr>
          <w:sz w:val="22"/>
        </w:rPr>
      </w:pPr>
      <w:bookmarkStart w:id="71" w:name="__RefHeading___Toc192507_1558056896"/>
      <w:bookmarkStart w:id="72" w:name="_Toc186224116"/>
      <w:bookmarkEnd w:id="71"/>
      <w:r>
        <w:rPr>
          <w:sz w:val="22"/>
        </w:rPr>
        <w:t>Общие сведения о закупке</w:t>
      </w:r>
      <w:bookmarkEnd w:id="72"/>
    </w:p>
    <w:p>
      <w:pPr>
        <w:pStyle w:val="Style21"/>
        <w:rPr>
          <w:sz w:val="22"/>
        </w:rPr>
      </w:pPr>
      <w:r>
        <w:rPr>
          <w:sz w:val="22"/>
        </w:rPr>
        <w:t>Организатор официально размещенным Извещением приглашает лиц, указанных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к участию в закупке на право заключения договора, предмет которого указан в том же подразделе.</w:t>
      </w:r>
    </w:p>
    <w:p>
      <w:pPr>
        <w:pStyle w:val="Style21"/>
        <w:rPr>
          <w:sz w:val="22"/>
        </w:rPr>
      </w:pPr>
      <w:r>
        <w:rPr>
          <w:sz w:val="22"/>
        </w:rPr>
        <w:t>Требования к Участникам, а также к документам, подтверждающим соответствие установленным требованиям, приведены в разделе </w:t>
      </w:r>
      <w:r>
        <w:rPr>
          <w:sz w:val="22"/>
        </w:rPr>
        <w:fldChar w:fldCharType="begin"/>
      </w:r>
      <w:r>
        <w:rPr>
          <w:sz w:val="22"/>
        </w:rPr>
        <w:instrText xml:space="preserve"> REF _Ref125361210 \r \h </w:instrText>
      </w:r>
      <w:r>
        <w:rPr>
          <w:sz w:val="22"/>
        </w:rPr>
        <w:fldChar w:fldCharType="separate"/>
      </w:r>
      <w:r>
        <w:rPr>
          <w:sz w:val="22"/>
        </w:rPr>
        <w:t>3</w:t>
      </w:r>
      <w:r>
        <w:rPr>
          <w:sz w:val="22"/>
        </w:rPr>
        <w:fldChar w:fldCharType="end"/>
      </w:r>
      <w:r>
        <w:rPr>
          <w:sz w:val="22"/>
        </w:rPr>
        <w:t xml:space="preserve"> Документации о закупке.</w:t>
      </w:r>
    </w:p>
    <w:p>
      <w:pPr>
        <w:pStyle w:val="Style21"/>
        <w:rPr/>
      </w:pPr>
      <w:r>
        <w:rPr>
          <w:sz w:val="22"/>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7"/>
            <w:sz w:val="22"/>
          </w:rPr>
          <w:t>Технических требованиях (Приложение № 1)</w:t>
        </w:r>
      </w:hyperlink>
      <w:r>
        <w:rPr>
          <w:sz w:val="22"/>
        </w:rPr>
        <w:t xml:space="preserve">. </w:t>
      </w:r>
      <w:hyperlink w:anchor="Прил02_ПроектДоговора">
        <w:r>
          <w:rPr>
            <w:rStyle w:val="Style7"/>
            <w:sz w:val="22"/>
          </w:rPr>
          <w:t>Проект договора</w:t>
        </w:r>
      </w:hyperlink>
      <w:r>
        <w:rPr>
          <w:sz w:val="22"/>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7"/>
            <w:sz w:val="22"/>
          </w:rPr>
          <w:t>Приложении № 2</w:t>
        </w:r>
      </w:hyperlink>
      <w:r>
        <w:rPr>
          <w:sz w:val="22"/>
        </w:rPr>
        <w:t>.</w:t>
      </w:r>
    </w:p>
    <w:p>
      <w:pPr>
        <w:pStyle w:val="Style21"/>
        <w:rPr/>
      </w:pPr>
      <w:r>
        <w:rPr>
          <w:sz w:val="22"/>
        </w:rPr>
        <w:t>Подробная информация о порядке проведения закупки и участия в ней, а также о порядке заключения Договора, приведены в разделах </w:t>
      </w:r>
      <w:r>
        <w:rPr>
          <w:sz w:val="22"/>
        </w:rPr>
        <w:fldChar w:fldCharType="begin"/>
      </w:r>
      <w:r>
        <w:rPr>
          <w:sz w:val="22"/>
        </w:rPr>
        <w:instrText xml:space="preserve"> REF _Ref125361211 \r \h </w:instrText>
      </w:r>
      <w:r>
        <w:rPr>
          <w:sz w:val="22"/>
        </w:rPr>
        <w:fldChar w:fldCharType="separate"/>
      </w:r>
      <w:r>
        <w:rPr>
          <w:sz w:val="22"/>
        </w:rPr>
        <w:t>4</w:t>
      </w:r>
      <w:r>
        <w:rPr>
          <w:sz w:val="22"/>
        </w:rPr>
        <w:fldChar w:fldCharType="end"/>
      </w:r>
      <w:r>
        <w:rPr>
          <w:sz w:val="22"/>
        </w:rPr>
        <w:t xml:space="preserve">, </w:t>
      </w:r>
      <w:r>
        <w:rPr>
          <w:sz w:val="22"/>
        </w:rPr>
        <w:fldChar w:fldCharType="begin"/>
      </w:r>
      <w:r>
        <w:rPr>
          <w:sz w:val="22"/>
        </w:rPr>
        <w:instrText xml:space="preserve"> REF _Ref126142429 \r \h </w:instrText>
      </w:r>
      <w:r>
        <w:rPr>
          <w:sz w:val="22"/>
        </w:rPr>
        <w:fldChar w:fldCharType="separate"/>
      </w:r>
      <w:r>
        <w:rPr>
          <w:sz w:val="22"/>
        </w:rPr>
        <w:t>5</w:t>
      </w:r>
      <w:r>
        <w:rPr>
          <w:sz w:val="22"/>
        </w:rPr>
        <w:fldChar w:fldCharType="end"/>
      </w:r>
      <w:r>
        <w:rPr>
          <w:sz w:val="22"/>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7"/>
            <w:sz w:val="22"/>
          </w:rPr>
          <w:t>№ 4</w:t>
        </w:r>
      </w:hyperlink>
      <w:r>
        <w:rPr>
          <w:sz w:val="22"/>
        </w:rPr>
        <w:t xml:space="preserve">, </w:t>
      </w:r>
      <w:hyperlink w:anchor="Прил05_ФормыПобедителя">
        <w:r>
          <w:rPr>
            <w:rStyle w:val="Style7"/>
            <w:sz w:val="22"/>
          </w:rPr>
          <w:t>№ 5</w:t>
        </w:r>
      </w:hyperlink>
      <w:r>
        <w:rPr>
          <w:sz w:val="22"/>
        </w:rPr>
        <w:t>.</w:t>
      </w:r>
    </w:p>
    <w:p>
      <w:pPr>
        <w:pStyle w:val="Style20"/>
        <w:rPr>
          <w:sz w:val="22"/>
        </w:rPr>
      </w:pPr>
      <w:bookmarkStart w:id="73" w:name="__RefHeading___Toc192509_1558056896"/>
      <w:bookmarkStart w:id="74" w:name="_Toc186224117"/>
      <w:bookmarkEnd w:id="73"/>
      <w:r>
        <w:rPr>
          <w:sz w:val="22"/>
        </w:rPr>
        <w:t>Правовой статус документов</w:t>
      </w:r>
      <w:bookmarkEnd w:id="74"/>
    </w:p>
    <w:p>
      <w:pPr>
        <w:pStyle w:val="Style21"/>
        <w:rPr>
          <w:sz w:val="22"/>
        </w:rPr>
      </w:pPr>
      <w:r>
        <w:rPr>
          <w:sz w:val="22"/>
        </w:rPr>
        <w:t>Документация о закупке вместе с Извещением, являющимся ее неотъемлемой частью, являются публичной офертой Организатора в соответствии со статьей 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p>
    <w:p>
      <w:pPr>
        <w:pStyle w:val="Style21"/>
        <w:rPr>
          <w:sz w:val="22"/>
        </w:rPr>
      </w:pPr>
      <w:r>
        <w:rPr>
          <w:sz w:val="22"/>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1"/>
        <w:keepNext w:val="true"/>
        <w:rPr>
          <w:sz w:val="22"/>
        </w:rPr>
      </w:pPr>
      <w:bookmarkStart w:id="75" w:name="_Ref125366985"/>
      <w:r>
        <w:rPr>
          <w:sz w:val="22"/>
        </w:rPr>
        <w:t>При определении условий Договора по результатам закупки используется иерархия документов, установленная в пункте </w:t>
      </w:r>
      <w:r>
        <w:rPr>
          <w:sz w:val="22"/>
        </w:rPr>
        <w:fldChar w:fldCharType="begin"/>
      </w:r>
      <w:r>
        <w:rPr>
          <w:sz w:val="22"/>
        </w:rPr>
        <w:instrText xml:space="preserve"> REF _Ref132288402 \r \h </w:instrText>
      </w:r>
      <w:r>
        <w:rPr>
          <w:sz w:val="22"/>
        </w:rPr>
        <w:fldChar w:fldCharType="separate"/>
      </w:r>
      <w:r>
        <w:rPr>
          <w:sz w:val="22"/>
        </w:rPr>
        <w:t>5.2.8</w:t>
      </w:r>
      <w:r>
        <w:rPr>
          <w:sz w:val="22"/>
        </w:rPr>
        <w:fldChar w:fldCharType="end"/>
      </w:r>
      <w:bookmarkEnd w:id="75"/>
      <w:r>
        <w:rPr>
          <w:sz w:val="22"/>
        </w:rPr>
        <w:t>.</w:t>
      </w:r>
    </w:p>
    <w:p>
      <w:pPr>
        <w:pStyle w:val="Style21"/>
        <w:rPr>
          <w:sz w:val="22"/>
        </w:rPr>
      </w:pPr>
      <w:r>
        <w:rPr>
          <w:sz w:val="22"/>
        </w:rPr>
        <w:t>Заключенный по результатам закупки Договор, в том числе, фиксирует все достигнутые сторонами договоренности.</w:t>
      </w:r>
    </w:p>
    <w:p>
      <w:pPr>
        <w:pStyle w:val="Style21"/>
        <w:rPr>
          <w:sz w:val="22"/>
        </w:rPr>
      </w:pPr>
      <w:r>
        <w:rPr>
          <w:sz w:val="22"/>
        </w:rPr>
        <w:t>Во всем, что не урегулировано Извещением и Документацией о закупке, стороны руководствуются Законом 223-ФЗ и Положением о закупке (в редакции, действующей на дату официального размещения Извещения).</w:t>
      </w:r>
    </w:p>
    <w:p>
      <w:pPr>
        <w:pStyle w:val="Style21"/>
        <w:rPr>
          <w:sz w:val="22"/>
        </w:rPr>
      </w:pPr>
      <w:r>
        <w:rPr>
          <w:sz w:val="22"/>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1"/>
        <w:rPr>
          <w:sz w:val="22"/>
        </w:rPr>
      </w:pPr>
      <w:r>
        <w:rPr>
          <w:sz w:val="22"/>
        </w:rPr>
        <w:t>Иные документы Организатора и Участников не определяют права и обязанности сторон в связи с данной закупкой.</w:t>
      </w:r>
    </w:p>
    <w:p>
      <w:pPr>
        <w:pStyle w:val="Style21"/>
        <w:rPr>
          <w:sz w:val="22"/>
        </w:rPr>
      </w:pPr>
      <w:r>
        <w:rPr>
          <w:sz w:val="22"/>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0"/>
        <w:rPr>
          <w:sz w:val="22"/>
        </w:rPr>
      </w:pPr>
      <w:bookmarkStart w:id="76" w:name="__RefHeading___Toc192511_1558056896"/>
      <w:bookmarkStart w:id="77" w:name="_Ref125363536"/>
      <w:bookmarkStart w:id="78" w:name="_Toc186224118"/>
      <w:bookmarkEnd w:id="76"/>
      <w:r>
        <w:rPr>
          <w:sz w:val="22"/>
        </w:rPr>
        <w:t>Обжалование</w:t>
      </w:r>
      <w:bookmarkEnd w:id="77"/>
      <w:bookmarkEnd w:id="78"/>
    </w:p>
    <w:p>
      <w:pPr>
        <w:pStyle w:val="Style21"/>
        <w:rPr>
          <w:sz w:val="22"/>
        </w:rPr>
      </w:pPr>
      <w:r>
        <w:rPr>
          <w:sz w:val="22"/>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1"/>
        <w:rPr>
          <w:sz w:val="22"/>
        </w:rPr>
      </w:pPr>
      <w:r>
        <w:rPr>
          <w:sz w:val="22"/>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1"/>
        <w:keepNext w:val="true"/>
        <w:rPr>
          <w:sz w:val="22"/>
        </w:rPr>
      </w:pPr>
      <w:r>
        <w:rPr>
          <w:sz w:val="22"/>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2"/>
        <w:rPr>
          <w:sz w:val="22"/>
        </w:rPr>
      </w:pPr>
      <w:r>
        <w:rPr>
          <w:sz w:val="22"/>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2"/>
        <w:rPr>
          <w:sz w:val="22"/>
        </w:rPr>
      </w:pPr>
      <w:r>
        <w:rPr>
          <w:sz w:val="22"/>
        </w:rPr>
        <w:t>признать заявление Участника необоснованным.</w:t>
      </w:r>
    </w:p>
    <w:p>
      <w:pPr>
        <w:pStyle w:val="Style21"/>
        <w:rPr>
          <w:sz w:val="22"/>
        </w:rPr>
      </w:pPr>
      <w:r>
        <w:rPr>
          <w:sz w:val="22"/>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Если обжалуемые действия (бездействие) совершены после окончания установленного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обжалование таких действий (бездействия) может осуществляться только Участником, подавшим заявку на участие в такой закупке.</w:t>
      </w:r>
    </w:p>
    <w:p>
      <w:pPr>
        <w:pStyle w:val="Style21"/>
        <w:rPr>
          <w:sz w:val="22"/>
        </w:rPr>
      </w:pPr>
      <w:r>
        <w:rPr>
          <w:sz w:val="22"/>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2"/>
        <w:rPr>
          <w:sz w:val="22"/>
        </w:rPr>
      </w:pPr>
      <w:r>
        <w:rPr>
          <w:sz w:val="22"/>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2"/>
        <w:rPr>
          <w:sz w:val="22"/>
        </w:rPr>
      </w:pPr>
      <w:r>
        <w:rPr>
          <w:sz w:val="22"/>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25"/>
        <w:ind w:left="1134" w:hanging="0"/>
        <w:rPr>
          <w:sz w:val="22"/>
        </w:rPr>
      </w:pPr>
      <w:r>
        <w:rPr>
          <w:sz w:val="22"/>
        </w:rPr>
        <w:t>Закупочная комиссия определяется в соответствии с Положением о закупке.</w:t>
      </w:r>
    </w:p>
    <w:p>
      <w:pPr>
        <w:pStyle w:val="Style20"/>
        <w:rPr>
          <w:sz w:val="22"/>
        </w:rPr>
      </w:pPr>
      <w:bookmarkStart w:id="79" w:name="__RefHeading___Toc192513_1558056896"/>
      <w:bookmarkStart w:id="80" w:name="_Toc186224119"/>
      <w:bookmarkEnd w:id="79"/>
      <w:r>
        <w:rPr>
          <w:sz w:val="22"/>
        </w:rPr>
        <w:t>Особые положения при проведении закупки с использованием ЭП</w:t>
      </w:r>
      <w:bookmarkEnd w:id="80"/>
    </w:p>
    <w:p>
      <w:pPr>
        <w:pStyle w:val="Style21"/>
        <w:rPr>
          <w:sz w:val="22"/>
        </w:rPr>
      </w:pPr>
      <w:r>
        <w:rPr>
          <w:sz w:val="22"/>
        </w:rPr>
        <w:t>Наименование ЭП, посредством которой проводится закупка, указано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До подачи заявки Участник обязан ознакомиться с Регламентом ЭП, опубликованными на сайте соответствующей ЭП.</w:t>
      </w:r>
    </w:p>
    <w:p>
      <w:pPr>
        <w:pStyle w:val="Style21"/>
        <w:rPr>
          <w:sz w:val="22"/>
        </w:rPr>
      </w:pPr>
      <w:r>
        <w:rPr>
          <w:sz w:val="22"/>
        </w:rPr>
        <w:t>Для участия в закупке Участник должен пройти процедуру регистрации в Едином реестре участников закупок в ЕИС в порядке, предусмотренным Законом 44-ФЗ, т.е. быть зарегистрированным на ЭП. Регистрация осуществляется Федеральным Казначейством, и Организатор (Заказчик) не несет ответственности за результат ее прохождения Участником, в том числе понесенные им затраты.</w:t>
      </w:r>
    </w:p>
    <w:p>
      <w:pPr>
        <w:pStyle w:val="Style21"/>
        <w:rPr>
          <w:sz w:val="22"/>
        </w:rPr>
      </w:pPr>
      <w:r>
        <w:rPr>
          <w:sz w:val="22"/>
        </w:rPr>
        <w:t>Правила проведения закупки в том числе определяются Регламентом ЭП.</w:t>
      </w:r>
    </w:p>
    <w:p>
      <w:pPr>
        <w:pStyle w:val="Style21"/>
        <w:rPr>
          <w:sz w:val="22"/>
        </w:rPr>
      </w:pPr>
      <w:r>
        <w:rPr>
          <w:sz w:val="22"/>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p>
    <w:p>
      <w:pPr>
        <w:pStyle w:val="Style21"/>
        <w:rPr>
          <w:sz w:val="22"/>
        </w:rPr>
      </w:pPr>
      <w:r>
        <w:rPr>
          <w:sz w:val="22"/>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p>
    <w:p>
      <w:pPr>
        <w:pStyle w:val="Style20"/>
        <w:rPr>
          <w:sz w:val="22"/>
        </w:rPr>
      </w:pPr>
      <w:bookmarkStart w:id="81" w:name="__RefHeading___Toc192515_1558056896"/>
      <w:bookmarkStart w:id="82" w:name="_Toc186224120"/>
      <w:bookmarkEnd w:id="81"/>
      <w:r>
        <w:rPr>
          <w:sz w:val="22"/>
        </w:rPr>
        <w:t>Прочие положения</w:t>
      </w:r>
      <w:bookmarkEnd w:id="82"/>
    </w:p>
    <w:p>
      <w:pPr>
        <w:pStyle w:val="Style21"/>
        <w:rPr>
          <w:sz w:val="22"/>
        </w:rPr>
      </w:pPr>
      <w:r>
        <w:rPr>
          <w:sz w:val="22"/>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1"/>
        <w:rPr>
          <w:sz w:val="22"/>
        </w:rPr>
      </w:pPr>
      <w:r>
        <w:rPr>
          <w:sz w:val="22"/>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p>
    <w:p>
      <w:pPr>
        <w:pStyle w:val="Style21"/>
        <w:rPr>
          <w:sz w:val="22"/>
        </w:rPr>
      </w:pPr>
      <w:r>
        <w:rPr>
          <w:sz w:val="22"/>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19"/>
        <w:rPr>
          <w:sz w:val="22"/>
        </w:rPr>
      </w:pPr>
      <w:bookmarkStart w:id="83" w:name="__RefHeading___Toc192517_1558056896"/>
      <w:bookmarkStart w:id="84" w:name="_Toc186224121"/>
      <w:bookmarkStart w:id="85" w:name="_Ref125361210"/>
      <w:bookmarkEnd w:id="83"/>
      <w:r>
        <w:rPr>
          <w:sz w:val="22"/>
        </w:rPr>
        <w:t>Требования к Участникам</w:t>
      </w:r>
      <w:bookmarkEnd w:id="84"/>
      <w:bookmarkEnd w:id="85"/>
    </w:p>
    <w:p>
      <w:pPr>
        <w:pStyle w:val="Style20"/>
        <w:rPr>
          <w:sz w:val="22"/>
        </w:rPr>
      </w:pPr>
      <w:bookmarkStart w:id="86" w:name="__RefHeading___Toc192519_1558056896"/>
      <w:bookmarkStart w:id="87" w:name="_Toc186224122"/>
      <w:bookmarkStart w:id="88" w:name="_Ref127524530"/>
      <w:bookmarkEnd w:id="86"/>
      <w:r>
        <w:rPr>
          <w:sz w:val="22"/>
        </w:rPr>
        <w:t>Общие требования к Участникам</w:t>
      </w:r>
      <w:bookmarkEnd w:id="87"/>
      <w:bookmarkEnd w:id="88"/>
    </w:p>
    <w:p>
      <w:pPr>
        <w:pStyle w:val="Style21"/>
        <w:rPr>
          <w:sz w:val="22"/>
        </w:rPr>
      </w:pPr>
      <w:bookmarkStart w:id="89" w:name="_Ref125361514"/>
      <w:r>
        <w:rPr>
          <w:sz w:val="22"/>
        </w:rPr>
        <w:t>Из лиц, указанных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участвовать в закупке может любое юридическое / физическое лицо (в том числе индивидуальный предприниматель),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w:t>
      </w:r>
      <w:bookmarkEnd w:id="89"/>
    </w:p>
    <w:p>
      <w:pPr>
        <w:pStyle w:val="Style21"/>
        <w:rPr>
          <w:sz w:val="22"/>
        </w:rPr>
      </w:pPr>
      <w:r>
        <w:rPr>
          <w:sz w:val="22"/>
        </w:rPr>
        <w:t>Однако, чтобы претендовать на победу в закупке Участник самостоятельно в целом должен отвечать требованиям, установленным в Документации о закупке.</w:t>
      </w:r>
    </w:p>
    <w:p>
      <w:pPr>
        <w:pStyle w:val="Style21"/>
        <w:rPr/>
      </w:pPr>
      <w:r>
        <w:rPr>
          <w:sz w:val="22"/>
        </w:rPr>
        <w:t xml:space="preserve">Требования к Участникам установлены с учетом предмета договора, </w:t>
      </w:r>
      <w:hyperlink w:anchor="Прил01_ТехТребования">
        <w:r>
          <w:rPr>
            <w:rStyle w:val="Style7"/>
            <w:sz w:val="22"/>
          </w:rPr>
          <w:t>Технических требований (Приложение № 1)</w:t>
        </w:r>
      </w:hyperlink>
      <w:r>
        <w:rPr>
          <w:sz w:val="22"/>
        </w:rPr>
        <w:t xml:space="preserve"> и </w:t>
      </w:r>
      <w:hyperlink w:anchor="Прил02_ПроектДоговора">
        <w:r>
          <w:rPr>
            <w:rStyle w:val="Style7"/>
            <w:sz w:val="22"/>
          </w:rPr>
          <w:t>Проекта договора (Приложение № 2)</w:t>
        </w:r>
      </w:hyperlink>
      <w:r>
        <w:rPr>
          <w:sz w:val="22"/>
        </w:rPr>
        <w:t>.</w:t>
      </w:r>
    </w:p>
    <w:p>
      <w:pPr>
        <w:pStyle w:val="Style21"/>
        <w:keepNext w:val="true"/>
        <w:rPr/>
      </w:pPr>
      <w:r>
        <w:rPr>
          <w:sz w:val="22"/>
        </w:rPr>
        <w:t>Установлены следующие требования к Участникам, которые приведены в </w:t>
      </w:r>
      <w:hyperlink w:anchor="Прил03_ТребованияУчастникам">
        <w:r>
          <w:rPr>
            <w:rStyle w:val="Style7"/>
            <w:sz w:val="22"/>
          </w:rPr>
          <w:t>Приложении № 3</w:t>
        </w:r>
      </w:hyperlink>
      <w:r>
        <w:rPr>
          <w:sz w:val="22"/>
        </w:rPr>
        <w:t>:</w:t>
      </w:r>
    </w:p>
    <w:p>
      <w:pPr>
        <w:pStyle w:val="Style22"/>
        <w:rPr>
          <w:sz w:val="22"/>
        </w:rPr>
      </w:pPr>
      <w:r>
        <w:rPr>
          <w:sz w:val="22"/>
        </w:rPr>
        <w:t>обязательные требования (подраздел </w:t>
      </w:r>
      <w:r>
        <w:rPr>
          <w:sz w:val="22"/>
        </w:rPr>
        <w:fldChar w:fldCharType="begin"/>
      </w:r>
      <w:r>
        <w:rPr>
          <w:sz w:val="22"/>
        </w:rPr>
        <w:instrText xml:space="preserve"> REF _Ref125361435 \r \h </w:instrText>
      </w:r>
      <w:r>
        <w:rPr>
          <w:sz w:val="22"/>
        </w:rPr>
        <w:fldChar w:fldCharType="separate"/>
      </w:r>
      <w:r>
        <w:rPr>
          <w:sz w:val="22"/>
        </w:rPr>
        <w:t>8.2</w:t>
      </w:r>
      <w:r>
        <w:rPr>
          <w:sz w:val="22"/>
        </w:rPr>
        <w:fldChar w:fldCharType="end"/>
      </w:r>
      <w:r>
        <w:rPr>
          <w:sz w:val="22"/>
        </w:rPr>
        <w:t>) – Участники должны им соответствовать;</w:t>
      </w:r>
    </w:p>
    <w:p>
      <w:pPr>
        <w:pStyle w:val="Style22"/>
        <w:rPr>
          <w:sz w:val="22"/>
        </w:rPr>
      </w:pPr>
      <w:r>
        <w:rPr>
          <w:sz w:val="22"/>
        </w:rPr>
        <w:t>специальные требования – Участники должны им соответствовать, если они установлены (подраздел </w:t>
      </w:r>
      <w:r>
        <w:rPr>
          <w:sz w:val="22"/>
        </w:rPr>
        <w:fldChar w:fldCharType="begin"/>
      </w:r>
      <w:r>
        <w:rPr>
          <w:sz w:val="22"/>
        </w:rPr>
        <w:instrText xml:space="preserve"> REF _Ref125709153 \r \h </w:instrText>
      </w:r>
      <w:r>
        <w:rPr>
          <w:sz w:val="22"/>
        </w:rPr>
        <w:fldChar w:fldCharType="separate"/>
      </w:r>
      <w:r>
        <w:rPr>
          <w:sz w:val="22"/>
        </w:rPr>
        <w:t>8.3</w:t>
      </w:r>
      <w:r>
        <w:rPr>
          <w:sz w:val="22"/>
        </w:rPr>
        <w:fldChar w:fldCharType="end"/>
      </w:r>
      <w:r>
        <w:rPr>
          <w:sz w:val="22"/>
        </w:rPr>
        <w:t>).</w:t>
      </w:r>
    </w:p>
    <w:p>
      <w:pPr>
        <w:pStyle w:val="Style21"/>
        <w:keepNext w:val="true"/>
        <w:rPr>
          <w:sz w:val="22"/>
        </w:rPr>
      </w:pPr>
      <w:r>
        <w:rPr>
          <w:sz w:val="22"/>
        </w:rPr>
        <w:t>В рамках требований к Участникам могут быть установлены дополнительные требования:</w:t>
      </w:r>
    </w:p>
    <w:p>
      <w:pPr>
        <w:pStyle w:val="Style22"/>
        <w:rPr>
          <w:sz w:val="22"/>
        </w:rPr>
      </w:pPr>
      <w:r>
        <w:rPr>
          <w:sz w:val="22"/>
        </w:rPr>
        <w:t>к Генеральным подрядчикам (подраздел </w:t>
      </w:r>
      <w:r>
        <w:rPr>
          <w:sz w:val="22"/>
        </w:rPr>
        <w:fldChar w:fldCharType="begin"/>
      </w:r>
      <w:r>
        <w:rPr>
          <w:sz w:val="22"/>
        </w:rPr>
        <w:instrText xml:space="preserve"> REF _Ref125361702 \r \h </w:instrText>
      </w:r>
      <w:r>
        <w:rPr>
          <w:sz w:val="22"/>
        </w:rPr>
        <w:fldChar w:fldCharType="separate"/>
      </w:r>
      <w:r>
        <w:rPr>
          <w:sz w:val="22"/>
        </w:rPr>
        <w:t>3.2</w:t>
      </w:r>
      <w:r>
        <w:rPr>
          <w:sz w:val="22"/>
        </w:rPr>
        <w:fldChar w:fldCharType="end"/>
      </w:r>
      <w:r>
        <w:rPr>
          <w:sz w:val="22"/>
        </w:rPr>
        <w:t>).</w:t>
      </w:r>
    </w:p>
    <w:p>
      <w:pPr>
        <w:pStyle w:val="Style21"/>
        <w:rPr/>
      </w:pPr>
      <w:r>
        <w:rPr>
          <w:sz w:val="22"/>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7"/>
            <w:sz w:val="22"/>
          </w:rPr>
          <w:t>Требованиях к Участникам (Приложение № 3)</w:t>
        </w:r>
      </w:hyperlink>
      <w:r>
        <w:rPr>
          <w:sz w:val="22"/>
        </w:rPr>
        <w:t xml:space="preserve">, </w:t>
      </w:r>
      <w:bookmarkStart w:id="90" w:name="_Hlk132706049"/>
      <w:r>
        <w:rPr>
          <w:sz w:val="22"/>
        </w:rPr>
        <w:t>если иное не установлено в Документации о закупке</w:t>
      </w:r>
      <w:bookmarkEnd w:id="90"/>
      <w:r>
        <w:rPr>
          <w:sz w:val="22"/>
        </w:rPr>
        <w:t>.</w:t>
      </w:r>
    </w:p>
    <w:p>
      <w:pPr>
        <w:pStyle w:val="Style20"/>
        <w:rPr>
          <w:sz w:val="22"/>
        </w:rPr>
      </w:pPr>
      <w:bookmarkStart w:id="91" w:name="__RefHeading___Toc192521_1558056896_Копи"/>
      <w:bookmarkStart w:id="92" w:name="_Toc186224124"/>
      <w:bookmarkStart w:id="93" w:name="_Ref125361702"/>
      <w:bookmarkEnd w:id="91"/>
      <w:r>
        <w:rPr>
          <w:sz w:val="22"/>
        </w:rPr>
        <w:t>Генеральные подрядчики</w:t>
      </w:r>
      <w:bookmarkEnd w:id="92"/>
      <w:bookmarkEnd w:id="93"/>
    </w:p>
    <w:p>
      <w:pPr>
        <w:pStyle w:val="Style21"/>
        <w:rPr>
          <w:sz w:val="22"/>
        </w:rPr>
      </w:pPr>
      <w:r>
        <w:rPr>
          <w:sz w:val="22"/>
        </w:rPr>
        <w:t>Нормы настоящего подраздела применяются только, если подразделом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предусмотрены рассмотрение и оценка заявок Участников с учетом привлекаемых субподрядчиков.</w:t>
      </w:r>
    </w:p>
    <w:p>
      <w:pPr>
        <w:pStyle w:val="Style21"/>
        <w:rPr/>
      </w:pPr>
      <w:r>
        <w:rPr>
          <w:sz w:val="22"/>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sz w:val="22"/>
        </w:rPr>
        <w:fldChar w:fldCharType="begin"/>
      </w:r>
      <w:r>
        <w:rPr>
          <w:sz w:val="22"/>
        </w:rPr>
        <w:instrText xml:space="preserve"> REF _Ref125709777 \r \h </w:instrText>
      </w:r>
      <w:r>
        <w:rPr>
          <w:sz w:val="22"/>
        </w:rPr>
        <w:fldChar w:fldCharType="separate"/>
      </w:r>
      <w:r>
        <w:rPr>
          <w:sz w:val="22"/>
        </w:rPr>
        <w:t>8.4</w:t>
      </w:r>
      <w:r>
        <w:rPr>
          <w:sz w:val="22"/>
        </w:rPr>
        <w:fldChar w:fldCharType="end"/>
      </w:r>
      <w:r>
        <w:rPr>
          <w:sz w:val="22"/>
        </w:rPr>
        <w:t xml:space="preserve"> </w:t>
      </w:r>
      <w:hyperlink w:anchor="Прил03_ТребованияУчастникам">
        <w:r>
          <w:rPr>
            <w:rStyle w:val="Style7"/>
            <w:sz w:val="22"/>
          </w:rPr>
          <w:t>Требований к Участникам (Приложение № 3)</w:t>
        </w:r>
      </w:hyperlink>
      <w:r>
        <w:rPr>
          <w:sz w:val="22"/>
        </w:rPr>
        <w:t>.</w:t>
      </w:r>
    </w:p>
    <w:p>
      <w:pPr>
        <w:pStyle w:val="Style21"/>
        <w:keepNext w:val="true"/>
        <w:rPr>
          <w:sz w:val="22"/>
        </w:rPr>
      </w:pPr>
      <w:r>
        <w:rPr>
          <w:sz w:val="22"/>
        </w:rPr>
        <w:t>Генеральный подрядчик:</w:t>
      </w:r>
    </w:p>
    <w:p>
      <w:pPr>
        <w:pStyle w:val="Style22"/>
        <w:rPr>
          <w:sz w:val="22"/>
        </w:rPr>
      </w:pPr>
      <w:r>
        <w:rPr>
          <w:sz w:val="22"/>
        </w:rPr>
        <w:t>должен самостоятельно отвечать всем обязательным требованиям к Участникам (подраздел </w:t>
      </w:r>
      <w:r>
        <w:rPr>
          <w:sz w:val="22"/>
        </w:rPr>
        <w:fldChar w:fldCharType="begin"/>
      </w:r>
      <w:r>
        <w:rPr>
          <w:sz w:val="22"/>
        </w:rPr>
        <w:instrText xml:space="preserve"> REF _Ref125361435 \r \h </w:instrText>
      </w:r>
      <w:r>
        <w:rPr>
          <w:sz w:val="22"/>
        </w:rPr>
        <w:fldChar w:fldCharType="separate"/>
      </w:r>
      <w:r>
        <w:rPr>
          <w:sz w:val="22"/>
        </w:rPr>
        <w:t>8.2</w:t>
      </w:r>
      <w:r>
        <w:rPr>
          <w:sz w:val="22"/>
        </w:rPr>
        <w:fldChar w:fldCharType="end"/>
      </w:r>
      <w:r>
        <w:rPr>
          <w:sz w:val="22"/>
        </w:rPr>
        <w:t>);</w:t>
      </w:r>
    </w:p>
    <w:p>
      <w:pPr>
        <w:pStyle w:val="Style22"/>
        <w:rPr>
          <w:sz w:val="22"/>
        </w:rPr>
      </w:pPr>
      <w:r>
        <w:rPr>
          <w:sz w:val="22"/>
        </w:rPr>
        <w:t>в рамках специальных требований (подраздел </w:t>
      </w:r>
      <w:r>
        <w:rPr>
          <w:sz w:val="22"/>
        </w:rPr>
        <w:fldChar w:fldCharType="begin"/>
      </w:r>
      <w:r>
        <w:rPr>
          <w:sz w:val="22"/>
        </w:rPr>
        <w:instrText xml:space="preserve"> REF _Ref125709153 \r \h </w:instrText>
      </w:r>
      <w:r>
        <w:rPr>
          <w:sz w:val="22"/>
        </w:rPr>
        <w:fldChar w:fldCharType="separate"/>
      </w:r>
      <w:r>
        <w:rPr>
          <w:sz w:val="22"/>
        </w:rPr>
        <w:t>8.3</w:t>
      </w:r>
      <w:r>
        <w:rPr>
          <w:sz w:val="22"/>
        </w:rPr>
        <w:fldChar w:fldCharType="end"/>
      </w:r>
      <w:r>
        <w:rPr>
          <w:sz w:val="22"/>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2"/>
        <w:rPr/>
      </w:pPr>
      <w:r>
        <w:rPr>
          <w:sz w:val="22"/>
        </w:rPr>
        <w:t>в рамках остальных специальных требований (в случае их установления) должен отвечать им только в части объема поставки продукции, который ему предполагается поручить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7"/>
            <w:sz w:val="22"/>
          </w:rPr>
          <w:t>Приложение № 4</w:t>
        </w:r>
      </w:hyperlink>
      <w:r>
        <w:rPr>
          <w:sz w:val="22"/>
        </w:rPr>
        <w:t>).</w:t>
      </w:r>
    </w:p>
    <w:p>
      <w:pPr>
        <w:pStyle w:val="Style21"/>
        <w:keepNext w:val="true"/>
        <w:rPr>
          <w:sz w:val="22"/>
        </w:rPr>
      </w:pPr>
      <w:r>
        <w:rPr>
          <w:sz w:val="22"/>
        </w:rPr>
        <w:t>Каждый субподрядчик из привлекаемых Генеральным подрядчиком должен отвечать:</w:t>
      </w:r>
    </w:p>
    <w:p>
      <w:pPr>
        <w:pStyle w:val="Style22"/>
        <w:rPr>
          <w:sz w:val="22"/>
        </w:rPr>
      </w:pPr>
      <w:r>
        <w:rPr>
          <w:sz w:val="22"/>
        </w:rPr>
        <w:t>обязательным требованиям (подраздел </w:t>
      </w:r>
      <w:r>
        <w:rPr>
          <w:sz w:val="22"/>
        </w:rPr>
        <w:fldChar w:fldCharType="begin"/>
      </w:r>
      <w:r>
        <w:rPr>
          <w:sz w:val="22"/>
        </w:rPr>
        <w:instrText xml:space="preserve"> REF _Ref125361435 \r \h </w:instrText>
      </w:r>
      <w:r>
        <w:rPr>
          <w:sz w:val="22"/>
        </w:rPr>
        <w:fldChar w:fldCharType="separate"/>
      </w:r>
      <w:r>
        <w:rPr>
          <w:sz w:val="22"/>
        </w:rPr>
        <w:t>8.2</w:t>
      </w:r>
      <w:r>
        <w:rPr>
          <w:sz w:val="22"/>
        </w:rPr>
        <w:fldChar w:fldCharType="end"/>
      </w:r>
      <w:r>
        <w:rPr>
          <w:sz w:val="22"/>
        </w:rPr>
        <w:t>);</w:t>
      </w:r>
    </w:p>
    <w:p>
      <w:pPr>
        <w:pStyle w:val="Style22"/>
        <w:rPr>
          <w:sz w:val="22"/>
        </w:rPr>
      </w:pPr>
      <w:r>
        <w:rPr>
          <w:sz w:val="22"/>
        </w:rPr>
        <w:t>специальным требованиям (подраздел </w:t>
      </w:r>
      <w:r>
        <w:rPr>
          <w:sz w:val="22"/>
        </w:rPr>
        <w:fldChar w:fldCharType="begin"/>
      </w:r>
      <w:r>
        <w:rPr>
          <w:sz w:val="22"/>
        </w:rPr>
        <w:instrText xml:space="preserve"> REF _Ref125709153 \r \h </w:instrText>
      </w:r>
      <w:r>
        <w:rPr>
          <w:sz w:val="22"/>
        </w:rPr>
        <w:fldChar w:fldCharType="separate"/>
      </w:r>
      <w:r>
        <w:rPr>
          <w:sz w:val="22"/>
        </w:rPr>
        <w:t>8.3</w:t>
      </w:r>
      <w:r>
        <w:rPr>
          <w:sz w:val="22"/>
        </w:rPr>
        <w:fldChar w:fldCharType="end"/>
      </w:r>
      <w:r>
        <w:rPr>
          <w:sz w:val="22"/>
        </w:rPr>
        <w:t>) (в случае их установления), за исключением требования о наличии членства в саморегулируемых организациях.</w:t>
      </w:r>
    </w:p>
    <w:p>
      <w:pPr>
        <w:pStyle w:val="Style25"/>
        <w:ind w:left="1134" w:hanging="0"/>
        <w:rPr/>
      </w:pPr>
      <w:bookmarkStart w:id="94" w:name="_Ref125368863"/>
      <w:r>
        <w:rPr>
          <w:sz w:val="22"/>
        </w:rPr>
        <w:t xml:space="preserve">При этом соответствовать специальным требованиям субподрядчик должен только в части объема поставки продукции, который ему </w:t>
      </w:r>
      <w:bookmarkEnd w:id="94"/>
      <w:r>
        <w:rPr>
          <w:sz w:val="22"/>
        </w:rPr>
        <w:t>поручен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7"/>
            <w:sz w:val="22"/>
          </w:rPr>
          <w:t>Приложение № 4</w:t>
        </w:r>
      </w:hyperlink>
      <w:r>
        <w:rPr>
          <w:sz w:val="22"/>
        </w:rPr>
        <w:t>).</w:t>
      </w:r>
    </w:p>
    <w:p>
      <w:pPr>
        <w:pStyle w:val="Style21"/>
        <w:rPr/>
      </w:pPr>
      <w:r>
        <w:rPr>
          <w:sz w:val="22"/>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7"/>
            <w:sz w:val="22"/>
          </w:rPr>
          <w:t>Порядке и критериях оценки и сопоставления заявок (Приложение № 8)</w:t>
        </w:r>
      </w:hyperlink>
      <w:r>
        <w:rPr>
          <w:sz w:val="22"/>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1"/>
        <w:rPr>
          <w:sz w:val="22"/>
        </w:rPr>
      </w:pPr>
      <w:bookmarkStart w:id="95" w:name="_Ref125361799"/>
      <w:r>
        <w:rPr>
          <w:sz w:val="22"/>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5"/>
    </w:p>
    <w:p>
      <w:pPr>
        <w:sectPr>
          <w:headerReference w:type="default" r:id="rId6"/>
          <w:footerReference w:type="default" r:id="rId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1"/>
        <w:rPr/>
      </w:pPr>
      <w:r>
        <w:rPr>
          <w:sz w:val="22"/>
        </w:rPr>
        <w:t>Если подразделом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sz w:val="22"/>
        </w:rPr>
        <w:fldChar w:fldCharType="begin"/>
      </w:r>
      <w:r>
        <w:rPr>
          <w:sz w:val="22"/>
        </w:rPr>
        <w:instrText xml:space="preserve"> REF _Ref125709973 \r \h </w:instrText>
      </w:r>
      <w:r>
        <w:rPr>
          <w:sz w:val="22"/>
        </w:rPr>
        <w:fldChar w:fldCharType="separate"/>
      </w:r>
      <w:r>
        <w:rPr>
          <w:sz w:val="22"/>
        </w:rPr>
        <w:t>8.4</w:t>
      </w:r>
      <w:r>
        <w:rPr>
          <w:sz w:val="22"/>
        </w:rPr>
        <w:fldChar w:fldCharType="end"/>
      </w:r>
      <w:r>
        <w:rPr>
          <w:sz w:val="22"/>
        </w:rPr>
        <w:t xml:space="preserve"> </w:t>
      </w:r>
      <w:hyperlink w:anchor="Прил03_ТребованияУчастникам">
        <w:r>
          <w:rPr>
            <w:rStyle w:val="Style7"/>
            <w:sz w:val="22"/>
          </w:rPr>
          <w:t>Требований к Участникам (Приложение № 3)</w:t>
        </w:r>
      </w:hyperlink>
      <w:r>
        <w:rPr>
          <w:sz w:val="22"/>
        </w:rPr>
        <w:t>. 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19"/>
        <w:rPr/>
      </w:pPr>
      <w:bookmarkStart w:id="96" w:name="__RefHeading___Toc192525_1558056896"/>
      <w:bookmarkStart w:id="97" w:name="_Toc186224125"/>
      <w:bookmarkStart w:id="98" w:name="_Ref125367974"/>
      <w:bookmarkStart w:id="99" w:name="_Ref125367107"/>
      <w:bookmarkStart w:id="100" w:name="_Ref125367098"/>
      <w:bookmarkStart w:id="101" w:name="_Ref125361211"/>
      <w:bookmarkEnd w:id="96"/>
      <w:r>
        <w:rPr/>
        <w:t>Порядок проведения закупки</w:t>
      </w:r>
      <w:bookmarkEnd w:id="97"/>
      <w:bookmarkEnd w:id="98"/>
      <w:bookmarkEnd w:id="99"/>
      <w:bookmarkEnd w:id="100"/>
      <w:bookmarkEnd w:id="101"/>
    </w:p>
    <w:p>
      <w:pPr>
        <w:pStyle w:val="Style20"/>
        <w:rPr/>
      </w:pPr>
      <w:bookmarkStart w:id="102" w:name="__RefHeading___Toc192527_1558056896"/>
      <w:bookmarkStart w:id="103" w:name="_Toc186224126"/>
      <w:bookmarkStart w:id="104" w:name="_Ref126141932"/>
      <w:bookmarkEnd w:id="102"/>
      <w:r>
        <w:rPr/>
        <w:t>Общий порядок проведения закупки</w:t>
      </w:r>
      <w:bookmarkEnd w:id="103"/>
      <w:bookmarkEnd w:id="104"/>
    </w:p>
    <w:p>
      <w:pPr>
        <w:pStyle w:val="Style21"/>
        <w:keepNext w:val="true"/>
        <w:spacing w:before="120" w:after="120"/>
        <w:rPr/>
      </w:pPr>
      <w:r>
        <w:rPr/>
        <w:t>Закупка проводится в следующем порядке:</w:t>
      </w:r>
    </w:p>
    <w:tbl>
      <w:tblPr>
        <w:tblStyle w:val="afff3"/>
        <w:tblW w:w="14007" w:type="dxa"/>
        <w:jc w:val="left"/>
        <w:tblInd w:w="1129" w:type="dxa"/>
        <w:tblLayout w:type="fixed"/>
        <w:tblCellMar>
          <w:top w:w="0" w:type="dxa"/>
          <w:left w:w="0" w:type="dxa"/>
          <w:bottom w:w="0" w:type="dxa"/>
          <w:right w:w="5" w:type="dxa"/>
        </w:tblCellMar>
        <w:tblLook w:val="04a0" w:noVBand="1" w:noHBand="0" w:lastColumn="0" w:firstColumn="1" w:lastRow="0" w:firstRow="1"/>
      </w:tblPr>
      <w:tblGrid>
        <w:gridCol w:w="372"/>
        <w:gridCol w:w="2042"/>
        <w:gridCol w:w="1177"/>
        <w:gridCol w:w="3217"/>
        <w:gridCol w:w="2694"/>
        <w:gridCol w:w="2269"/>
        <w:gridCol w:w="2235"/>
      </w:tblGrid>
      <w:tr>
        <w:trPr>
          <w:cnfStyle w:val="100000000000" w:firstRow="1" w:lastRow="0" w:firstColumn="0" w:lastColumn="0" w:oddVBand="0" w:evenVBand="0" w:oddHBand="0" w:evenHBand="0" w:firstRowFirstColumn="0" w:firstRowLastColumn="0" w:lastRowFirstColumn="0" w:lastRowLastColumn="0"/>
        </w:trPr>
        <w:tc>
          <w:tcPr>
            <w:tcW w:w="372" w:type="dxa"/>
            <w:tcBorders>
              <w:left w:val="nil"/>
            </w:tcBorders>
            <w:vAlign w:val="bottom"/>
          </w:tcPr>
          <w:p>
            <w:pPr>
              <w:pStyle w:val="Style25"/>
              <w:keepNext w:val="tru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634" w:type="dxa"/>
            <w:gridSpan w:val="6"/>
            <w:tcBorders>
              <w:right w:val="nil"/>
            </w:tcBorders>
          </w:tcPr>
          <w:p>
            <w:pPr>
              <w:pStyle w:val="Style25"/>
              <w:keepNext w:val="tru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_Ref130394205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9" w:type="dxa"/>
            <w:vMerge w:val="restart"/>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right w:val="nil"/>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_Ref132816134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694"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5"/>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99" w:type="dxa"/>
            <w:gridSpan w:val="5"/>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Открытия доступа к первым частям заявок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_Ref132816188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5" w:type="dxa"/>
            <w:tcBorders>
              <w:bottom w:val="nil"/>
              <w:right w:val="nil"/>
            </w:tcBorders>
          </w:tcPr>
          <w:p>
            <w:pPr>
              <w:pStyle w:val="Style25"/>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19" w:type="dxa"/>
            <w:gridSpan w:val="2"/>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первых частей заявок / окончательных предложений (отборочная стадия)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restart"/>
            <w:tcBorders>
              <w:top w:val="nil"/>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top w:val="nil"/>
              <w:right w:val="nil"/>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_Ref132816141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ко вторым частям заявок</w:t>
              <w:br/>
              <w:t>и ценовым предложениям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_Ref132801184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5"/>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19" w:type="dxa"/>
            <w:gridSpan w:val="2"/>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вторых частей заявок (отборочная стадия), в том числе (при необходимости) проведение аккредитации,</w:t>
              <w:br/>
              <w:t>и ценовых предложений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_Ref132797154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5"/>
              <w:widowControl w:val="false"/>
              <w:suppressAutoHyphens w:val="true"/>
              <w:spacing w:before="40" w:after="40"/>
              <w:jc w:val="center"/>
              <w:rPr>
                <w:bCs/>
                <w:sz w:val="24"/>
                <w:szCs w:val="24"/>
              </w:rPr>
            </w:pPr>
            <w:r>
              <w:rPr>
                <w:bCs/>
                <w:sz w:val="24"/>
                <w:szCs w:val="24"/>
              </w:rPr>
            </w:r>
          </w:p>
        </w:tc>
      </w:tr>
      <w:tr>
        <w:trPr>
          <w:trHeight w:val="627" w:hRule="atLeast"/>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vAlign w:val="center"/>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5"/>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130" w:type="dxa"/>
            <w:gridSpan w:val="4"/>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cPr>
          <w:p>
            <w:pPr>
              <w:pStyle w:val="Style25"/>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5"/>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5"/>
              <w:widowControl w:val="false"/>
              <w:suppressAutoHyphens w:val="true"/>
              <w:spacing w:before="40" w:after="40"/>
              <w:jc w:val="center"/>
              <w:rPr>
                <w:bCs/>
                <w:sz w:val="24"/>
                <w:szCs w:val="24"/>
              </w:rPr>
            </w:pPr>
            <w:r>
              <w:rPr>
                <w:rFonts w:eastAsia="Wingdings 3" w:cs="Wingdings 3" w:ascii="Wingdings 3" w:hAnsi="Wingdings 3"/>
                <w:bCs/>
                <w:kern w:val="0"/>
                <w:sz w:val="24"/>
                <w:szCs w:val="24"/>
                <w:u w:val="single"/>
                <w:lang w:val="ru-RU" w:eastAsia="en-US" w:bidi="ar-SA"/>
              </w:rPr>
              <w:sym w:font="Wingdings 3" w:char="f0d4"/>
            </w:r>
          </w:p>
        </w:tc>
        <w:tc>
          <w:tcPr>
            <w:tcW w:w="2042" w:type="dxa"/>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_Ref138341423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7198" w:type="dxa"/>
            <w:gridSpan w:val="3"/>
            <w:tcBorders>
              <w:right w:val="nil"/>
            </w:tcBorders>
          </w:tcPr>
          <w:p>
            <w:pPr>
              <w:pStyle w:val="Style25"/>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 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0"/>
        <w:rPr>
          <w:sz w:val="22"/>
        </w:rPr>
      </w:pPr>
      <w:bookmarkStart w:id="105" w:name="__RefHeading___Toc192529_1558056896"/>
      <w:bookmarkStart w:id="106" w:name="_Toc186224127"/>
      <w:bookmarkStart w:id="107" w:name="_Ref130286532"/>
      <w:bookmarkEnd w:id="105"/>
      <w:r>
        <w:rPr>
          <w:sz w:val="22"/>
        </w:rPr>
        <w:t>Официальное размещение Извещения и Документации о закупке</w:t>
      </w:r>
      <w:bookmarkEnd w:id="106"/>
      <w:bookmarkEnd w:id="107"/>
    </w:p>
    <w:p>
      <w:pPr>
        <w:pStyle w:val="Style21"/>
        <w:rPr>
          <w:sz w:val="22"/>
        </w:rPr>
      </w:pPr>
      <w:r>
        <w:rPr>
          <w:sz w:val="22"/>
        </w:rPr>
        <w:t>Извещение и Документация о закупке официально размещены на Официальном сайте (ЕИС) и доступны для ознакомления без взимания платы. Иные публикации не влекут для Организатора никаких последствий.</w:t>
      </w:r>
    </w:p>
    <w:p>
      <w:pPr>
        <w:pStyle w:val="Style21"/>
        <w:rPr>
          <w:sz w:val="22"/>
        </w:rPr>
      </w:pPr>
      <w:r>
        <w:rPr>
          <w:sz w:val="22"/>
        </w:rPr>
        <w:t>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 с последующим размещением ее на Официальном сайте (ЕИС) в течение 1 (одного) рабочего дня со дня устранения указанных неполадок.</w:t>
      </w:r>
    </w:p>
    <w:p>
      <w:pPr>
        <w:pStyle w:val="Style21"/>
        <w:rPr>
          <w:sz w:val="22"/>
        </w:rPr>
      </w:pPr>
      <w:bookmarkStart w:id="108" w:name="_Ref125362785"/>
      <w:r>
        <w:rPr>
          <w:sz w:val="22"/>
        </w:rPr>
        <w:t>Участники могут получить Документацию о закупке также через ЭП. Порядок получения информации через ЭП определяется Регламентом ЭП, с использованием которой проводится закупка.</w:t>
      </w:r>
      <w:bookmarkEnd w:id="108"/>
    </w:p>
    <w:p>
      <w:pPr>
        <w:pStyle w:val="Style21"/>
        <w:rPr>
          <w:sz w:val="22"/>
        </w:rPr>
      </w:pPr>
      <w:r>
        <w:rPr>
          <w:sz w:val="22"/>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0"/>
        <w:rPr>
          <w:sz w:val="22"/>
        </w:rPr>
      </w:pPr>
      <w:bookmarkStart w:id="109" w:name="__RefHeading___Toc192531_1558056896"/>
      <w:bookmarkStart w:id="110" w:name="_Ref130281199"/>
      <w:bookmarkStart w:id="111" w:name="_Ref130394681"/>
      <w:bookmarkStart w:id="112" w:name="_Toc186224129"/>
      <w:bookmarkEnd w:id="109"/>
      <w:r>
        <w:rPr>
          <w:sz w:val="22"/>
        </w:rPr>
        <w:t>Подготовка заявки</w:t>
      </w:r>
      <w:bookmarkEnd w:id="110"/>
      <w:bookmarkEnd w:id="111"/>
      <w:bookmarkEnd w:id="112"/>
    </w:p>
    <w:p>
      <w:pPr>
        <w:pStyle w:val="Style21"/>
        <w:rPr>
          <w:sz w:val="22"/>
        </w:rPr>
      </w:pPr>
      <w:r>
        <w:rPr>
          <w:sz w:val="22"/>
        </w:rPr>
        <w:t>Участник должен подготовить заявку с учетом требований Документации о закупке.</w:t>
      </w:r>
    </w:p>
    <w:p>
      <w:pPr>
        <w:pStyle w:val="Style21"/>
        <w:rPr>
          <w:sz w:val="22"/>
        </w:rPr>
      </w:pPr>
      <w:r>
        <w:rPr>
          <w:sz w:val="22"/>
        </w:rPr>
        <w:t>Участник самостоятельно несет все расходы, связанные с подготовкой и подачей заявки (подраздел </w:t>
      </w:r>
      <w:r>
        <w:rPr>
          <w:sz w:val="22"/>
        </w:rPr>
        <w:fldChar w:fldCharType="begin"/>
      </w:r>
      <w:r>
        <w:rPr>
          <w:sz w:val="22"/>
        </w:rPr>
        <w:instrText xml:space="preserve"> REF _Ref125362119 \r \h </w:instrText>
      </w:r>
      <w:r>
        <w:rPr>
          <w:sz w:val="22"/>
        </w:rPr>
        <w:fldChar w:fldCharType="separate"/>
      </w:r>
      <w:r>
        <w:rPr>
          <w:sz w:val="22"/>
        </w:rPr>
        <w:t>4.6</w:t>
      </w:r>
      <w:r>
        <w:rPr>
          <w:sz w:val="22"/>
        </w:rPr>
        <w:fldChar w:fldCharType="end"/>
      </w:r>
      <w:r>
        <w:rPr>
          <w:sz w:val="22"/>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1"/>
        <w:rPr/>
      </w:pPr>
      <w:r>
        <w:rPr>
          <w:sz w:val="22"/>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7"/>
            <w:sz w:val="22"/>
          </w:rPr>
          <w:t>Приложением № 6 – Состав заявки</w:t>
        </w:r>
      </w:hyperlink>
      <w:r>
        <w:rPr>
          <w:sz w:val="22"/>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7"/>
            <w:sz w:val="22"/>
          </w:rPr>
          <w:t>Приложение № 4</w:t>
        </w:r>
      </w:hyperlink>
      <w:r>
        <w:rPr>
          <w:sz w:val="22"/>
        </w:rPr>
        <w:t>.</w:t>
      </w:r>
    </w:p>
    <w:p>
      <w:pPr>
        <w:pStyle w:val="Style21"/>
        <w:rPr/>
      </w:pPr>
      <w:r>
        <w:rPr>
          <w:sz w:val="22"/>
        </w:rPr>
        <w:t xml:space="preserve">Непосредственно перед подачей заявки Участник должен разделить подготовленные документы на отдельные части: </w:t>
      </w:r>
      <w:bookmarkStart w:id="113" w:name="_Hlk132886098"/>
      <w:r>
        <w:rPr>
          <w:sz w:val="22"/>
        </w:rPr>
        <w:t>первую часть, вторую часть и ценовое предложение</w:t>
      </w:r>
      <w:bookmarkEnd w:id="113"/>
      <w:r>
        <w:rPr>
          <w:sz w:val="22"/>
        </w:rPr>
        <w:t xml:space="preserve"> в соответствии с перечнем документов, входящих в каждую из частей, определенному </w:t>
      </w:r>
      <w:hyperlink w:anchor="Прил06_СоставЗаявки">
        <w:r>
          <w:rPr>
            <w:rStyle w:val="Style7"/>
            <w:sz w:val="22"/>
          </w:rPr>
          <w:t>Приложением № 6 – Состав заявки</w:t>
        </w:r>
      </w:hyperlink>
      <w:r>
        <w:rPr>
          <w:sz w:val="22"/>
        </w:rPr>
        <w:t>.</w:t>
      </w:r>
    </w:p>
    <w:p>
      <w:pPr>
        <w:pStyle w:val="Style21"/>
        <w:rPr/>
      </w:pPr>
      <w:r>
        <w:rPr>
          <w:sz w:val="22"/>
        </w:rPr>
        <w:t>В первую часть заявки должны входить документы, содержащие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в том числе сведения по результатам проведения предзаявочного обсуждения или обсуждения заявок (в случае проведения), а также информация и документы, необходимые для осуществления оценки заявки в отношении предлагаемой к поставке продукции (в случае установления соответствующих критериев оценки в </w:t>
      </w:r>
      <w:hyperlink w:anchor="Прил08_ПорядокОценки">
        <w:r>
          <w:rPr>
            <w:rStyle w:val="Style7"/>
            <w:sz w:val="22"/>
          </w:rPr>
          <w:t>Порядке и критериях оценки и сопоставления заявок (Приложение № 8)</w:t>
        </w:r>
      </w:hyperlink>
      <w:r>
        <w:rPr>
          <w:sz w:val="22"/>
        </w:rPr>
        <w:t>).</w:t>
      </w:r>
    </w:p>
    <w:p>
      <w:pPr>
        <w:pStyle w:val="Style21"/>
        <w:rPr/>
      </w:pPr>
      <w:r>
        <w:rPr>
          <w:sz w:val="22"/>
        </w:rPr>
        <w:t xml:space="preserve">Во вторую часть заявки должны входить документы, содержащие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информация и документы, необходимые для осуществления оценки заявки в отношении Участника (в случае установления соответствующих критериев оценки в </w:t>
      </w:r>
      <w:hyperlink w:anchor="Прил08_ПорядокОценки">
        <w:r>
          <w:rPr>
            <w:rStyle w:val="Style7"/>
            <w:sz w:val="22"/>
          </w:rPr>
          <w:t>Порядке и критериях оценки и сопоставления заявок (Приложение № 8)</w:t>
        </w:r>
      </w:hyperlink>
      <w:r>
        <w:rPr>
          <w:sz w:val="22"/>
        </w:rPr>
        <w:t>).</w:t>
      </w:r>
    </w:p>
    <w:p>
      <w:pPr>
        <w:pStyle w:val="Style21"/>
        <w:rPr>
          <w:sz w:val="22"/>
        </w:rPr>
      </w:pPr>
      <w:r>
        <w:rPr>
          <w:sz w:val="22"/>
        </w:rPr>
        <w:t>При этом документы, входящие в состав первой части заявки, не должны подаваться на фирменном бланке Участника или иным образом содержать сведения, идентифицирующие его (наименование, адрес местонахождения, номер контактного телефона, адрес электронной почты, сайт в информационно-телекоммуникационной сети «Интернет» и т.п.).</w:t>
      </w:r>
    </w:p>
    <w:p>
      <w:pPr>
        <w:pStyle w:val="Style21"/>
        <w:rPr>
          <w:sz w:val="22"/>
        </w:rPr>
      </w:pPr>
      <w:r>
        <w:rPr>
          <w:sz w:val="22"/>
        </w:rPr>
        <w:t>В случае обнаружения в первой части заявки сведений об Участнике и (или) его ценовом предложении, такая заявка подлежит отклонению.</w:t>
      </w:r>
    </w:p>
    <w:p>
      <w:pPr>
        <w:pStyle w:val="Style21"/>
        <w:rPr>
          <w:sz w:val="22"/>
        </w:rPr>
      </w:pPr>
      <w:bookmarkStart w:id="114" w:name="_Ref130394854"/>
      <w:bookmarkStart w:id="115" w:name="_Ref125365866"/>
      <w:r>
        <w:rPr>
          <w:sz w:val="22"/>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14"/>
      <w:bookmarkEnd w:id="115"/>
    </w:p>
    <w:p>
      <w:pPr>
        <w:pStyle w:val="Style21"/>
        <w:rPr/>
      </w:pPr>
      <w:r>
        <w:rPr>
          <w:sz w:val="22"/>
        </w:rPr>
        <w:t>Заявка должна быть действительна в течение срока проведения закупки и до истечения срока, отведенного на заключение Договора (пункт </w:t>
      </w:r>
      <w:r>
        <w:rPr>
          <w:sz w:val="22"/>
        </w:rPr>
        <w:fldChar w:fldCharType="begin"/>
      </w:r>
      <w:r>
        <w:rPr>
          <w:sz w:val="22"/>
        </w:rPr>
        <w:instrText xml:space="preserve"> REF _Ref130293821 \r \h </w:instrText>
      </w:r>
      <w:r>
        <w:rPr>
          <w:sz w:val="22"/>
        </w:rPr>
        <w:fldChar w:fldCharType="separate"/>
      </w:r>
      <w:r>
        <w:rPr>
          <w:sz w:val="22"/>
        </w:rPr>
        <w:t>5.2.1</w:t>
      </w:r>
      <w:r>
        <w:rPr>
          <w:sz w:val="22"/>
        </w:rPr>
        <w:fldChar w:fldCharType="end"/>
      </w:r>
      <w:r>
        <w:rPr>
          <w:sz w:val="22"/>
        </w:rPr>
        <w:t>). В любом случае этот срок должен быть не менее чем 90 (девяносто) календарных дней с даты окончания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Указание меньшего срока действия заявки в Письме о подаче оферты (форма 2) (</w:t>
      </w:r>
      <w:hyperlink w:anchor="Прил04_ФормыЗаявки">
        <w:r>
          <w:rPr>
            <w:rStyle w:val="Style7"/>
            <w:sz w:val="22"/>
          </w:rPr>
          <w:t>Приложение № 4</w:t>
        </w:r>
      </w:hyperlink>
      <w:r>
        <w:rPr>
          <w:sz w:val="22"/>
        </w:rPr>
        <w:t>) может служить основанием для отклонения заявки.</w:t>
      </w:r>
    </w:p>
    <w:p>
      <w:pPr>
        <w:pStyle w:val="Style21"/>
        <w:rPr>
          <w:sz w:val="22"/>
        </w:rPr>
      </w:pPr>
      <w:r>
        <w:rPr>
          <w:sz w:val="22"/>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1"/>
        <w:rPr>
          <w:sz w:val="22"/>
        </w:rPr>
      </w:pPr>
      <w:r>
        <w:rPr>
          <w:sz w:val="22"/>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1"/>
        <w:rPr>
          <w:sz w:val="22"/>
        </w:rPr>
      </w:pPr>
      <w:bookmarkStart w:id="116" w:name="_Ref125370708"/>
      <w:bookmarkStart w:id="117" w:name="_Ref125370700"/>
      <w:r>
        <w:rPr>
          <w:sz w:val="22"/>
        </w:rPr>
        <w:t>Итоговая стоимость заявки (цена Договора) без учета НДС не должна превышать установленную Заказчиком НМЦ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в противном случае заявка будет отклонена.</w:t>
      </w:r>
    </w:p>
    <w:p>
      <w:pPr>
        <w:pStyle w:val="Style21"/>
        <w:rPr/>
      </w:pPr>
      <w:r>
        <w:rPr>
          <w:sz w:val="22"/>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7"/>
            <w:sz w:val="22"/>
          </w:rPr>
          <w:t>Техническими требованиями (Приложение № 1)</w:t>
        </w:r>
      </w:hyperlink>
      <w:r>
        <w:rPr>
          <w:sz w:val="22"/>
        </w:rPr>
        <w:t xml:space="preserve"> и </w:t>
      </w:r>
      <w:hyperlink w:anchor="Прил02_ПроектДоговора">
        <w:r>
          <w:rPr>
            <w:rStyle w:val="Style7"/>
            <w:sz w:val="22"/>
          </w:rPr>
          <w:t>Проектом договора (Приложение № 2)</w:t>
        </w:r>
      </w:hyperlink>
      <w:r>
        <w:rPr>
          <w:sz w:val="22"/>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16"/>
      <w:bookmarkEnd w:id="117"/>
    </w:p>
    <w:p>
      <w:pPr>
        <w:pStyle w:val="Style21"/>
        <w:rPr/>
      </w:pPr>
      <w:r>
        <w:rPr>
          <w:sz w:val="22"/>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7"/>
            <w:sz w:val="22"/>
          </w:rPr>
          <w:t>Приложение № 4</w:t>
        </w:r>
      </w:hyperlink>
      <w:r>
        <w:rPr>
          <w:sz w:val="22"/>
        </w:rPr>
        <w:t xml:space="preserve">) согласие (декларацию) на поставку продукции на условиях, указанных в Документации о закупке, в том числе в </w:t>
      </w:r>
      <w:hyperlink w:anchor="Прил01_ТехТребования">
        <w:r>
          <w:rPr>
            <w:rStyle w:val="Style7"/>
            <w:sz w:val="22"/>
          </w:rPr>
          <w:t>Технических требованиях (Приложение № 1)</w:t>
        </w:r>
      </w:hyperlink>
      <w:r>
        <w:rPr>
          <w:sz w:val="22"/>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21"/>
        <w:keepNext w:val="true"/>
        <w:rPr>
          <w:sz w:val="22"/>
        </w:rPr>
      </w:pPr>
      <w:r>
        <w:rPr>
          <w:sz w:val="22"/>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2"/>
        <w:rPr>
          <w:sz w:val="22"/>
        </w:rPr>
      </w:pPr>
      <w:r>
        <w:rPr>
          <w:sz w:val="22"/>
        </w:rPr>
        <w:t>внутренние противоречия между различными частями и (или) документами заявки, в том числе по тексту внутри одного документа;</w:t>
      </w:r>
    </w:p>
    <w:p>
      <w:pPr>
        <w:pStyle w:val="Style22"/>
        <w:rPr>
          <w:sz w:val="22"/>
        </w:rPr>
      </w:pPr>
      <w:bookmarkStart w:id="118" w:name="_Ref125714384"/>
      <w:bookmarkStart w:id="119" w:name="_Ref125370398"/>
      <w:r>
        <w:rPr>
          <w:sz w:val="22"/>
        </w:rPr>
        <w:t>противоречия между документами заявки и сведениями, указанными Участником в структурированных формах на ЭП.</w:t>
      </w:r>
      <w:bookmarkEnd w:id="118"/>
      <w:bookmarkEnd w:id="119"/>
    </w:p>
    <w:p>
      <w:pPr>
        <w:pStyle w:val="Style21"/>
        <w:rPr>
          <w:sz w:val="22"/>
        </w:rPr>
      </w:pPr>
      <w:r>
        <w:rPr>
          <w:sz w:val="22"/>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2"/>
        <w:rPr>
          <w:sz w:val="22"/>
        </w:rPr>
      </w:pPr>
      <w:r>
        <w:rPr>
          <w:sz w:val="22"/>
        </w:rPr>
        <w:t>полномочий таких органов / лиц на оформление этих документов;</w:t>
      </w:r>
    </w:p>
    <w:p>
      <w:pPr>
        <w:pStyle w:val="Style22"/>
        <w:rPr>
          <w:sz w:val="22"/>
        </w:rPr>
      </w:pPr>
      <w:r>
        <w:rPr>
          <w:sz w:val="22"/>
        </w:rPr>
        <w:t>формы, объема и содержания этих документов.</w:t>
      </w:r>
    </w:p>
    <w:p>
      <w:pPr>
        <w:pStyle w:val="Style21"/>
        <w:keepNext w:val="true"/>
        <w:rPr>
          <w:sz w:val="22"/>
        </w:rPr>
      </w:pPr>
      <w:r>
        <w:rPr>
          <w:sz w:val="22"/>
        </w:rPr>
        <w:t>Участник должен подготовить заявку с соблюдением следующих условий:</w:t>
      </w:r>
    </w:p>
    <w:p>
      <w:pPr>
        <w:pStyle w:val="Style22"/>
        <w:rPr>
          <w:sz w:val="22"/>
        </w:rPr>
      </w:pPr>
      <w:r>
        <w:rPr>
          <w:sz w:val="22"/>
        </w:rPr>
        <w:t>документы заявки могут предоставляться как в графическом виде (в том числе в виде скан-копии, рекомендуемый формат: *.</w:t>
      </w:r>
      <w:r>
        <w:rPr>
          <w:sz w:val="22"/>
          <w:lang w:val="en-US"/>
        </w:rPr>
        <w:t>pdf</w:t>
      </w:r>
      <w:r>
        <w:rPr>
          <w:sz w:val="22"/>
        </w:rPr>
        <w:t>); так и в электронном виде (в формате Microsoft Word (*.doc</w:t>
      </w:r>
      <w:r>
        <w:rPr>
          <w:sz w:val="22"/>
          <w:lang w:val="en-US"/>
        </w:rPr>
        <w:t>x</w:t>
      </w:r>
      <w:r>
        <w:rPr>
          <w:sz w:val="22"/>
        </w:rPr>
        <w:t>), Microsoft Excel (*.xls</w:t>
      </w:r>
      <w:r>
        <w:rPr>
          <w:sz w:val="22"/>
          <w:lang w:val="en-US"/>
        </w:rPr>
        <w:t>x</w:t>
      </w:r>
      <w:r>
        <w:rPr>
          <w:sz w:val="22"/>
        </w:rPr>
        <w:t>), и других). Исключение составляют документы, выданные Участнику третьими лицами, которые должны быть предоставлены только в графическом виде (в том числе в виде скан-копии, рекомендуемый формат: *.</w:t>
      </w:r>
      <w:r>
        <w:rPr>
          <w:sz w:val="22"/>
          <w:lang w:val="en-US"/>
        </w:rPr>
        <w:t>pdf</w:t>
      </w:r>
      <w:r>
        <w:rPr>
          <w:sz w:val="22"/>
        </w:rPr>
        <w:t>);</w:t>
      </w:r>
    </w:p>
    <w:p>
      <w:pPr>
        <w:pStyle w:val="Style22"/>
        <w:rPr>
          <w:sz w:val="22"/>
        </w:rPr>
      </w:pPr>
      <w:r>
        <w:rPr>
          <w:sz w:val="22"/>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2"/>
        <w:rPr>
          <w:sz w:val="22"/>
        </w:rPr>
      </w:pPr>
      <w:r>
        <w:rPr>
          <w:sz w:val="22"/>
        </w:rPr>
        <w:t>все файлы не должны иметь защиты от их открытия, изменения, копирования их содержимого или их печати;</w:t>
      </w:r>
    </w:p>
    <w:p>
      <w:pPr>
        <w:pStyle w:val="Style22"/>
        <w:rPr>
          <w:sz w:val="22"/>
        </w:rPr>
      </w:pPr>
      <w:r>
        <w:rPr>
          <w:sz w:val="22"/>
        </w:rPr>
        <w:t>файлы электронной заявки рекомендуется именовать так, чтобы можно было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2"/>
        <w:rPr>
          <w:sz w:val="22"/>
        </w:rPr>
      </w:pPr>
      <w:r>
        <w:rPr>
          <w:sz w:val="22"/>
        </w:rPr>
        <w:t>если какой-либо документ представлен в нечитаемом виде, данный документ считается непредставленным.</w:t>
      </w:r>
    </w:p>
    <w:p>
      <w:pPr>
        <w:pStyle w:val="Style21"/>
        <w:rPr>
          <w:sz w:val="22"/>
        </w:rPr>
      </w:pPr>
      <w:r>
        <w:rPr>
          <w:sz w:val="22"/>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0"/>
        <w:rPr>
          <w:sz w:val="22"/>
        </w:rPr>
      </w:pPr>
      <w:bookmarkStart w:id="120" w:name="__RefHeading___Toc192533_1558056896"/>
      <w:bookmarkStart w:id="121" w:name="_Ref125366672"/>
      <w:bookmarkStart w:id="122" w:name="_Ref125362071"/>
      <w:bookmarkStart w:id="123" w:name="_Ref125361260"/>
      <w:bookmarkStart w:id="124" w:name="_Toc186224130"/>
      <w:bookmarkStart w:id="125" w:name="_Ref130394802"/>
      <w:bookmarkStart w:id="126" w:name="_Ref130394785"/>
      <w:bookmarkStart w:id="127" w:name="_Ref130394205"/>
      <w:bookmarkEnd w:id="120"/>
      <w:r>
        <w:rPr>
          <w:sz w:val="22"/>
        </w:rPr>
        <w:t>Разъяснение Документации о закупке</w:t>
      </w:r>
      <w:bookmarkEnd w:id="121"/>
      <w:bookmarkEnd w:id="122"/>
      <w:bookmarkEnd w:id="123"/>
      <w:bookmarkEnd w:id="124"/>
      <w:bookmarkEnd w:id="125"/>
      <w:bookmarkEnd w:id="126"/>
      <w:bookmarkEnd w:id="127"/>
    </w:p>
    <w:p>
      <w:pPr>
        <w:pStyle w:val="Style21"/>
        <w:rPr>
          <w:sz w:val="22"/>
        </w:rPr>
      </w:pPr>
      <w:r>
        <w:rPr>
          <w:sz w:val="22"/>
        </w:rPr>
        <w:t>Участники вправе обратиться к Организатору за разъяснениями Документации о закупке.</w:t>
      </w:r>
    </w:p>
    <w:p>
      <w:pPr>
        <w:pStyle w:val="Style21"/>
        <w:rPr>
          <w:sz w:val="22"/>
        </w:rPr>
      </w:pPr>
      <w:r>
        <w:rPr>
          <w:sz w:val="22"/>
        </w:rPr>
        <w:t>Запросы подаются в соответствии с Регламентами и инструкциями Оператора ЭП, опубликованными на сайте соответствующей ЭП.</w:t>
      </w:r>
    </w:p>
    <w:p>
      <w:pPr>
        <w:pStyle w:val="Style21"/>
        <w:rPr>
          <w:sz w:val="22"/>
        </w:rPr>
      </w:pPr>
      <w:r>
        <w:rPr>
          <w:sz w:val="22"/>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1"/>
        <w:rPr>
          <w:sz w:val="22"/>
        </w:rPr>
      </w:pPr>
      <w:r>
        <w:rPr>
          <w:sz w:val="22"/>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1"/>
        <w:rPr>
          <w:sz w:val="22"/>
        </w:rPr>
      </w:pPr>
      <w:r>
        <w:rPr>
          <w:sz w:val="22"/>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1"/>
        <w:rPr/>
      </w:pPr>
      <w:r>
        <w:rPr>
          <w:sz w:val="22"/>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7"/>
            <w:sz w:val="22"/>
          </w:rPr>
          <w:t>Проекта договора (Приложения № 2)</w:t>
        </w:r>
      </w:hyperlink>
      <w:r>
        <w:rPr>
          <w:rStyle w:val="Style7"/>
          <w:sz w:val="22"/>
        </w:rPr>
        <w:t>,</w:t>
      </w:r>
      <w:r>
        <w:rPr>
          <w:sz w:val="22"/>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1"/>
        <w:rPr>
          <w:sz w:val="22"/>
        </w:rPr>
      </w:pPr>
      <w:r>
        <w:rPr>
          <w:sz w:val="22"/>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0"/>
        <w:rPr>
          <w:sz w:val="22"/>
        </w:rPr>
      </w:pPr>
      <w:bookmarkStart w:id="128" w:name="__RefHeading___Toc192535_1558056896"/>
      <w:bookmarkStart w:id="129" w:name="_Toc186224131"/>
      <w:bookmarkStart w:id="130" w:name="_Ref125364404"/>
      <w:bookmarkStart w:id="131" w:name="_Ref125362076"/>
      <w:bookmarkStart w:id="132" w:name="_Ref125363891"/>
      <w:bookmarkEnd w:id="128"/>
      <w:r>
        <w:rPr>
          <w:sz w:val="22"/>
        </w:rPr>
        <w:t>Изменения Извещения и (или) Документации о закупке</w:t>
      </w:r>
      <w:bookmarkEnd w:id="129"/>
      <w:bookmarkEnd w:id="130"/>
      <w:bookmarkEnd w:id="131"/>
      <w:bookmarkEnd w:id="132"/>
    </w:p>
    <w:p>
      <w:pPr>
        <w:pStyle w:val="Style21"/>
        <w:rPr>
          <w:sz w:val="22"/>
        </w:rPr>
      </w:pPr>
      <w:r>
        <w:rPr>
          <w:sz w:val="22"/>
        </w:rPr>
        <w:t>Организатор в любой момент до окончания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1"/>
        <w:keepNext w:val="true"/>
        <w:rPr>
          <w:sz w:val="22"/>
        </w:rPr>
      </w:pPr>
      <w:r>
        <w:rPr>
          <w:sz w:val="22"/>
        </w:rPr>
        <w:t>После окончания срока подачи заявок допускается изменение только в части установленных Документацией о закупке дат:</w:t>
      </w:r>
    </w:p>
    <w:p>
      <w:pPr>
        <w:pStyle w:val="Style22"/>
        <w:rPr>
          <w:sz w:val="22"/>
        </w:rPr>
      </w:pPr>
      <w:r>
        <w:rPr>
          <w:sz w:val="22"/>
        </w:rPr>
        <w:t>рассмотрения первых частей заявок / окончательных предложений;</w:t>
      </w:r>
    </w:p>
    <w:p>
      <w:pPr>
        <w:pStyle w:val="Style22"/>
        <w:rPr>
          <w:sz w:val="22"/>
        </w:rPr>
      </w:pPr>
      <w:r>
        <w:rPr>
          <w:sz w:val="22"/>
        </w:rPr>
        <w:t>рассмотрения вторых частей заявок и ценовых предложений;</w:t>
      </w:r>
    </w:p>
    <w:p>
      <w:pPr>
        <w:pStyle w:val="Style22"/>
        <w:rPr>
          <w:sz w:val="22"/>
        </w:rPr>
      </w:pPr>
      <w:r>
        <w:rPr>
          <w:sz w:val="22"/>
        </w:rPr>
        <w:t>проведения переторжки, если предусмотрен данный этап;</w:t>
      </w:r>
    </w:p>
    <w:p>
      <w:pPr>
        <w:pStyle w:val="Style22"/>
        <w:rPr>
          <w:sz w:val="22"/>
        </w:rPr>
      </w:pPr>
      <w:r>
        <w:rPr>
          <w:sz w:val="22"/>
        </w:rPr>
        <w:t>подведения итогов закупки;</w:t>
      </w:r>
    </w:p>
    <w:p>
      <w:pPr>
        <w:pStyle w:val="Style25"/>
        <w:ind w:left="1134" w:hanging="0"/>
        <w:rPr>
          <w:sz w:val="22"/>
        </w:rPr>
      </w:pPr>
      <w:bookmarkStart w:id="133" w:name="_Ref125550844"/>
      <w:r>
        <w:rPr>
          <w:sz w:val="22"/>
        </w:rPr>
        <w:t>в пределах срока действия заявок и с уведомлением Участников, подавших заявки.</w:t>
      </w:r>
      <w:bookmarkEnd w:id="133"/>
    </w:p>
    <w:p>
      <w:pPr>
        <w:pStyle w:val="Style21"/>
        <w:rPr>
          <w:sz w:val="22"/>
        </w:rPr>
      </w:pPr>
      <w:r>
        <w:rPr>
          <w:sz w:val="22"/>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1"/>
        <w:rPr>
          <w:sz w:val="22"/>
        </w:rPr>
      </w:pPr>
      <w:r>
        <w:rPr>
          <w:sz w:val="22"/>
        </w:rPr>
        <w:t>При внесении изменений в Документацию о закупке (за исключением указанного в пункте </w:t>
      </w:r>
      <w:r>
        <w:rPr>
          <w:sz w:val="22"/>
        </w:rPr>
        <w:fldChar w:fldCharType="begin"/>
      </w:r>
      <w:r>
        <w:rPr>
          <w:sz w:val="22"/>
        </w:rPr>
        <w:instrText xml:space="preserve"> REF _Ref125550844 \r \h </w:instrText>
      </w:r>
      <w:r>
        <w:rPr>
          <w:sz w:val="22"/>
        </w:rPr>
        <w:fldChar w:fldCharType="separate"/>
      </w:r>
      <w:r>
        <w:rPr>
          <w:sz w:val="22"/>
        </w:rPr>
      </w:r>
      <w:r>
        <w:rPr>
          <w:sz w:val="22"/>
        </w:rPr>
        <w:fldChar w:fldCharType="end"/>
      </w:r>
      <w:r>
        <w:rPr>
          <w:sz w:val="22"/>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w:t>
      </w:r>
    </w:p>
    <w:p>
      <w:pPr>
        <w:pStyle w:val="Style22"/>
        <w:rPr>
          <w:sz w:val="22"/>
        </w:rPr>
      </w:pPr>
      <w:r>
        <w:rPr>
          <w:sz w:val="22"/>
        </w:rPr>
        <w:t>4 (четырех) календарных дней, если НМЦ закупки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не превышает 30 000 000 (тридцать миллионов) рублей без НДС;</w:t>
      </w:r>
    </w:p>
    <w:p>
      <w:pPr>
        <w:pStyle w:val="Style22"/>
        <w:rPr>
          <w:sz w:val="22"/>
        </w:rPr>
      </w:pPr>
      <w:r>
        <w:rPr>
          <w:sz w:val="22"/>
        </w:rPr>
        <w:t>8 (восьми) календарных дней, если НМЦ закупки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превышает 30 000 000 (тридцать миллионов) рублей без НДС.</w:t>
      </w:r>
    </w:p>
    <w:p>
      <w:pPr>
        <w:pStyle w:val="Style21"/>
        <w:rPr>
          <w:sz w:val="22"/>
        </w:rPr>
      </w:pPr>
      <w:r>
        <w:rPr>
          <w:sz w:val="22"/>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0"/>
        <w:rPr>
          <w:sz w:val="22"/>
        </w:rPr>
      </w:pPr>
      <w:bookmarkStart w:id="134" w:name="__RefHeading___Toc192537_1558056896"/>
      <w:bookmarkStart w:id="135" w:name="_Toc186224132"/>
      <w:bookmarkStart w:id="136" w:name="_Ref125362119"/>
      <w:bookmarkEnd w:id="134"/>
      <w:r>
        <w:rPr>
          <w:sz w:val="22"/>
        </w:rPr>
        <w:t>Подача заявок и их прием</w:t>
      </w:r>
      <w:bookmarkEnd w:id="135"/>
      <w:bookmarkEnd w:id="136"/>
    </w:p>
    <w:p>
      <w:pPr>
        <w:pStyle w:val="Style21"/>
        <w:rPr>
          <w:sz w:val="22"/>
        </w:rPr>
      </w:pPr>
      <w:r>
        <w:rPr>
          <w:sz w:val="22"/>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При этом все части заявок, включая ценовое предложение Участника, подаются им одновременно. Заявки, поданные позднее установленного срока, не могут быть приняты Организатором, независимо от причин опоздания.</w:t>
      </w:r>
    </w:p>
    <w:p>
      <w:pPr>
        <w:pStyle w:val="Style21"/>
        <w:rPr>
          <w:sz w:val="22"/>
        </w:rPr>
      </w:pPr>
      <w:r>
        <w:rPr>
          <w:sz w:val="22"/>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1"/>
        <w:rPr>
          <w:sz w:val="22"/>
        </w:rPr>
      </w:pPr>
      <w:r>
        <w:rPr>
          <w:sz w:val="22"/>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1"/>
        <w:rPr>
          <w:sz w:val="22"/>
        </w:rPr>
      </w:pPr>
      <w:r>
        <w:rPr>
          <w:sz w:val="22"/>
        </w:rPr>
        <w:t>Заявка должна быть подписана электронной подписью лица, которое является уполномоченным представителем Участника.</w:t>
      </w:r>
    </w:p>
    <w:p>
      <w:pPr>
        <w:pStyle w:val="Style21"/>
        <w:rPr>
          <w:sz w:val="22"/>
        </w:rPr>
      </w:pPr>
      <w:r>
        <w:rPr>
          <w:sz w:val="22"/>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1"/>
        <w:rPr>
          <w:sz w:val="22"/>
        </w:rPr>
      </w:pPr>
      <w:r>
        <w:rPr>
          <w:sz w:val="22"/>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1"/>
        <w:rPr>
          <w:sz w:val="22"/>
        </w:rPr>
      </w:pPr>
      <w:r>
        <w:rPr>
          <w:sz w:val="22"/>
        </w:rPr>
        <w:t>Оператор ЭП до окончания срока подачи заявок обеспечивает конфиденциальность информации, содержащейся в поданных заявках.</w:t>
      </w:r>
    </w:p>
    <w:p>
      <w:pPr>
        <w:pStyle w:val="Style20"/>
        <w:rPr>
          <w:sz w:val="22"/>
        </w:rPr>
      </w:pPr>
      <w:bookmarkStart w:id="137" w:name="__RefHeading___Toc192539_1558056896"/>
      <w:bookmarkStart w:id="138" w:name="_Ref125365136"/>
      <w:bookmarkStart w:id="139" w:name="_Ref125362130"/>
      <w:bookmarkStart w:id="140" w:name="_Toc186224133"/>
      <w:bookmarkStart w:id="141" w:name="_Ref125363819"/>
      <w:bookmarkStart w:id="142" w:name="_Ref125362192"/>
      <w:bookmarkEnd w:id="137"/>
      <w:r>
        <w:rPr>
          <w:sz w:val="22"/>
        </w:rPr>
        <w:t>Изменение и отзыв заявок</w:t>
      </w:r>
      <w:bookmarkEnd w:id="138"/>
      <w:bookmarkEnd w:id="139"/>
      <w:bookmarkEnd w:id="140"/>
      <w:bookmarkEnd w:id="141"/>
      <w:bookmarkEnd w:id="142"/>
    </w:p>
    <w:p>
      <w:pPr>
        <w:pStyle w:val="Style21"/>
        <w:rPr>
          <w:sz w:val="22"/>
        </w:rPr>
      </w:pPr>
      <w:r>
        <w:rPr>
          <w:sz w:val="22"/>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1"/>
        <w:rPr>
          <w:sz w:val="22"/>
        </w:rPr>
      </w:pPr>
      <w:r>
        <w:rPr>
          <w:sz w:val="22"/>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1"/>
        <w:rPr>
          <w:sz w:val="22"/>
        </w:rPr>
      </w:pPr>
      <w:r>
        <w:rPr>
          <w:sz w:val="22"/>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sz w:val="22"/>
        </w:rPr>
        <w:fldChar w:fldCharType="begin"/>
      </w:r>
      <w:r>
        <w:rPr>
          <w:sz w:val="22"/>
        </w:rPr>
        <w:instrText xml:space="preserve"> REF _Ref125362119 \w \h </w:instrText>
      </w:r>
      <w:r>
        <w:rPr>
          <w:sz w:val="22"/>
        </w:rPr>
        <w:fldChar w:fldCharType="separate"/>
      </w:r>
      <w:r>
        <w:rPr>
          <w:sz w:val="22"/>
        </w:rPr>
        <w:t>4.6</w:t>
      </w:r>
      <w:r>
        <w:rPr>
          <w:sz w:val="22"/>
        </w:rPr>
        <w:fldChar w:fldCharType="end"/>
      </w:r>
      <w:r>
        <w:rPr>
          <w:sz w:val="22"/>
        </w:rPr>
        <w:t>.</w:t>
      </w:r>
    </w:p>
    <w:p>
      <w:pPr>
        <w:pStyle w:val="Style21"/>
        <w:rPr>
          <w:sz w:val="22"/>
        </w:rPr>
      </w:pPr>
      <w:r>
        <w:rPr>
          <w:sz w:val="22"/>
        </w:rPr>
        <w:t>Изменения и отзыв заявки осуществляется посредством функционала ЭП (подробный порядок определяется Регламентом ЭП).</w:t>
      </w:r>
    </w:p>
    <w:p>
      <w:pPr>
        <w:pStyle w:val="Style20"/>
        <w:rPr>
          <w:sz w:val="22"/>
        </w:rPr>
      </w:pPr>
      <w:bookmarkStart w:id="143" w:name="__RefHeading___Toc192541_1558056896"/>
      <w:bookmarkStart w:id="144" w:name="_Toc186224134"/>
      <w:bookmarkStart w:id="145" w:name="_Ref132816188"/>
      <w:bookmarkEnd w:id="143"/>
      <w:r>
        <w:rPr>
          <w:sz w:val="22"/>
        </w:rPr>
        <w:t>Открытие доступа к первым частям заявок</w:t>
      </w:r>
      <w:bookmarkEnd w:id="144"/>
      <w:bookmarkEnd w:id="145"/>
    </w:p>
    <w:p>
      <w:pPr>
        <w:pStyle w:val="Style21"/>
        <w:rPr>
          <w:sz w:val="22"/>
        </w:rPr>
      </w:pPr>
      <w:r>
        <w:rPr>
          <w:sz w:val="22"/>
        </w:rPr>
        <w:t>Оператор ЭП направляет в адрес Организатора первые части заявок в срок не позднее 1 (одного) дня, следующего за днем окончания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w:t>
      </w:r>
    </w:p>
    <w:p>
      <w:pPr>
        <w:pStyle w:val="Style21"/>
        <w:rPr>
          <w:sz w:val="22"/>
        </w:rPr>
      </w:pPr>
      <w:r>
        <w:rPr>
          <w:sz w:val="22"/>
        </w:rPr>
        <w:t>Подробные правила открытия Организатору доступа к первым частям заявок определяются Регламентом ЭП, с использованием которой проводится закупка. При этом Оператор ЭП обеспечивает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 содержащихся в первых частях заявок, от Участников такой закупки.</w:t>
      </w:r>
    </w:p>
    <w:p>
      <w:pPr>
        <w:pStyle w:val="Style20"/>
        <w:rPr>
          <w:sz w:val="22"/>
        </w:rPr>
      </w:pPr>
      <w:bookmarkStart w:id="146" w:name="__RefHeading___Toc192543_1558056896"/>
      <w:bookmarkStart w:id="147" w:name="_Ref125366689"/>
      <w:bookmarkStart w:id="148" w:name="_Ref125362364"/>
      <w:bookmarkStart w:id="149" w:name="_Toc186224138"/>
      <w:bookmarkEnd w:id="146"/>
      <w:r>
        <w:rPr>
          <w:sz w:val="22"/>
        </w:rPr>
        <w:t>Рассмотрение первых частей заявок / окончательных предложений (отборочная стадия)</w:t>
      </w:r>
      <w:bookmarkEnd w:id="147"/>
      <w:bookmarkEnd w:id="148"/>
      <w:bookmarkEnd w:id="149"/>
    </w:p>
    <w:p>
      <w:pPr>
        <w:pStyle w:val="Style21"/>
        <w:rPr>
          <w:sz w:val="22"/>
        </w:rPr>
      </w:pPr>
      <w:r>
        <w:rPr>
          <w:sz w:val="22"/>
        </w:rPr>
        <w:t>Дата окончания срока рассмотрения первых частей заявок / окончательных предложений установлена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Организатор по согласованию с Заказчиком вправе, при необходимости, изменить ее, официально разместив информацию об этом.</w:t>
      </w:r>
    </w:p>
    <w:p>
      <w:pPr>
        <w:pStyle w:val="Style21"/>
        <w:rPr/>
      </w:pPr>
      <w:r>
        <w:rPr>
          <w:sz w:val="22"/>
        </w:rPr>
        <w:t xml:space="preserve">В рамках рассмотрения первых частей заявок / окончательных предложений (отборочной стадии) осуществляется проверка каждой заявки на предмет соответствия </w:t>
      </w:r>
      <w:hyperlink w:anchor="Прил07_ОтборочныеКритерии">
        <w:r>
          <w:rPr>
            <w:rStyle w:val="Style7"/>
            <w:sz w:val="22"/>
          </w:rPr>
          <w:t>Отборочным критериям рассмотрения заявок (Приложение № 7)</w:t>
        </w:r>
      </w:hyperlink>
      <w:r>
        <w:rPr>
          <w:sz w:val="22"/>
        </w:rPr>
        <w:t>.</w:t>
      </w:r>
    </w:p>
    <w:p>
      <w:pPr>
        <w:pStyle w:val="Style21"/>
        <w:rPr>
          <w:sz w:val="22"/>
        </w:rPr>
      </w:pPr>
      <w:r>
        <w:rPr>
          <w:sz w:val="22"/>
        </w:rPr>
        <w:t>Рассмотрение первых частей заявок / окончательных предложений проводится на основании представленных в составе заявки документов и сведений.</w:t>
      </w:r>
    </w:p>
    <w:p>
      <w:pPr>
        <w:pStyle w:val="Style21"/>
        <w:keepNext w:val="true"/>
        <w:rPr>
          <w:sz w:val="22"/>
        </w:rPr>
      </w:pPr>
      <w:bookmarkStart w:id="150" w:name="_Ref125551456"/>
      <w:r>
        <w:rPr>
          <w:sz w:val="22"/>
        </w:rPr>
        <w:t>По результатам рассмотрения первых частей заявок / окончательных предложений (проведения отборочной стадии) Закупочная комиссия отклоняет заявки по следующим основаниям:</w:t>
      </w:r>
      <w:bookmarkEnd w:id="150"/>
    </w:p>
    <w:p>
      <w:pPr>
        <w:pStyle w:val="Style22"/>
        <w:rPr>
          <w:sz w:val="22"/>
        </w:rPr>
      </w:pPr>
      <w:r>
        <w:rPr>
          <w:sz w:val="22"/>
        </w:rPr>
        <w:t>несоответствие первой части заявки / окончательного предложения по составу</w:t>
      </w:r>
      <w:r>
        <w:rPr>
          <w:rStyle w:val="FootnoteReference"/>
          <w:sz w:val="22"/>
        </w:rPr>
        <w:footnoteReference w:id="3"/>
      </w:r>
      <w:r>
        <w:rPr>
          <w:sz w:val="22"/>
        </w:rPr>
        <w:t>, содержанию и соблюдению требований Документации о закупке к подготовке (оформлению) заявки, в том числе наличие:</w:t>
      </w:r>
    </w:p>
    <w:p>
      <w:pPr>
        <w:pStyle w:val="Style23"/>
        <w:rPr>
          <w:sz w:val="22"/>
        </w:rPr>
      </w:pPr>
      <w:r>
        <w:rPr>
          <w:sz w:val="22"/>
        </w:rPr>
        <w:t>недостоверных сведений или намеренно искаженной информации или документов;</w:t>
      </w:r>
    </w:p>
    <w:p>
      <w:pPr>
        <w:pStyle w:val="Style23"/>
        <w:rPr>
          <w:sz w:val="22"/>
        </w:rPr>
      </w:pPr>
      <w:r>
        <w:rPr>
          <w:sz w:val="22"/>
        </w:rPr>
        <w:t>внутренних противоречий между различными частями и (или) документами первой части заявки / окончательного предложения, в том числе по тексту внутри одного документа;</w:t>
      </w:r>
    </w:p>
    <w:p>
      <w:pPr>
        <w:pStyle w:val="Style22"/>
        <w:rPr>
          <w:sz w:val="22"/>
        </w:rPr>
      </w:pPr>
      <w:r>
        <w:rPr>
          <w:sz w:val="22"/>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2"/>
        <w:rPr>
          <w:sz w:val="22"/>
        </w:rPr>
      </w:pPr>
      <w:r>
        <w:rPr>
          <w:sz w:val="22"/>
        </w:rPr>
        <w:t>несоответствие предлагаемых договорных условий требованиям Документации о закупке;</w:t>
      </w:r>
    </w:p>
    <w:p>
      <w:pPr>
        <w:pStyle w:val="Style22"/>
        <w:rPr>
          <w:sz w:val="22"/>
        </w:rPr>
      </w:pPr>
      <w:r>
        <w:rPr>
          <w:sz w:val="22"/>
        </w:rPr>
        <w:t>наличие в документах первой части заявки / окончательном предложении сведений об Участники и (или) о его ценовом предложении.</w:t>
      </w:r>
    </w:p>
    <w:p>
      <w:pPr>
        <w:pStyle w:val="Style21"/>
        <w:keepNext w:val="true"/>
        <w:rPr>
          <w:sz w:val="22"/>
        </w:rPr>
      </w:pPr>
      <w:r>
        <w:rPr>
          <w:sz w:val="22"/>
        </w:rPr>
        <w:t>Решение Закупочной комиссии по рассмотрению первых частей заявок / окончательных предложений оформляется протоколом, в котором, как минимум, указываются</w:t>
      </w:r>
      <w:r>
        <w:rPr>
          <w:rStyle w:val="FootnoteReference"/>
          <w:sz w:val="22"/>
        </w:rPr>
        <w:footnoteReference w:id="4"/>
      </w:r>
      <w:r>
        <w:rPr>
          <w:sz w:val="22"/>
        </w:rPr>
        <w:t>:</w:t>
      </w:r>
    </w:p>
    <w:p>
      <w:pPr>
        <w:pStyle w:val="Style22"/>
        <w:rPr>
          <w:sz w:val="22"/>
        </w:rPr>
      </w:pPr>
      <w:r>
        <w:rPr>
          <w:sz w:val="22"/>
        </w:rPr>
        <w:t>дата подписания протокола;</w:t>
      </w:r>
    </w:p>
    <w:p>
      <w:pPr>
        <w:pStyle w:val="Style22"/>
        <w:rPr>
          <w:sz w:val="22"/>
        </w:rPr>
      </w:pPr>
      <w:r>
        <w:rPr>
          <w:sz w:val="22"/>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2"/>
        <w:rPr>
          <w:sz w:val="22"/>
        </w:rPr>
      </w:pPr>
      <w:r>
        <w:rPr>
          <w:sz w:val="22"/>
        </w:rPr>
        <w:t>идентификационные номера, присваиваемые Оператором ЭП;</w:t>
      </w:r>
    </w:p>
    <w:p>
      <w:pPr>
        <w:pStyle w:val="Style22"/>
        <w:keepNext w:val="true"/>
        <w:rPr>
          <w:sz w:val="22"/>
        </w:rPr>
      </w:pPr>
      <w:r>
        <w:rPr>
          <w:sz w:val="22"/>
        </w:rPr>
        <w:t>результаты рассмотрения первых частей заявок / окончательных предложений с указанием, в том числе:</w:t>
      </w:r>
    </w:p>
    <w:p>
      <w:pPr>
        <w:pStyle w:val="Style23"/>
        <w:rPr>
          <w:sz w:val="22"/>
        </w:rPr>
      </w:pPr>
      <w:r>
        <w:rPr>
          <w:sz w:val="22"/>
        </w:rPr>
        <w:t>количества заявок, которые были отклонены по результатам рассмотрения первых частей заявок / окончательных предложений;</w:t>
      </w:r>
    </w:p>
    <w:p>
      <w:pPr>
        <w:pStyle w:val="Style23"/>
        <w:rPr>
          <w:sz w:val="22"/>
        </w:rPr>
      </w:pPr>
      <w:r>
        <w:rPr>
          <w:sz w:val="22"/>
        </w:rPr>
        <w:t>оснований отклонения каждой заявки с указанием положений Документации о закупке, которым не соответствует первая часть такой заявка / окончательное предложение;</w:t>
      </w:r>
    </w:p>
    <w:p>
      <w:pPr>
        <w:pStyle w:val="Style22"/>
        <w:rPr>
          <w:sz w:val="22"/>
        </w:rPr>
      </w:pPr>
      <w:r>
        <w:rPr>
          <w:sz w:val="22"/>
        </w:rPr>
        <w:t>причины, по которым закупка признана несостоявшейся в соответствии с подразделом </w:t>
      </w:r>
      <w:r>
        <w:rPr>
          <w:sz w:val="22"/>
        </w:rPr>
        <w:fldChar w:fldCharType="begin"/>
      </w:r>
      <w:r>
        <w:rPr>
          <w:sz w:val="22"/>
        </w:rPr>
        <w:instrText xml:space="preserve"> REF _Ref125364149 \w \h </w:instrText>
      </w:r>
      <w:r>
        <w:rPr>
          <w:sz w:val="22"/>
        </w:rPr>
        <w:fldChar w:fldCharType="separate"/>
      </w:r>
      <w:r>
        <w:rPr>
          <w:sz w:val="22"/>
        </w:rPr>
        <w:t>4.16</w:t>
      </w:r>
      <w:r>
        <w:rPr>
          <w:sz w:val="22"/>
        </w:rPr>
        <w:fldChar w:fldCharType="end"/>
      </w:r>
      <w:r>
        <w:rPr>
          <w:sz w:val="22"/>
        </w:rPr>
        <w:t xml:space="preserve"> (в случае ее признания таковой).</w:t>
      </w:r>
    </w:p>
    <w:p>
      <w:pPr>
        <w:pStyle w:val="Style21"/>
        <w:rPr>
          <w:sz w:val="22"/>
        </w:rPr>
      </w:pPr>
      <w:r>
        <w:rPr>
          <w:sz w:val="22"/>
        </w:rPr>
        <w:t>Протокол рассмотрения первых частей заявок / окончательных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sz w:val="22"/>
        </w:rPr>
        <w:fldChar w:fldCharType="begin"/>
      </w:r>
      <w:r>
        <w:rPr>
          <w:sz w:val="22"/>
        </w:rPr>
        <w:instrText xml:space="preserve"> REF _Ref130286532 \r \h </w:instrText>
      </w:r>
      <w:r>
        <w:rPr>
          <w:sz w:val="22"/>
        </w:rPr>
        <w:fldChar w:fldCharType="separate"/>
      </w:r>
      <w:r>
        <w:rPr>
          <w:sz w:val="22"/>
        </w:rPr>
        <w:t>4.2</w:t>
      </w:r>
      <w:r>
        <w:rPr>
          <w:sz w:val="22"/>
        </w:rPr>
        <w:fldChar w:fldCharType="end"/>
      </w:r>
      <w:r>
        <w:rPr>
          <w:sz w:val="22"/>
        </w:rPr>
        <w:t>) Оператором ЭП в течение 1 (одного) часа с момента его получения от Организатора.</w:t>
      </w:r>
    </w:p>
    <w:p>
      <w:pPr>
        <w:pStyle w:val="Style20"/>
        <w:rPr>
          <w:sz w:val="22"/>
        </w:rPr>
      </w:pPr>
      <w:bookmarkStart w:id="151" w:name="__RefHeading___Toc192545_1558056896"/>
      <w:bookmarkStart w:id="152" w:name="_Toc186224139"/>
      <w:bookmarkStart w:id="153" w:name="_Ref132801184"/>
      <w:bookmarkEnd w:id="151"/>
      <w:r>
        <w:rPr>
          <w:sz w:val="22"/>
        </w:rPr>
        <w:t>Открытие доступа ко вторым частям заявок и ценовым предложениям</w:t>
      </w:r>
      <w:bookmarkEnd w:id="152"/>
      <w:bookmarkEnd w:id="153"/>
    </w:p>
    <w:p>
      <w:pPr>
        <w:pStyle w:val="Style21"/>
        <w:rPr>
          <w:sz w:val="22"/>
        </w:rPr>
      </w:pPr>
      <w:r>
        <w:rPr>
          <w:sz w:val="22"/>
        </w:rPr>
        <w:t>Оператор ЭП направляет в адрес Организатора вторые части заявок и ценовые предложения в срок, установленный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w:t>
      </w:r>
    </w:p>
    <w:p>
      <w:pPr>
        <w:pStyle w:val="Style21"/>
        <w:rPr>
          <w:sz w:val="22"/>
        </w:rPr>
      </w:pPr>
      <w:r>
        <w:rPr>
          <w:sz w:val="22"/>
        </w:rPr>
        <w:t>Подробные правила открытия Организатору доступа ко вторым частям заявок и ценовым предложениям определяются Регламентом ЭП, с использованием которой проводится закупка. Оператор ЭП обеспечивает конфиденциальность сведений содержащихся во вторых частях заявок и ценовых предложениях Участников такой закупки.</w:t>
      </w:r>
    </w:p>
    <w:p>
      <w:pPr>
        <w:pStyle w:val="Style20"/>
        <w:rPr>
          <w:sz w:val="22"/>
        </w:rPr>
      </w:pPr>
      <w:bookmarkStart w:id="154" w:name="__RefHeading___Toc192547_1558056896"/>
      <w:bookmarkStart w:id="155" w:name="_Toc186224140"/>
      <w:bookmarkStart w:id="156" w:name="_Ref132797154"/>
      <w:bookmarkEnd w:id="154"/>
      <w:r>
        <w:rPr>
          <w:sz w:val="22"/>
        </w:rPr>
        <w:t>Рассмотрение вторых частей заявок (отборочная стадия), в том числе (при необходимости) проведение аккредитации, и ценовых предложений</w:t>
      </w:r>
      <w:bookmarkEnd w:id="155"/>
      <w:bookmarkEnd w:id="156"/>
    </w:p>
    <w:p>
      <w:pPr>
        <w:pStyle w:val="Style21"/>
        <w:rPr>
          <w:sz w:val="22"/>
        </w:rPr>
      </w:pPr>
      <w:r>
        <w:rPr>
          <w:sz w:val="22"/>
        </w:rPr>
        <w:t>Дата окончания срока рассмотрения вторых частей заявок и ценовых предложений установлена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Организатор по согласованию с Заказчиком вправе, при необходимости, изменить ее, официально разместив информацию об этом.</w:t>
      </w:r>
    </w:p>
    <w:p>
      <w:pPr>
        <w:pStyle w:val="Style21"/>
        <w:rPr/>
      </w:pPr>
      <w:r>
        <w:rPr>
          <w:sz w:val="22"/>
        </w:rPr>
        <w:t xml:space="preserve">В рамках рассмотрения вторых частей заявок и ценового предложения (отборочной стадии) осуществляется проверка каждой заявки, не отклоненной по результатам рассмотрения первых частей заявок / окончательных предложений, на предмет соответствия </w:t>
      </w:r>
      <w:hyperlink w:anchor="Прил07_ОтборочныеКритерии">
        <w:r>
          <w:rPr>
            <w:rStyle w:val="Style7"/>
            <w:sz w:val="22"/>
          </w:rPr>
          <w:t>Отборочным критериям рассмотрения заявок (Приложение № 7)</w:t>
        </w:r>
      </w:hyperlink>
      <w:r>
        <w:rPr>
          <w:sz w:val="22"/>
        </w:rPr>
        <w:t>, в том числе проводится процедура аккредитации Участников (при необходимости).</w:t>
      </w:r>
    </w:p>
    <w:p>
      <w:pPr>
        <w:pStyle w:val="Style21"/>
        <w:rPr>
          <w:sz w:val="22"/>
        </w:rPr>
      </w:pPr>
      <w:r>
        <w:rPr>
          <w:sz w:val="22"/>
        </w:rPr>
        <w:t>Рассмотрение вторых частей заявок и ценового предложения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1"/>
        <w:keepNext w:val="true"/>
        <w:rPr>
          <w:sz w:val="22"/>
        </w:rPr>
      </w:pPr>
      <w:r>
        <w:rPr>
          <w:sz w:val="22"/>
        </w:rPr>
        <w:t>При выявлении в рамках рассмотрения ценовых предложений наличия арифметических ошибок, в том числе:</w:t>
      </w:r>
    </w:p>
    <w:p>
      <w:pPr>
        <w:pStyle w:val="Style22"/>
        <w:rPr>
          <w:sz w:val="22"/>
        </w:rPr>
      </w:pPr>
      <w:r>
        <w:rPr>
          <w:sz w:val="22"/>
        </w:rPr>
        <w:t>в результате суммирования единичных расценок;</w:t>
      </w:r>
    </w:p>
    <w:p>
      <w:pPr>
        <w:pStyle w:val="Style22"/>
        <w:rPr>
          <w:sz w:val="22"/>
        </w:rPr>
      </w:pPr>
      <w:r>
        <w:rPr>
          <w:sz w:val="22"/>
        </w:rPr>
        <w:t>в итогах умножения единичных расценок на объем продукции;</w:t>
      </w:r>
    </w:p>
    <w:p>
      <w:pPr>
        <w:pStyle w:val="Style22"/>
        <w:rPr>
          <w:sz w:val="22"/>
        </w:rPr>
      </w:pPr>
      <w:r>
        <w:rPr>
          <w:sz w:val="22"/>
        </w:rPr>
        <w:t>в вычислении суммы НДС и итоговой стоимости заявки с учетом НДС);</w:t>
      </w:r>
    </w:p>
    <w:p>
      <w:pPr>
        <w:pStyle w:val="Style22"/>
        <w:rPr>
          <w:sz w:val="22"/>
        </w:rPr>
      </w:pPr>
      <w:r>
        <w:rPr>
          <w:sz w:val="22"/>
        </w:rPr>
        <w:t>иных внутренних противоречий в составе заявки,</w:t>
      </w:r>
    </w:p>
    <w:p>
      <w:pPr>
        <w:pStyle w:val="Style25"/>
        <w:ind w:left="1134" w:hanging="0"/>
        <w:rPr>
          <w:sz w:val="22"/>
        </w:rPr>
      </w:pPr>
      <w:r>
        <w:rPr>
          <w:sz w:val="22"/>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1"/>
        <w:keepNext w:val="true"/>
        <w:rPr>
          <w:sz w:val="22"/>
        </w:rPr>
      </w:pPr>
      <w:bookmarkStart w:id="157" w:name="_Ref132793926"/>
      <w:r>
        <w:rPr>
          <w:sz w:val="22"/>
        </w:rPr>
        <w:t>По результатам рассмотрения вторых частей заявок и ценовых предложений (проведения отборочной стадии) Закупочная комиссия отклоняет заявки по следующим основаниям:</w:t>
      </w:r>
      <w:bookmarkEnd w:id="157"/>
    </w:p>
    <w:p>
      <w:pPr>
        <w:pStyle w:val="Style22"/>
        <w:rPr>
          <w:sz w:val="22"/>
        </w:rPr>
      </w:pPr>
      <w:r>
        <w:rPr>
          <w:sz w:val="22"/>
        </w:rPr>
        <w:t>несоответствие второй части заявки и (или) ценового предложения по составу</w:t>
      </w:r>
      <w:r>
        <w:rPr>
          <w:rStyle w:val="FootnoteReference"/>
          <w:sz w:val="22"/>
        </w:rPr>
        <w:footnoteReference w:id="5"/>
      </w:r>
      <w:r>
        <w:rPr>
          <w:sz w:val="22"/>
        </w:rPr>
        <w:t>, содержанию и соблюдению требований Документации о закупке к подготовке (оформлению) заявки, в том числе наличие:</w:t>
      </w:r>
    </w:p>
    <w:p>
      <w:pPr>
        <w:pStyle w:val="Style23"/>
        <w:rPr>
          <w:sz w:val="22"/>
        </w:rPr>
      </w:pPr>
      <w:r>
        <w:rPr>
          <w:sz w:val="22"/>
        </w:rPr>
        <w:t>недостоверных сведений</w:t>
      </w:r>
      <w:r>
        <w:rPr>
          <w:rStyle w:val="FootnoteReference"/>
          <w:sz w:val="22"/>
        </w:rPr>
        <w:footnoteReference w:id="6"/>
      </w:r>
      <w:r>
        <w:rPr>
          <w:sz w:val="22"/>
        </w:rPr>
        <w:t xml:space="preserve"> или намеренно искаженной информации или документов;</w:t>
      </w:r>
    </w:p>
    <w:p>
      <w:pPr>
        <w:pStyle w:val="Style23"/>
        <w:rPr>
          <w:sz w:val="22"/>
        </w:rPr>
      </w:pPr>
      <w:r>
        <w:rPr>
          <w:sz w:val="22"/>
        </w:rPr>
        <w:t>внутренних противоречий между различными частями и (или) документами второй части заявки и (или) ценового предложения, в том числе по тексту внутри одного документа;</w:t>
      </w:r>
    </w:p>
    <w:p>
      <w:pPr>
        <w:pStyle w:val="Style23"/>
        <w:rPr>
          <w:sz w:val="22"/>
        </w:rPr>
      </w:pPr>
      <w:r>
        <w:rPr>
          <w:sz w:val="22"/>
        </w:rPr>
        <w:t>противоречий между документами заявки и сведениями, указанными Участником в структурированных формах на ЭП;</w:t>
      </w:r>
    </w:p>
    <w:p>
      <w:pPr>
        <w:pStyle w:val="Style22"/>
        <w:rPr>
          <w:sz w:val="22"/>
        </w:rPr>
      </w:pPr>
      <w:r>
        <w:rPr>
          <w:sz w:val="22"/>
        </w:rPr>
        <w:t>несоответствие предлагаемой продукции требованиям Документации о закупке, с учетом представленных во второй части заявки соответствующих подтверждающих документов;</w:t>
      </w:r>
    </w:p>
    <w:p>
      <w:pPr>
        <w:pStyle w:val="Style22"/>
        <w:rPr>
          <w:sz w:val="22"/>
        </w:rPr>
      </w:pPr>
      <w:r>
        <w:rPr>
          <w:sz w:val="22"/>
        </w:rPr>
        <w:t>несоответствие Участников требованиям Документации о закупке;</w:t>
      </w:r>
    </w:p>
    <w:p>
      <w:pPr>
        <w:pStyle w:val="Style22"/>
        <w:rPr>
          <w:sz w:val="22"/>
        </w:rPr>
      </w:pPr>
      <w:r>
        <w:rPr>
          <w:sz w:val="22"/>
        </w:rPr>
        <w:t>несоответствие привлекаемых субподрядчиков (соисполнителей) требованиям Документации о закупке;</w:t>
      </w:r>
    </w:p>
    <w:p>
      <w:pPr>
        <w:pStyle w:val="Style22"/>
        <w:rPr>
          <w:sz w:val="22"/>
        </w:rPr>
      </w:pPr>
      <w:r>
        <w:rPr>
          <w:sz w:val="22"/>
        </w:rPr>
        <w:t>превышение ценового предложения над установленным размером НМЦ.</w:t>
      </w:r>
    </w:p>
    <w:p>
      <w:pPr>
        <w:pStyle w:val="Style21"/>
        <w:keepNext w:val="true"/>
        <w:rPr>
          <w:sz w:val="22"/>
        </w:rPr>
      </w:pPr>
      <w:r>
        <w:rPr>
          <w:sz w:val="22"/>
        </w:rPr>
        <w:t>Решение Закупочной комиссии по рассмотрению вторых частей заявок и ценового предложения оформляется протоколом, в котором, как минимум, указываются</w:t>
      </w:r>
      <w:r>
        <w:rPr>
          <w:rStyle w:val="FootnoteReference"/>
          <w:sz w:val="22"/>
        </w:rPr>
        <w:footnoteReference w:id="7"/>
      </w:r>
      <w:r>
        <w:rPr>
          <w:sz w:val="22"/>
        </w:rPr>
        <w:t>:</w:t>
      </w:r>
    </w:p>
    <w:p>
      <w:pPr>
        <w:pStyle w:val="Style22"/>
        <w:rPr>
          <w:sz w:val="22"/>
        </w:rPr>
      </w:pPr>
      <w:r>
        <w:rPr>
          <w:sz w:val="22"/>
        </w:rPr>
        <w:t>дата подписания протокола;</w:t>
      </w:r>
    </w:p>
    <w:p>
      <w:pPr>
        <w:pStyle w:val="Style22"/>
        <w:rPr>
          <w:sz w:val="22"/>
        </w:rPr>
      </w:pPr>
      <w:r>
        <w:rPr>
          <w:sz w:val="22"/>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 с указанием ценового предложения такой заявки;</w:t>
      </w:r>
    </w:p>
    <w:p>
      <w:pPr>
        <w:pStyle w:val="Style22"/>
        <w:rPr>
          <w:sz w:val="22"/>
        </w:rPr>
      </w:pPr>
      <w:r>
        <w:rPr>
          <w:sz w:val="22"/>
        </w:rPr>
        <w:t>наименования Участников, заявки которых не были отклонены по результатам рассмотрения первых частей заявок / окончательных предложений, и (или) их идентификационные номера, присваиваемые Оператором ЭП;</w:t>
      </w:r>
    </w:p>
    <w:p>
      <w:pPr>
        <w:pStyle w:val="Style22"/>
        <w:keepNext w:val="true"/>
        <w:rPr>
          <w:sz w:val="22"/>
        </w:rPr>
      </w:pPr>
      <w:r>
        <w:rPr>
          <w:sz w:val="22"/>
        </w:rPr>
        <w:t>результаты рассмотрения вторых частей заявок и ценовых предложений с указанием, в том числе:</w:t>
      </w:r>
    </w:p>
    <w:p>
      <w:pPr>
        <w:pStyle w:val="Style23"/>
        <w:rPr>
          <w:sz w:val="22"/>
        </w:rPr>
      </w:pPr>
      <w:r>
        <w:rPr>
          <w:sz w:val="22"/>
        </w:rPr>
        <w:t>количества заявок, которые были отклонены по результатам рассмотрения вторых частей заявок и ценовых предложений;</w:t>
      </w:r>
    </w:p>
    <w:p>
      <w:pPr>
        <w:pStyle w:val="Style23"/>
        <w:rPr>
          <w:sz w:val="22"/>
        </w:rPr>
      </w:pPr>
      <w:r>
        <w:rPr>
          <w:sz w:val="22"/>
        </w:rPr>
        <w:t>оснований отклонения каждой заявки с указанием положений Документации о закупке, которым не соответствует вторая часть такой заявка и (или) ценовое предложение;</w:t>
      </w:r>
    </w:p>
    <w:p>
      <w:pPr>
        <w:pStyle w:val="Style22"/>
        <w:rPr>
          <w:sz w:val="22"/>
        </w:rPr>
      </w:pPr>
      <w:r>
        <w:rPr>
          <w:sz w:val="22"/>
        </w:rPr>
        <w:t>причины, по которым закупка признана несостоявшейся в соответствии с подразделом </w:t>
      </w:r>
      <w:r>
        <w:rPr>
          <w:sz w:val="22"/>
        </w:rPr>
        <w:fldChar w:fldCharType="begin"/>
      </w:r>
      <w:r>
        <w:rPr>
          <w:sz w:val="22"/>
        </w:rPr>
        <w:instrText xml:space="preserve"> REF _Ref125364149 \w \h </w:instrText>
      </w:r>
      <w:r>
        <w:rPr>
          <w:sz w:val="22"/>
        </w:rPr>
        <w:fldChar w:fldCharType="separate"/>
      </w:r>
      <w:r>
        <w:rPr>
          <w:sz w:val="22"/>
        </w:rPr>
        <w:t>4.16</w:t>
      </w:r>
      <w:r>
        <w:rPr>
          <w:sz w:val="22"/>
        </w:rPr>
        <w:fldChar w:fldCharType="end"/>
      </w:r>
      <w:r>
        <w:rPr>
          <w:sz w:val="22"/>
        </w:rPr>
        <w:t xml:space="preserve"> (в случае ее признания таковой).</w:t>
      </w:r>
    </w:p>
    <w:p>
      <w:pPr>
        <w:pStyle w:val="Style21"/>
        <w:rPr>
          <w:sz w:val="22"/>
        </w:rPr>
      </w:pPr>
      <w:r>
        <w:rPr>
          <w:sz w:val="22"/>
        </w:rPr>
        <w:t>Протокол рассмотрения вторых частей заявок и (или) ценовых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sz w:val="22"/>
        </w:rPr>
        <w:fldChar w:fldCharType="begin"/>
      </w:r>
      <w:r>
        <w:rPr>
          <w:sz w:val="22"/>
        </w:rPr>
        <w:instrText xml:space="preserve"> REF _Ref130286532 \r \h </w:instrText>
      </w:r>
      <w:r>
        <w:rPr>
          <w:sz w:val="22"/>
        </w:rPr>
        <w:fldChar w:fldCharType="separate"/>
      </w:r>
      <w:r>
        <w:rPr>
          <w:sz w:val="22"/>
        </w:rPr>
        <w:t>4.2</w:t>
      </w:r>
      <w:r>
        <w:rPr>
          <w:sz w:val="22"/>
        </w:rPr>
        <w:fldChar w:fldCharType="end"/>
      </w:r>
      <w:r>
        <w:rPr>
          <w:sz w:val="22"/>
        </w:rPr>
        <w:t>) Оператором ЭП в течение 1 (одного) часа с момента его получения от Организатора.</w:t>
      </w:r>
    </w:p>
    <w:p>
      <w:pPr>
        <w:pStyle w:val="Style20"/>
        <w:rPr>
          <w:sz w:val="22"/>
        </w:rPr>
      </w:pPr>
      <w:bookmarkStart w:id="158" w:name="__RefHeading___Toc192549_1558056896"/>
      <w:bookmarkStart w:id="159" w:name="_Ref125362381"/>
      <w:bookmarkStart w:id="160" w:name="_Ref125362425"/>
      <w:bookmarkStart w:id="161" w:name="_Ref125362610"/>
      <w:bookmarkStart w:id="162" w:name="_Toc186224141"/>
      <w:bookmarkStart w:id="163" w:name="_Ref125362464"/>
      <w:bookmarkEnd w:id="158"/>
      <w:r>
        <w:rPr>
          <w:sz w:val="22"/>
        </w:rPr>
        <w:t>Дополнительные запросы разъяснений заявок</w:t>
      </w:r>
      <w:bookmarkEnd w:id="159"/>
      <w:bookmarkEnd w:id="160"/>
      <w:bookmarkEnd w:id="161"/>
      <w:bookmarkEnd w:id="162"/>
      <w:bookmarkEnd w:id="163"/>
    </w:p>
    <w:p>
      <w:pPr>
        <w:pStyle w:val="Style21"/>
        <w:rPr>
          <w:sz w:val="22"/>
        </w:rPr>
      </w:pPr>
      <w:bookmarkStart w:id="164" w:name="_Ref125365611"/>
      <w:r>
        <w:rPr>
          <w:sz w:val="22"/>
        </w:rPr>
        <w:t>В рамках процедуры рассмотрения заявок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64"/>
    </w:p>
    <w:p>
      <w:pPr>
        <w:pStyle w:val="Style22"/>
        <w:keepNext w:val="true"/>
        <w:rPr>
          <w:sz w:val="22"/>
        </w:rPr>
      </w:pPr>
      <w:r>
        <w:rPr>
          <w:sz w:val="22"/>
        </w:rPr>
        <w:t>в составе заявки (в какой-либо ее части) отсутствуют, представлены не в полном объеме или в нечитаемом виде документы или сведения, необходимые для определения:</w:t>
      </w:r>
    </w:p>
    <w:p>
      <w:pPr>
        <w:pStyle w:val="Style23"/>
        <w:rPr>
          <w:sz w:val="22"/>
        </w:rPr>
      </w:pPr>
      <w:r>
        <w:rPr>
          <w:sz w:val="22"/>
        </w:rPr>
        <w:t>соответствия Участника требованиям Документации о закупке;</w:t>
      </w:r>
    </w:p>
    <w:p>
      <w:pPr>
        <w:pStyle w:val="Style23"/>
        <w:rPr>
          <w:sz w:val="22"/>
        </w:rPr>
      </w:pPr>
      <w:bookmarkStart w:id="165" w:name="_Hlk132793683"/>
      <w:r>
        <w:rPr>
          <w:sz w:val="22"/>
        </w:rPr>
        <w:t>наличия соответствующих полномочий на подписание заявки от имени Участника у лица, подписавшего заявку</w:t>
      </w:r>
      <w:bookmarkEnd w:id="165"/>
      <w:r>
        <w:rPr>
          <w:sz w:val="22"/>
        </w:rPr>
        <w:t>;</w:t>
      </w:r>
    </w:p>
    <w:p>
      <w:pPr>
        <w:pStyle w:val="Style23"/>
        <w:rPr>
          <w:sz w:val="22"/>
        </w:rPr>
      </w:pPr>
      <w:r>
        <w:rPr>
          <w:sz w:val="22"/>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2"/>
        <w:rPr>
          <w:sz w:val="22"/>
        </w:rPr>
      </w:pPr>
      <w:bookmarkStart w:id="166" w:name="_Ref135033677"/>
      <w:r>
        <w:rPr>
          <w:sz w:val="22"/>
        </w:rPr>
        <w:t>в составе заявки (в какой-либо ее части)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вторых частей заявок процедуры аккредитации (при необходимости);</w:t>
      </w:r>
    </w:p>
    <w:p>
      <w:pPr>
        <w:pStyle w:val="Style22"/>
        <w:rPr>
          <w:sz w:val="22"/>
        </w:rPr>
      </w:pPr>
      <w:r>
        <w:rPr>
          <w:sz w:val="22"/>
        </w:rPr>
        <w:t>в заявке (в какой-либо ее части)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sz w:val="22"/>
        </w:rPr>
        <w:footnoteReference w:id="8"/>
      </w:r>
      <w:r>
        <w:rPr>
          <w:sz w:val="22"/>
        </w:rPr>
        <w:t>) требованиям Документации о закупке или осуществить оценку и сопоставление заявок.</w:t>
      </w:r>
      <w:bookmarkEnd w:id="166"/>
    </w:p>
    <w:p>
      <w:pPr>
        <w:pStyle w:val="Style21"/>
        <w:rPr>
          <w:sz w:val="22"/>
        </w:rPr>
      </w:pPr>
      <w:r>
        <w:rPr>
          <w:sz w:val="22"/>
        </w:rPr>
        <w:t>Если в рамках рассмотрения заявок (вторых частей заявок и ценовых предложений),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sz w:val="22"/>
        </w:rPr>
        <w:fldChar w:fldCharType="begin"/>
      </w:r>
      <w:r>
        <w:rPr>
          <w:sz w:val="22"/>
        </w:rPr>
        <w:instrText xml:space="preserve"> REF _Ref135033677 \r \h </w:instrText>
      </w:r>
      <w:r>
        <w:rPr>
          <w:sz w:val="22"/>
        </w:rPr>
        <w:fldChar w:fldCharType="separate"/>
      </w:r>
      <w:r>
        <w:rPr>
          <w:sz w:val="22"/>
        </w:rPr>
        <w:t>4.12.1б)</w:t>
      </w:r>
      <w:r>
        <w:rPr>
          <w:sz w:val="22"/>
        </w:rPr>
        <w:fldChar w:fldCharType="end"/>
      </w:r>
      <w:r>
        <w:rPr>
          <w:sz w:val="22"/>
        </w:rPr>
        <w:t>).</w:t>
      </w:r>
    </w:p>
    <w:p>
      <w:pPr>
        <w:pStyle w:val="Style21"/>
        <w:rPr>
          <w:sz w:val="22"/>
        </w:rPr>
      </w:pPr>
      <w:r>
        <w:rPr>
          <w:sz w:val="22"/>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1"/>
        <w:rPr>
          <w:sz w:val="22"/>
        </w:rPr>
      </w:pPr>
      <w:r>
        <w:rPr>
          <w:sz w:val="22"/>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1"/>
        <w:rPr>
          <w:sz w:val="22"/>
        </w:rPr>
      </w:pPr>
      <w:r>
        <w:rPr>
          <w:sz w:val="22"/>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пунктами </w:t>
      </w:r>
      <w:r>
        <w:rPr>
          <w:sz w:val="22"/>
        </w:rPr>
        <w:fldChar w:fldCharType="begin"/>
      </w:r>
      <w:r>
        <w:rPr>
          <w:sz w:val="22"/>
        </w:rPr>
        <w:instrText xml:space="preserve"> REF _Ref125551456 \r \h </w:instrText>
      </w:r>
      <w:r>
        <w:rPr>
          <w:sz w:val="22"/>
        </w:rPr>
        <w:fldChar w:fldCharType="separate"/>
      </w:r>
      <w:r>
        <w:rPr>
          <w:sz w:val="22"/>
        </w:rPr>
        <w:t>4.9.4</w:t>
      </w:r>
      <w:r>
        <w:rPr>
          <w:sz w:val="22"/>
        </w:rPr>
        <w:fldChar w:fldCharType="end"/>
      </w:r>
      <w:r>
        <w:rPr>
          <w:sz w:val="22"/>
        </w:rPr>
        <w:t xml:space="preserve">, </w:t>
      </w:r>
      <w:r>
        <w:rPr>
          <w:sz w:val="22"/>
        </w:rPr>
        <w:fldChar w:fldCharType="begin"/>
      </w:r>
      <w:r>
        <w:rPr>
          <w:sz w:val="22"/>
        </w:rPr>
        <w:instrText xml:space="preserve"> REF _Ref132793926 \r \h </w:instrText>
      </w:r>
      <w:r>
        <w:rPr>
          <w:sz w:val="22"/>
        </w:rPr>
        <w:fldChar w:fldCharType="separate"/>
      </w:r>
      <w:r>
        <w:rPr>
          <w:sz w:val="22"/>
        </w:rPr>
        <w:t>4.11.5</w:t>
      </w:r>
      <w:r>
        <w:rPr>
          <w:sz w:val="22"/>
        </w:rPr>
        <w:fldChar w:fldCharType="end"/>
      </w:r>
      <w:r>
        <w:rPr>
          <w:sz w:val="22"/>
        </w:rPr>
        <w:t xml:space="preserve"> имеются прямые основания для отклонения заявки такого Участника, не относящиеся к случаям, перечисленным в пункте </w:t>
      </w:r>
      <w:r>
        <w:rPr>
          <w:sz w:val="22"/>
        </w:rPr>
        <w:fldChar w:fldCharType="begin"/>
      </w:r>
      <w:r>
        <w:rPr>
          <w:sz w:val="22"/>
        </w:rPr>
        <w:instrText xml:space="preserve"> REF _Ref125365611 \w \h </w:instrText>
      </w:r>
      <w:r>
        <w:rPr>
          <w:sz w:val="22"/>
        </w:rPr>
        <w:fldChar w:fldCharType="separate"/>
      </w:r>
      <w:r>
        <w:rPr>
          <w:sz w:val="22"/>
        </w:rPr>
        <w:t>4.12.1</w:t>
      </w:r>
      <w:r>
        <w:rPr>
          <w:sz w:val="22"/>
        </w:rPr>
        <w:fldChar w:fldCharType="end"/>
      </w:r>
      <w:r>
        <w:rPr>
          <w:sz w:val="22"/>
        </w:rPr>
        <w:t>.</w:t>
      </w:r>
    </w:p>
    <w:p>
      <w:pPr>
        <w:pStyle w:val="Style21"/>
        <w:rPr>
          <w:sz w:val="22"/>
        </w:rPr>
      </w:pPr>
      <w:r>
        <w:rPr>
          <w:sz w:val="22"/>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1"/>
        <w:rPr>
          <w:sz w:val="22"/>
        </w:rPr>
      </w:pPr>
      <w:r>
        <w:rPr>
          <w:sz w:val="22"/>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1"/>
        <w:rPr>
          <w:sz w:val="22"/>
        </w:rPr>
      </w:pPr>
      <w:r>
        <w:rPr>
          <w:sz w:val="22"/>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пунктов </w:t>
      </w:r>
      <w:r>
        <w:rPr>
          <w:sz w:val="22"/>
        </w:rPr>
        <w:fldChar w:fldCharType="begin"/>
      </w:r>
      <w:r>
        <w:rPr>
          <w:sz w:val="22"/>
        </w:rPr>
        <w:instrText xml:space="preserve"> REF _Ref125551456 \r \h </w:instrText>
      </w:r>
      <w:r>
        <w:rPr>
          <w:sz w:val="22"/>
        </w:rPr>
        <w:fldChar w:fldCharType="separate"/>
      </w:r>
      <w:r>
        <w:rPr>
          <w:sz w:val="22"/>
        </w:rPr>
        <w:t>4.9.4</w:t>
      </w:r>
      <w:r>
        <w:rPr>
          <w:sz w:val="22"/>
        </w:rPr>
        <w:fldChar w:fldCharType="end"/>
      </w:r>
      <w:r>
        <w:rPr>
          <w:sz w:val="22"/>
        </w:rPr>
        <w:t xml:space="preserve">, </w:t>
      </w:r>
      <w:r>
        <w:rPr>
          <w:sz w:val="22"/>
        </w:rPr>
        <w:fldChar w:fldCharType="begin"/>
      </w:r>
      <w:r>
        <w:rPr>
          <w:sz w:val="22"/>
        </w:rPr>
        <w:instrText xml:space="preserve"> REF _Ref132793926 \r \h </w:instrText>
      </w:r>
      <w:r>
        <w:rPr>
          <w:sz w:val="22"/>
        </w:rPr>
        <w:fldChar w:fldCharType="separate"/>
      </w:r>
      <w:r>
        <w:rPr>
          <w:sz w:val="22"/>
        </w:rPr>
        <w:t>4.11.5</w:t>
      </w:r>
      <w:r>
        <w:rPr>
          <w:sz w:val="22"/>
        </w:rPr>
        <w:fldChar w:fldCharType="end"/>
      </w:r>
      <w:r>
        <w:rPr>
          <w:sz w:val="22"/>
        </w:rPr>
        <w:t>.</w:t>
      </w:r>
    </w:p>
    <w:p>
      <w:pPr>
        <w:pStyle w:val="Style20"/>
        <w:rPr>
          <w:sz w:val="22"/>
        </w:rPr>
      </w:pPr>
      <w:bookmarkStart w:id="167" w:name="__RefHeading___Toc192551_1558056896"/>
      <w:bookmarkStart w:id="168" w:name="_Ref125365519"/>
      <w:bookmarkStart w:id="169" w:name="_Ref125369041"/>
      <w:bookmarkStart w:id="170" w:name="_Ref125369308"/>
      <w:bookmarkStart w:id="171" w:name="_Ref125366534"/>
      <w:bookmarkStart w:id="172" w:name="_Toc186224144"/>
      <w:bookmarkStart w:id="173" w:name="_Ref125362626"/>
      <w:bookmarkStart w:id="174" w:name="_Ref125365335"/>
      <w:bookmarkEnd w:id="167"/>
      <w:r>
        <w:rPr>
          <w:sz w:val="22"/>
        </w:rPr>
        <w:t>Оценка и сопоставление заявок</w:t>
      </w:r>
      <w:bookmarkEnd w:id="168"/>
      <w:bookmarkEnd w:id="169"/>
      <w:bookmarkEnd w:id="170"/>
      <w:bookmarkEnd w:id="171"/>
      <w:bookmarkEnd w:id="172"/>
      <w:bookmarkEnd w:id="173"/>
      <w:bookmarkEnd w:id="174"/>
    </w:p>
    <w:p>
      <w:pPr>
        <w:pStyle w:val="Style21"/>
        <w:rPr/>
      </w:pPr>
      <w:r>
        <w:rPr>
          <w:sz w:val="22"/>
        </w:rPr>
        <w:t xml:space="preserve">Оценка и сопоставление заявок, признанных Закупочной комиссией соответствующими по результатам рассмотрения заявок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осуществляется в соответствии с </w:t>
      </w:r>
      <w:hyperlink w:anchor="Прил08_ПорядокОценки">
        <w:r>
          <w:rPr>
            <w:rStyle w:val="Style7"/>
            <w:sz w:val="22"/>
          </w:rPr>
          <w:t>Порядком и критериями оценки и сопоставления заявок (Приложение № 8)</w:t>
        </w:r>
      </w:hyperlink>
      <w:r>
        <w:rPr>
          <w:sz w:val="22"/>
        </w:rPr>
        <w:t>, с присвоением каждой заявке итогового балла.</w:t>
      </w:r>
    </w:p>
    <w:p>
      <w:pPr>
        <w:pStyle w:val="Style21"/>
        <w:rPr>
          <w:sz w:val="22"/>
        </w:rPr>
      </w:pPr>
      <w:r>
        <w:rPr>
          <w:sz w:val="22"/>
        </w:rPr>
        <w:t>По результатам оценки заявок Закупочная комиссия в течение 1 (одного) рабочего дня осуществляет их сопоставление – ранжирует по степени их предпочтительности на основании полученного итогового балла (по мере уменьшения). При этом первое место в ранжировке присваивается заявке, получившей по результатам оценки наибольший итоговый балл (если в нескольких заявках содержатся одинаковые условия (заявкам присвоен одинаковый итоговый балл), меньший порядковый номер (более высокое место в ранжировке) присваивается заявке, которая поступила ранее других заявок, на основании информации о поступлении заявок, отражаемой на ЭП (по дате и времени последнего изменения заявки до окончания срока подачи заявок)).</w:t>
      </w:r>
    </w:p>
    <w:p>
      <w:pPr>
        <w:pStyle w:val="Style21"/>
        <w:rPr>
          <w:sz w:val="22"/>
        </w:rPr>
      </w:pPr>
      <w:r>
        <w:rPr>
          <w:sz w:val="22"/>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1"/>
        <w:rPr>
          <w:sz w:val="22"/>
        </w:rPr>
      </w:pPr>
      <w:r>
        <w:rPr>
          <w:sz w:val="22"/>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sz w:val="22"/>
        </w:rPr>
        <w:fldChar w:fldCharType="begin"/>
      </w:r>
      <w:r>
        <w:rPr>
          <w:sz w:val="22"/>
        </w:rPr>
        <w:instrText xml:space="preserve"> REF _Ref132816300 \r \h </w:instrText>
      </w:r>
      <w:r>
        <w:rPr>
          <w:sz w:val="22"/>
        </w:rPr>
        <w:fldChar w:fldCharType="separate"/>
      </w:r>
      <w:r>
        <w:rPr>
          <w:sz w:val="22"/>
        </w:rPr>
        <w:t>4.14</w:t>
      </w:r>
      <w:r>
        <w:rPr>
          <w:sz w:val="22"/>
        </w:rPr>
        <w:fldChar w:fldCharType="end"/>
      </w:r>
      <w:r>
        <w:rPr>
          <w:sz w:val="22"/>
        </w:rPr>
        <w:t>).</w:t>
      </w:r>
    </w:p>
    <w:p>
      <w:pPr>
        <w:pStyle w:val="Style21"/>
        <w:rPr>
          <w:sz w:val="22"/>
        </w:rPr>
      </w:pPr>
      <w:r>
        <w:rPr>
          <w:sz w:val="22"/>
        </w:rPr>
        <w:t>Результаты оценки и сопоставления заявок указываются в итоговом протоколе по результатам закупки.</w:t>
      </w:r>
    </w:p>
    <w:p>
      <w:pPr>
        <w:pStyle w:val="Style20"/>
        <w:rPr>
          <w:sz w:val="22"/>
        </w:rPr>
      </w:pPr>
      <w:bookmarkStart w:id="175" w:name="__RefHeading___Toc192553_1558056896"/>
      <w:bookmarkStart w:id="176" w:name="_Ref186181253"/>
      <w:bookmarkStart w:id="177" w:name="_Ref130985951"/>
      <w:bookmarkStart w:id="178" w:name="_Ref132816300"/>
      <w:bookmarkStart w:id="179" w:name="_Toc186224145"/>
      <w:bookmarkStart w:id="180" w:name="_Ref125366064"/>
      <w:bookmarkStart w:id="181" w:name="_Ref125370507"/>
      <w:bookmarkStart w:id="182" w:name="_Ref125369991"/>
      <w:bookmarkStart w:id="183" w:name="_Ref130458671"/>
      <w:bookmarkEnd w:id="175"/>
      <w:r>
        <w:rPr>
          <w:sz w:val="22"/>
        </w:rPr>
        <w:t>Применение законодательства о национальном режиме</w:t>
      </w:r>
      <w:bookmarkEnd w:id="176"/>
      <w:bookmarkEnd w:id="177"/>
      <w:bookmarkEnd w:id="178"/>
      <w:bookmarkEnd w:id="179"/>
      <w:bookmarkEnd w:id="180"/>
      <w:bookmarkEnd w:id="181"/>
      <w:bookmarkEnd w:id="182"/>
      <w:bookmarkEnd w:id="183"/>
    </w:p>
    <w:p>
      <w:pPr>
        <w:pStyle w:val="Style21"/>
        <w:rPr>
          <w:sz w:val="22"/>
        </w:rPr>
      </w:pPr>
      <w:r>
        <w:rPr>
          <w:sz w:val="22"/>
        </w:rPr>
        <w:t>Настоящий подраздел применяется исходя из информации, установленной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w:t>
      </w:r>
    </w:p>
    <w:p>
      <w:pPr>
        <w:pStyle w:val="Style21"/>
        <w:rPr>
          <w:sz w:val="22"/>
        </w:rPr>
      </w:pPr>
      <w:r>
        <w:rPr>
          <w:sz w:val="22"/>
        </w:rPr>
        <w:t>Если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(подразделы </w:t>
      </w:r>
      <w:r>
        <w:rPr>
          <w:sz w:val="22"/>
        </w:rPr>
        <w:fldChar w:fldCharType="begin"/>
      </w:r>
      <w:r>
        <w:rPr>
          <w:sz w:val="22"/>
        </w:rPr>
        <w:instrText xml:space="preserve"> REF _Ref125362364 \r \h </w:instrText>
      </w:r>
      <w:r>
        <w:rPr>
          <w:sz w:val="22"/>
        </w:rPr>
        <w:fldChar w:fldCharType="separate"/>
      </w:r>
      <w:r>
        <w:rPr>
          <w:sz w:val="22"/>
        </w:rPr>
        <w:t>4.9</w:t>
      </w:r>
      <w:r>
        <w:rPr>
          <w:sz w:val="22"/>
        </w:rPr>
        <w:fldChar w:fldCharType="end"/>
      </w:r>
      <w:r>
        <w:rPr>
          <w:sz w:val="22"/>
        </w:rPr>
        <w:t xml:space="preserve">, </w:t>
      </w:r>
      <w:r>
        <w:rPr>
          <w:sz w:val="22"/>
        </w:rPr>
        <w:fldChar w:fldCharType="begin"/>
      </w:r>
      <w:r>
        <w:rPr>
          <w:sz w:val="22"/>
        </w:rPr>
        <w:instrText xml:space="preserve"> REF _Ref132797154 \r \h </w:instrText>
      </w:r>
      <w:r>
        <w:rPr>
          <w:sz w:val="22"/>
        </w:rPr>
        <w:fldChar w:fldCharType="separate"/>
      </w:r>
      <w:r>
        <w:rPr>
          <w:sz w:val="22"/>
        </w:rPr>
        <w:t>4.11</w:t>
      </w:r>
      <w:r>
        <w:rPr>
          <w:sz w:val="22"/>
        </w:rPr>
        <w:fldChar w:fldCharType="end"/>
      </w:r>
      <w:r>
        <w:rPr>
          <w:sz w:val="22"/>
        </w:rPr>
        <w:t>).</w:t>
      </w:r>
    </w:p>
    <w:p>
      <w:pPr>
        <w:pStyle w:val="Style21"/>
        <w:rPr>
          <w:sz w:val="22"/>
        </w:rPr>
      </w:pPr>
      <w:r>
        <w:rPr>
          <w:sz w:val="22"/>
        </w:rPr>
        <w:t>Если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(подразделы </w:t>
      </w:r>
      <w:r>
        <w:rPr>
          <w:sz w:val="22"/>
        </w:rPr>
        <w:fldChar w:fldCharType="begin"/>
      </w:r>
      <w:r>
        <w:rPr>
          <w:sz w:val="22"/>
        </w:rPr>
        <w:instrText xml:space="preserve"> REF _Ref125362364 \r \h </w:instrText>
      </w:r>
      <w:r>
        <w:rPr>
          <w:sz w:val="22"/>
        </w:rPr>
        <w:fldChar w:fldCharType="separate"/>
      </w:r>
      <w:r>
        <w:rPr>
          <w:sz w:val="22"/>
        </w:rPr>
        <w:t>4.9</w:t>
      </w:r>
      <w:r>
        <w:rPr>
          <w:sz w:val="22"/>
        </w:rPr>
        <w:fldChar w:fldCharType="end"/>
      </w:r>
      <w:r>
        <w:rPr>
          <w:sz w:val="22"/>
        </w:rPr>
        <w:t xml:space="preserve">, </w:t>
      </w:r>
      <w:r>
        <w:rPr>
          <w:sz w:val="22"/>
        </w:rPr>
        <w:fldChar w:fldCharType="begin"/>
      </w:r>
      <w:r>
        <w:rPr>
          <w:sz w:val="22"/>
        </w:rPr>
        <w:instrText xml:space="preserve"> REF _Ref132797154 \r \h </w:instrText>
      </w:r>
      <w:r>
        <w:rPr>
          <w:sz w:val="22"/>
        </w:rPr>
        <w:fldChar w:fldCharType="separate"/>
      </w:r>
      <w:r>
        <w:rPr>
          <w:sz w:val="22"/>
        </w:rPr>
        <w:t>4.11</w:t>
      </w:r>
      <w:r>
        <w:rPr>
          <w:sz w:val="22"/>
        </w:rPr>
        <w:fldChar w:fldCharType="end"/>
      </w:r>
      <w:r>
        <w:rPr>
          <w:sz w:val="22"/>
        </w:rPr>
        <w:t>).</w:t>
      </w:r>
    </w:p>
    <w:p>
      <w:pPr>
        <w:pStyle w:val="Style21"/>
        <w:rPr>
          <w:sz w:val="22"/>
        </w:rPr>
      </w:pPr>
      <w:r>
        <w:rPr>
          <w:sz w:val="22"/>
        </w:rPr>
        <w:t>Если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установлен режим преимущества российской продукции, то при оценке и сопоставлении заявок, а также их ранжировке (подраздел </w:t>
      </w:r>
      <w:r>
        <w:rPr>
          <w:sz w:val="22"/>
        </w:rPr>
        <w:fldChar w:fldCharType="begin"/>
      </w:r>
      <w:r>
        <w:rPr>
          <w:sz w:val="22"/>
        </w:rPr>
        <w:instrText xml:space="preserve"> REF _Ref125362626 \r \h </w:instrText>
      </w:r>
      <w:r>
        <w:rPr>
          <w:sz w:val="22"/>
        </w:rPr>
        <w:fldChar w:fldCharType="separate"/>
      </w:r>
      <w:r>
        <w:rPr>
          <w:sz w:val="22"/>
        </w:rPr>
        <w:t>4.13</w:t>
      </w:r>
      <w:r>
        <w:rPr>
          <w:sz w:val="22"/>
        </w:rPr>
        <w:fldChar w:fldCharType="end"/>
      </w:r>
      <w:r>
        <w:rPr>
          <w:sz w:val="22"/>
        </w:rPr>
        <w:t>), осуществляется снижение</w:t>
      </w:r>
      <w:r>
        <w:rPr>
          <w:rStyle w:val="FootnoteReference"/>
          <w:sz w:val="22"/>
        </w:rPr>
        <w:footnoteReference w:id="9"/>
      </w:r>
      <w:r>
        <w:rPr>
          <w:sz w:val="22"/>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1"/>
        <w:rPr/>
      </w:pPr>
      <w:bookmarkStart w:id="184" w:name="__RefHeading___Toc179956_1558056896"/>
      <w:bookmarkEnd w:id="184"/>
      <w:r>
        <w:rPr>
          <w:sz w:val="22"/>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7"/>
            <w:sz w:val="22"/>
          </w:rPr>
          <w:t>Технических требованиях (Приложение № 1)</w:t>
        </w:r>
      </w:hyperlink>
      <w:r>
        <w:rPr>
          <w:sz w:val="22"/>
        </w:rPr>
        <w:t>.</w:t>
      </w:r>
    </w:p>
    <w:p>
      <w:pPr>
        <w:pStyle w:val="Style20"/>
        <w:rPr>
          <w:sz w:val="22"/>
        </w:rPr>
      </w:pPr>
      <w:bookmarkStart w:id="185" w:name="__RefHeading___Toc192555_1558056896"/>
      <w:bookmarkStart w:id="186" w:name="_Ref125367242"/>
      <w:bookmarkStart w:id="187" w:name="_Ref125366091"/>
      <w:bookmarkStart w:id="188" w:name="_Toc186224147"/>
      <w:bookmarkStart w:id="189" w:name="_Ref125362658"/>
      <w:bookmarkEnd w:id="185"/>
      <w:r>
        <w:rPr>
          <w:sz w:val="22"/>
        </w:rPr>
        <w:t>Подведение итогов закупки (определение Победителя)</w:t>
      </w:r>
      <w:bookmarkEnd w:id="186"/>
      <w:bookmarkEnd w:id="187"/>
      <w:bookmarkEnd w:id="188"/>
      <w:bookmarkEnd w:id="189"/>
    </w:p>
    <w:p>
      <w:pPr>
        <w:pStyle w:val="Style21"/>
        <w:rPr>
          <w:sz w:val="22"/>
        </w:rPr>
      </w:pPr>
      <w:r>
        <w:rPr>
          <w:sz w:val="22"/>
        </w:rPr>
        <w:t>Дата окончания срока подведения итогов закупки указана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1"/>
        <w:rPr>
          <w:sz w:val="22"/>
        </w:rPr>
      </w:pPr>
      <w:r>
        <w:rPr>
          <w:sz w:val="22"/>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1"/>
        <w:rPr>
          <w:sz w:val="22"/>
        </w:rPr>
      </w:pPr>
      <w:r>
        <w:rPr>
          <w:sz w:val="22"/>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1"/>
        <w:keepNext w:val="true"/>
        <w:rPr>
          <w:sz w:val="22"/>
        </w:rPr>
      </w:pPr>
      <w:bookmarkStart w:id="190" w:name="_Ref125365974"/>
      <w:r>
        <w:rPr>
          <w:sz w:val="22"/>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sz w:val="22"/>
        </w:rPr>
        <w:footnoteReference w:id="10"/>
      </w:r>
      <w:r>
        <w:rPr>
          <w:sz w:val="22"/>
        </w:rPr>
        <w:t>:</w:t>
      </w:r>
      <w:bookmarkEnd w:id="190"/>
    </w:p>
    <w:p>
      <w:pPr>
        <w:pStyle w:val="Style22"/>
        <w:rPr>
          <w:sz w:val="22"/>
        </w:rPr>
      </w:pPr>
      <w:r>
        <w:rPr>
          <w:sz w:val="22"/>
        </w:rPr>
        <w:t>дата подписания протокола;</w:t>
      </w:r>
    </w:p>
    <w:p>
      <w:pPr>
        <w:pStyle w:val="Style22"/>
        <w:rPr>
          <w:sz w:val="22"/>
        </w:rPr>
      </w:pPr>
      <w:r>
        <w:rPr>
          <w:sz w:val="22"/>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2"/>
        <w:rPr>
          <w:sz w:val="22"/>
        </w:rPr>
      </w:pPr>
      <w:r>
        <w:rPr>
          <w:sz w:val="22"/>
        </w:rPr>
        <w:t>наименования Участников, заявки которых были допущены по результатам рассмотрения вторых частей заявок и ценовых предложений, и (или) их идентификационные номера, присваиваемые Оператором ЭП;</w:t>
      </w:r>
    </w:p>
    <w:p>
      <w:pPr>
        <w:pStyle w:val="Style22"/>
        <w:keepNext w:val="true"/>
        <w:rPr>
          <w:sz w:val="22"/>
        </w:rPr>
      </w:pPr>
      <w:r>
        <w:rPr>
          <w:sz w:val="22"/>
        </w:rPr>
        <w:t>результаты рассмотрения заявок с указанием (в том числе с учетом результатов рассмотрения дополнительных ценовых предложений – если проводилась переторжка), в том числе:</w:t>
      </w:r>
    </w:p>
    <w:p>
      <w:pPr>
        <w:pStyle w:val="Style23"/>
        <w:rPr>
          <w:sz w:val="22"/>
        </w:rPr>
      </w:pPr>
      <w:r>
        <w:rPr>
          <w:sz w:val="22"/>
        </w:rPr>
        <w:t>количества заявок, которые были отклонены (отдельно по результатам рассмотрения первых частей заявок / окончательных предложений, по результатам рассмотрения вторых частей заявок и ценовых предложений и по результатам рассмотрения дополнительных ценовых предложений – если проводилась переторжка);</w:t>
      </w:r>
    </w:p>
    <w:p>
      <w:pPr>
        <w:pStyle w:val="Style23"/>
        <w:rPr>
          <w:sz w:val="22"/>
        </w:rPr>
      </w:pPr>
      <w:r>
        <w:rPr>
          <w:sz w:val="22"/>
        </w:rPr>
        <w:t>оснований отклонения каждой заявки с указанием положений Документации о закупке, которым не соответствует такая заявка;</w:t>
      </w:r>
    </w:p>
    <w:p>
      <w:pPr>
        <w:pStyle w:val="Style22"/>
        <w:rPr>
          <w:sz w:val="22"/>
        </w:rPr>
      </w:pPr>
      <w:r>
        <w:rPr>
          <w:sz w:val="22"/>
        </w:rPr>
        <w:t>результаты дополнительного рассмотрения заявок (при возникновении оснований для отклонения заявок по результатам проведения актуализации статуса аккредитации, если такая процедура проводились) с указанием, в том числе:</w:t>
      </w:r>
    </w:p>
    <w:p>
      <w:pPr>
        <w:pStyle w:val="Style23"/>
        <w:rPr>
          <w:sz w:val="22"/>
        </w:rPr>
      </w:pPr>
      <w:r>
        <w:rPr>
          <w:sz w:val="22"/>
        </w:rPr>
        <w:t>количества заявок, которые были отклонены;</w:t>
      </w:r>
    </w:p>
    <w:p>
      <w:pPr>
        <w:pStyle w:val="Style23"/>
        <w:rPr>
          <w:sz w:val="22"/>
        </w:rPr>
      </w:pPr>
      <w:r>
        <w:rPr>
          <w:sz w:val="22"/>
        </w:rPr>
        <w:t>оснований отклонения каждой заявки с указанием положений Документации о закупке, которым не соответствует такая заявка;</w:t>
      </w:r>
    </w:p>
    <w:p>
      <w:pPr>
        <w:pStyle w:val="Style22"/>
        <w:rPr>
          <w:sz w:val="22"/>
        </w:rPr>
      </w:pPr>
      <w:r>
        <w:rPr>
          <w:sz w:val="22"/>
        </w:rPr>
        <w:t>результаты оценки и сопоставления заявок с указанием, в том числе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2"/>
        <w:rPr>
          <w:sz w:val="22"/>
        </w:rPr>
      </w:pPr>
      <w:r>
        <w:rPr>
          <w:sz w:val="22"/>
        </w:rPr>
        <w:t>порядковые номера каждой заявки (с указанием стоимостей заявок (цен Договоров), не отклоненной по результатам рассмотрения вторых частей заявок и ценовых предложений (рассмотрения дополнительных ценовых предложений – если проводилась переторжка), в том числе с учетом результатов актуализации статуса аккредитации и проведения переторжки (если указанная процедура проводились), в ранжировке заявок;</w:t>
      </w:r>
    </w:p>
    <w:p>
      <w:pPr>
        <w:pStyle w:val="Style22"/>
        <w:rPr>
          <w:sz w:val="22"/>
        </w:rPr>
      </w:pPr>
      <w:r>
        <w:rPr>
          <w:sz w:val="22"/>
        </w:rPr>
        <w:t>наименование Победителя закупки или Единственного участника несостоявшейся закупки, с которым планируется заключить Договор;</w:t>
      </w:r>
    </w:p>
    <w:p>
      <w:pPr>
        <w:pStyle w:val="Style22"/>
        <w:rPr>
          <w:sz w:val="22"/>
        </w:rPr>
      </w:pPr>
      <w:r>
        <w:rPr>
          <w:sz w:val="22"/>
        </w:rPr>
        <w:t>причины, по которым закупка признана несостоявшейся (в случае ее признания таковой),</w:t>
      </w:r>
    </w:p>
    <w:p>
      <w:pPr>
        <w:pStyle w:val="Style25"/>
        <w:ind w:left="1134" w:hanging="0"/>
        <w:rPr>
          <w:sz w:val="22"/>
        </w:rPr>
      </w:pPr>
      <w:r>
        <w:rPr>
          <w:sz w:val="22"/>
        </w:rPr>
        <w:t>после чего Организатор официально размещает его в течение 3 (трех) календарных дней с даты подписания такого протокола.</w:t>
      </w:r>
    </w:p>
    <w:p>
      <w:pPr>
        <w:pStyle w:val="Style21"/>
        <w:rPr>
          <w:sz w:val="22"/>
        </w:rPr>
      </w:pPr>
      <w:r>
        <w:rPr>
          <w:sz w:val="22"/>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1"/>
        <w:rPr>
          <w:sz w:val="22"/>
        </w:rPr>
      </w:pPr>
      <w:r>
        <w:rPr>
          <w:sz w:val="22"/>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1"/>
        <w:rPr>
          <w:sz w:val="22"/>
        </w:rPr>
      </w:pPr>
      <w:bookmarkStart w:id="191" w:name="_Hlk149314796"/>
      <w:r>
        <w:rPr>
          <w:sz w:val="22"/>
        </w:rPr>
        <w:t>Любой Участник после официального размещения итогового протокола по результатам закупки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sz w:val="22"/>
        </w:rPr>
        <w:fldChar w:fldCharType="begin"/>
      </w:r>
      <w:r>
        <w:rPr>
          <w:sz w:val="22"/>
        </w:rPr>
        <w:instrText xml:space="preserve"> REF _Ref130394205 \r \h </w:instrText>
      </w:r>
      <w:r>
        <w:rPr>
          <w:sz w:val="22"/>
        </w:rPr>
        <w:fldChar w:fldCharType="separate"/>
      </w:r>
      <w:r>
        <w:rPr>
          <w:sz w:val="22"/>
        </w:rPr>
        <w:t>4.4</w:t>
      </w:r>
      <w:r>
        <w:rPr>
          <w:sz w:val="22"/>
        </w:rPr>
        <w:fldChar w:fldCharType="end"/>
      </w:r>
      <w:r>
        <w:rPr>
          <w:sz w:val="22"/>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bookmarkEnd w:id="191"/>
    </w:p>
    <w:p>
      <w:pPr>
        <w:pStyle w:val="Style20"/>
        <w:rPr>
          <w:sz w:val="22"/>
        </w:rPr>
      </w:pPr>
      <w:bookmarkStart w:id="192" w:name="__RefHeading___Toc192557_1558056896"/>
      <w:bookmarkStart w:id="193" w:name="_Ref125366631"/>
      <w:bookmarkStart w:id="194" w:name="_Ref125364187"/>
      <w:bookmarkStart w:id="195" w:name="_Ref125365570"/>
      <w:bookmarkStart w:id="196" w:name="_Ref125364149"/>
      <w:bookmarkStart w:id="197" w:name="_Toc186224148"/>
      <w:bookmarkStart w:id="198" w:name="_Ref125366796"/>
      <w:bookmarkStart w:id="199" w:name="_Ref125365305"/>
      <w:bookmarkEnd w:id="192"/>
      <w:r>
        <w:rPr>
          <w:sz w:val="22"/>
        </w:rPr>
        <w:t>Признание закупки несостоявшейся</w:t>
      </w:r>
      <w:bookmarkEnd w:id="193"/>
      <w:bookmarkEnd w:id="194"/>
      <w:bookmarkEnd w:id="195"/>
      <w:bookmarkEnd w:id="196"/>
      <w:bookmarkEnd w:id="197"/>
      <w:bookmarkEnd w:id="198"/>
      <w:bookmarkEnd w:id="199"/>
    </w:p>
    <w:p>
      <w:pPr>
        <w:pStyle w:val="Style21"/>
        <w:keepNext w:val="true"/>
        <w:rPr>
          <w:sz w:val="22"/>
        </w:rPr>
      </w:pPr>
      <w:r>
        <w:rPr>
          <w:sz w:val="22"/>
        </w:rPr>
        <w:t>Закупка признается несостоявшейся в следующих случаях:</w:t>
      </w:r>
    </w:p>
    <w:p>
      <w:pPr>
        <w:pStyle w:val="Style22"/>
        <w:rPr>
          <w:sz w:val="22"/>
        </w:rPr>
      </w:pPr>
      <w:r>
        <w:rPr>
          <w:sz w:val="22"/>
        </w:rPr>
        <w:t>если по окончанию срока подачи заявок поступило менее 2 (двух) заявок (с учетом возможных отзывов заявок);</w:t>
      </w:r>
    </w:p>
    <w:p>
      <w:pPr>
        <w:pStyle w:val="Style22"/>
        <w:rPr>
          <w:sz w:val="22"/>
        </w:rPr>
      </w:pPr>
      <w:r>
        <w:rPr>
          <w:sz w:val="22"/>
        </w:rPr>
        <w:t>по результатам рассмотрения первых частей заявок / окончательных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2"/>
        <w:rPr>
          <w:sz w:val="22"/>
        </w:rPr>
      </w:pPr>
      <w:r>
        <w:rPr>
          <w:sz w:val="22"/>
        </w:rPr>
        <w:t>по результатам рассмотрения вторых частей заявок и ценовых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2"/>
        <w:rPr>
          <w:sz w:val="22"/>
        </w:rPr>
      </w:pPr>
      <w:r>
        <w:rPr>
          <w:sz w:val="22"/>
        </w:rPr>
        <w:t>по результатам рассмотрения дополнительных ценовых предложений – если проводилась процедура переторжки, Закупочной комиссией принято решение о признании менее 2 (двух) заявок соответствующими требованиям Документации о закупки.</w:t>
      </w:r>
    </w:p>
    <w:p>
      <w:pPr>
        <w:pStyle w:val="Style21"/>
        <w:rPr>
          <w:sz w:val="22"/>
        </w:rPr>
      </w:pPr>
      <w:r>
        <w:rPr>
          <w:sz w:val="22"/>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1"/>
        <w:keepNext w:val="true"/>
        <w:rPr>
          <w:sz w:val="22"/>
        </w:rPr>
      </w:pPr>
      <w:r>
        <w:rPr>
          <w:sz w:val="22"/>
        </w:rPr>
        <w:t>В случае признания закупки несостоявшейся Заказчик вправе (с учетом условий, предусмотренных Положением о закупке):</w:t>
      </w:r>
    </w:p>
    <w:p>
      <w:pPr>
        <w:pStyle w:val="Style22"/>
        <w:rPr>
          <w:sz w:val="22"/>
        </w:rPr>
      </w:pPr>
      <w:r>
        <w:rPr>
          <w:sz w:val="22"/>
        </w:rPr>
        <w:t>принять решение о проведении повторной закупки (в том числе с возможностью снятия признака закупки только среди субъектов МСП);</w:t>
      </w:r>
    </w:p>
    <w:p>
      <w:pPr>
        <w:pStyle w:val="Style22"/>
        <w:rPr>
          <w:sz w:val="22"/>
        </w:rPr>
      </w:pPr>
      <w:r>
        <w:rPr>
          <w:sz w:val="22"/>
        </w:rPr>
        <w:t>заключить договор с Единственным участником несостоявшейся закупки (раздел </w:t>
      </w:r>
      <w:r>
        <w:rPr>
          <w:sz w:val="22"/>
        </w:rPr>
        <w:fldChar w:fldCharType="begin"/>
      </w:r>
      <w:r>
        <w:rPr>
          <w:sz w:val="22"/>
        </w:rPr>
        <w:instrText xml:space="preserve"> REF _Ref126142429 \r \h </w:instrText>
      </w:r>
      <w:r>
        <w:rPr>
          <w:sz w:val="22"/>
        </w:rPr>
        <w:fldChar w:fldCharType="separate"/>
      </w:r>
      <w:r>
        <w:rPr>
          <w:sz w:val="22"/>
        </w:rPr>
        <w:t>5</w:t>
      </w:r>
      <w:r>
        <w:rPr>
          <w:sz w:val="22"/>
        </w:rPr>
        <w:fldChar w:fldCharType="end"/>
      </w:r>
      <w:r>
        <w:rPr>
          <w:sz w:val="22"/>
        </w:rPr>
        <w:t>);</w:t>
      </w:r>
    </w:p>
    <w:p>
      <w:pPr>
        <w:pStyle w:val="Style22"/>
        <w:rPr>
          <w:sz w:val="22"/>
        </w:rPr>
      </w:pPr>
      <w:r>
        <w:rPr>
          <w:sz w:val="22"/>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0"/>
        <w:rPr>
          <w:sz w:val="22"/>
        </w:rPr>
      </w:pPr>
      <w:bookmarkStart w:id="200" w:name="__RefHeading___Toc192559_1558056896"/>
      <w:bookmarkStart w:id="201" w:name="_Toc186224149"/>
      <w:bookmarkStart w:id="202" w:name="_Ref132816141"/>
      <w:bookmarkStart w:id="203" w:name="_Ref132816134"/>
      <w:bookmarkStart w:id="204" w:name="_Ref126141962"/>
      <w:bookmarkEnd w:id="200"/>
      <w:r>
        <w:rPr>
          <w:sz w:val="22"/>
        </w:rPr>
        <w:t>Отказ от проведения закупки</w:t>
      </w:r>
      <w:bookmarkEnd w:id="204"/>
      <w:r>
        <w:rPr>
          <w:sz w:val="22"/>
        </w:rPr>
        <w:t xml:space="preserve"> (отмена закупки)</w:t>
      </w:r>
      <w:bookmarkEnd w:id="201"/>
      <w:bookmarkEnd w:id="202"/>
      <w:bookmarkEnd w:id="203"/>
    </w:p>
    <w:p>
      <w:pPr>
        <w:pStyle w:val="Style21"/>
        <w:rPr>
          <w:sz w:val="22"/>
        </w:rPr>
      </w:pPr>
      <w:r>
        <w:rPr>
          <w:sz w:val="22"/>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1"/>
        <w:rPr>
          <w:sz w:val="22"/>
        </w:rPr>
      </w:pPr>
      <w:r>
        <w:rPr>
          <w:sz w:val="22"/>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1"/>
        <w:rPr>
          <w:sz w:val="22"/>
        </w:rPr>
      </w:pPr>
      <w:r>
        <w:rPr>
          <w:sz w:val="22"/>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0"/>
        <w:rPr>
          <w:sz w:val="22"/>
        </w:rPr>
      </w:pPr>
      <w:bookmarkStart w:id="205" w:name="__RefHeading___Toc192561_1558056896"/>
      <w:bookmarkStart w:id="206" w:name="_Ref130455226"/>
      <w:bookmarkStart w:id="207" w:name="_Toc186224150"/>
      <w:bookmarkEnd w:id="205"/>
      <w:r>
        <w:rPr>
          <w:sz w:val="22"/>
        </w:rPr>
        <w:t>Особенности проведения закупки с необходимостью обеспечения заявки</w:t>
      </w:r>
      <w:bookmarkEnd w:id="206"/>
      <w:bookmarkEnd w:id="207"/>
    </w:p>
    <w:p>
      <w:pPr>
        <w:pStyle w:val="Style21"/>
        <w:rPr>
          <w:sz w:val="22"/>
        </w:rPr>
      </w:pPr>
      <w:r>
        <w:rPr>
          <w:sz w:val="22"/>
        </w:rPr>
        <w:t>Нормы настоящего подраздела применяются, если подразделом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предусмотрена обязанность Участников предоставить обеспечение заявки на участие в закупке.</w:t>
      </w:r>
    </w:p>
    <w:p>
      <w:pPr>
        <w:pStyle w:val="Style21"/>
        <w:rPr>
          <w:sz w:val="22"/>
        </w:rPr>
      </w:pPr>
      <w:r>
        <w:rPr>
          <w:sz w:val="22"/>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1"/>
        <w:rPr>
          <w:sz w:val="22"/>
        </w:rPr>
      </w:pPr>
      <w:r>
        <w:rPr>
          <w:sz w:val="22"/>
        </w:rPr>
        <w:t>Обязательства Участников, связанные с подачей заявок, обеспечиваются в форме, порядке и размере в соответствии с подразделом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Выбор формы (способа) обеспечения из числа предусмотренных осуществляется Участниками самостоятельно.</w:t>
      </w:r>
    </w:p>
    <w:p>
      <w:pPr>
        <w:pStyle w:val="Style21"/>
        <w:rPr>
          <w:sz w:val="22"/>
        </w:rPr>
      </w:pPr>
      <w:r>
        <w:rPr>
          <w:sz w:val="22"/>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sz w:val="22"/>
        </w:rPr>
        <w:footnoteReference w:id="11"/>
      </w:r>
      <w:r>
        <w:rPr>
          <w:sz w:val="22"/>
        </w:rPr>
        <w:t xml:space="preserve"> и на сайте ЭП, с использованием которой проводится настоящая закупка,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 а также наличия соответствующего соглашения об интеграции и обмене информацией с Оператором ЭП.</w:t>
      </w:r>
    </w:p>
    <w:p>
      <w:pPr>
        <w:pStyle w:val="Style21"/>
        <w:rPr>
          <w:sz w:val="22"/>
        </w:rPr>
      </w:pPr>
      <w:r>
        <w:rPr>
          <w:sz w:val="22"/>
        </w:rPr>
        <w:t>В течение 1 (одного) часа с момента окончания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Оператор ЭП направляет в банк, в котором Участником открыт специальный банковский счет, информацию о таком Участнике и размере денежных средств, необходимом для обеспечения заявки. Банк в течение 1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Оператора ЭП.</w:t>
      </w:r>
    </w:p>
    <w:p>
      <w:pPr>
        <w:pStyle w:val="Style21"/>
        <w:rPr>
          <w:sz w:val="22"/>
        </w:rPr>
      </w:pPr>
      <w:r>
        <w:rPr>
          <w:sz w:val="22"/>
        </w:rPr>
        <w:t>Блокирование денежных средств не осуществляется в случае отсутствия на специальном банковском счете Участника денежных средств в требуемом размере, либо в случае приостановления операций по такому счету в соответствии с законодательством, о чем Оператор ЭП информируется в течение 1 (одного) часа.</w:t>
      </w:r>
    </w:p>
    <w:p>
      <w:pPr>
        <w:pStyle w:val="Style21"/>
        <w:rPr>
          <w:sz w:val="22"/>
        </w:rPr>
      </w:pPr>
      <w:r>
        <w:rPr>
          <w:sz w:val="22"/>
        </w:rPr>
        <w:t>Если блокирование денежных средств не может быть осуществлено, Оператор ЭП возвращает заявку подавшему ее Участнику в течение 1 (одного) часа с момента получения соответствующей информации от банка. Такая заявка автоматически отклоняется Оператором ЭП от дальнейшего участия в закупке, а сведения о ней не направляются в адрес Организатора.</w:t>
      </w:r>
    </w:p>
    <w:p>
      <w:pPr>
        <w:pStyle w:val="Style21"/>
        <w:keepNext w:val="true"/>
        <w:rPr>
          <w:sz w:val="22"/>
        </w:rPr>
      </w:pPr>
      <w:r>
        <w:rPr>
          <w:sz w:val="22"/>
        </w:rPr>
        <w:t>В случае выбора Участником обеспечения заявки путем предоставления независимой гарантии, такая независимая гарантия составляется с учетом требований статей 368 – 379 ГК РФ, а также следующих условий:</w:t>
      </w:r>
    </w:p>
    <w:p>
      <w:pPr>
        <w:pStyle w:val="Style22"/>
        <w:rPr>
          <w:sz w:val="22"/>
        </w:rPr>
      </w:pPr>
      <w:r>
        <w:rPr>
          <w:sz w:val="22"/>
        </w:rPr>
        <w:t>независимая гарантия должна быть безотзывной и безусловной (гарантия по первому требованию);</w:t>
      </w:r>
    </w:p>
    <w:p>
      <w:pPr>
        <w:pStyle w:val="Style22"/>
        <w:rPr>
          <w:sz w:val="22"/>
        </w:rPr>
      </w:pPr>
      <w:r>
        <w:rPr>
          <w:sz w:val="22"/>
        </w:rPr>
        <w:t>сумма независимой гарантии должна быть выражена в российских рублях и составлять не менее суммы, установленной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w:t>
      </w:r>
    </w:p>
    <w:p>
      <w:pPr>
        <w:pStyle w:val="Style22"/>
        <w:rPr>
          <w:sz w:val="22"/>
        </w:rPr>
      </w:pPr>
      <w:r>
        <w:rPr>
          <w:sz w:val="22"/>
        </w:rPr>
        <w:t>бенефициаром в независимой гарантии должен быть указан Заказчик, принципалом – Участник, гарантом – организация, выдавшая независимую гарантию (подпункт </w:t>
      </w:r>
      <w:r>
        <w:rPr>
          <w:sz w:val="22"/>
        </w:rPr>
        <w:fldChar w:fldCharType="begin"/>
      </w:r>
      <w:r>
        <w:rPr>
          <w:sz w:val="22"/>
        </w:rPr>
        <w:instrText xml:space="preserve"> REF _Ref132716380 \w \h </w:instrText>
      </w:r>
      <w:r>
        <w:rPr>
          <w:sz w:val="22"/>
        </w:rPr>
        <w:fldChar w:fldCharType="separate"/>
      </w:r>
      <w:r>
        <w:rPr>
          <w:sz w:val="22"/>
        </w:rPr>
        <w:t>4.18.8л)</w:t>
      </w:r>
      <w:r>
        <w:rPr>
          <w:sz w:val="22"/>
        </w:rPr>
        <w:fldChar w:fldCharType="end"/>
      </w:r>
      <w:r>
        <w:rPr>
          <w:sz w:val="22"/>
        </w:rPr>
        <w:t>);</w:t>
      </w:r>
    </w:p>
    <w:p>
      <w:pPr>
        <w:pStyle w:val="Style22"/>
        <w:rPr>
          <w:sz w:val="22"/>
        </w:rPr>
      </w:pPr>
      <w:r>
        <w:rPr>
          <w:sz w:val="22"/>
        </w:rPr>
        <w:t>в независимой гарантии должно быть предусмотрено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pPr>
        <w:pStyle w:val="Style22"/>
        <w:rPr>
          <w:sz w:val="22"/>
        </w:rPr>
      </w:pPr>
      <w:r>
        <w:rPr>
          <w:sz w:val="22"/>
        </w:rPr>
        <w:t>в независимой гарантии должен быть указан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pPr>
        <w:pStyle w:val="Style22"/>
        <w:rPr>
          <w:sz w:val="22"/>
        </w:rPr>
      </w:pPr>
      <w:r>
        <w:rPr>
          <w:sz w:val="22"/>
        </w:rPr>
        <w:t>в независимой гарантии должен быть указан срок действия независимой гарантии, который не может составлять менее одного месяца с даты окончания срока подачи заявок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w:t>
      </w:r>
    </w:p>
    <w:p>
      <w:pPr>
        <w:pStyle w:val="Style22"/>
        <w:rPr>
          <w:sz w:val="22"/>
        </w:rPr>
      </w:pPr>
      <w:r>
        <w:rPr>
          <w:sz w:val="22"/>
        </w:rPr>
        <w:t>независимая гарантия не должна содержать условие о предоставлении Заказчиком гаранту судебных актов, подтверждающих неисполнение Участником обязательств, обеспечиваемых независимой гарантией;</w:t>
      </w:r>
    </w:p>
    <w:p>
      <w:pPr>
        <w:pStyle w:val="Style22"/>
        <w:rPr>
          <w:sz w:val="22"/>
        </w:rPr>
      </w:pPr>
      <w:r>
        <w:rPr>
          <w:sz w:val="22"/>
        </w:rPr>
        <w:t>в независимой гарантии должно быть предусмотрено безусловное право Заказчика на истребование суммы независимой гарантии полностью или частично, в случае нарушения Участником закупки своих обязательств (пункт </w:t>
      </w:r>
      <w:r>
        <w:rPr>
          <w:sz w:val="22"/>
        </w:rPr>
        <w:fldChar w:fldCharType="begin"/>
      </w:r>
      <w:r>
        <w:rPr>
          <w:sz w:val="22"/>
        </w:rPr>
        <w:instrText xml:space="preserve"> REF _Ref132716182 \r \h </w:instrText>
      </w:r>
      <w:r>
        <w:rPr>
          <w:sz w:val="22"/>
        </w:rPr>
        <w:fldChar w:fldCharType="separate"/>
      </w:r>
      <w:r>
        <w:rPr>
          <w:sz w:val="22"/>
        </w:rPr>
        <w:t>4.18.14</w:t>
      </w:r>
      <w:r>
        <w:rPr>
          <w:sz w:val="22"/>
        </w:rPr>
        <w:fldChar w:fldCharType="end"/>
      </w:r>
      <w:r>
        <w:rPr>
          <w:sz w:val="22"/>
        </w:rPr>
        <w:t>);</w:t>
      </w:r>
    </w:p>
    <w:p>
      <w:pPr>
        <w:pStyle w:val="Style22"/>
        <w:rPr>
          <w:sz w:val="22"/>
        </w:rPr>
      </w:pPr>
      <w:r>
        <w:rPr>
          <w:sz w:val="22"/>
        </w:rPr>
        <w:t>независимая гарантия должна содержать условия, предусмотренные Законом 223-ФЗ, а также соответствовать дополнительным требованиям к независимой гарантии, используемой для целей проведения конкурентных закупок с участием субъектов МСП, устанавливаемым Правительством Российской Федерации;</w:t>
      </w:r>
    </w:p>
    <w:p>
      <w:pPr>
        <w:pStyle w:val="Style22"/>
        <w:rPr>
          <w:sz w:val="22"/>
        </w:rPr>
      </w:pPr>
      <w:r>
        <w:rPr>
          <w:sz w:val="22"/>
        </w:rPr>
        <w:t>в независимой гарантии не должно быть условий или требований, противоречащих вышеизложенному или делающих вышеизложенное неисполнимым;</w:t>
      </w:r>
    </w:p>
    <w:p>
      <w:pPr>
        <w:pStyle w:val="Style22"/>
        <w:rPr>
          <w:sz w:val="22"/>
        </w:rPr>
      </w:pPr>
      <w:bookmarkStart w:id="208" w:name="_Ref132716380"/>
      <w:r>
        <w:rPr>
          <w:sz w:val="22"/>
        </w:rPr>
        <w:t>независимая гарантия должна быть выдана организацией из числа указанных в части 1 статьи 45 Закона 44-ФЗ;</w:t>
      </w:r>
      <w:bookmarkEnd w:id="208"/>
    </w:p>
    <w:p>
      <w:pPr>
        <w:pStyle w:val="Style22"/>
        <w:rPr>
          <w:sz w:val="22"/>
        </w:rPr>
      </w:pPr>
      <w:r>
        <w:rPr>
          <w:sz w:val="22"/>
        </w:rPr>
        <w:t>независимая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независимой гарантии;</w:t>
      </w:r>
    </w:p>
    <w:p>
      <w:pPr>
        <w:pStyle w:val="Style22"/>
        <w:rPr>
          <w:sz w:val="22"/>
        </w:rPr>
      </w:pPr>
      <w:r>
        <w:rPr>
          <w:sz w:val="22"/>
        </w:rPr>
        <w:t>информация о независимой гарантии должна быть включена в реестр независимых гарантий, предусмотренный частью 8 статьи </w:t>
      </w:r>
      <w:r>
        <w:rPr>
          <w:sz w:val="22"/>
          <w:lang w:val="en-US"/>
        </w:rPr>
        <w:t>4</w:t>
      </w:r>
      <w:r>
        <w:rPr>
          <w:sz w:val="22"/>
        </w:rPr>
        <w:t>5 Закона 44</w:t>
        <w:noBreakHyphen/>
        <w:t>ФЗ.</w:t>
      </w:r>
    </w:p>
    <w:p>
      <w:pPr>
        <w:pStyle w:val="Style21"/>
        <w:rPr>
          <w:sz w:val="22"/>
        </w:rPr>
      </w:pPr>
      <w:r>
        <w:rPr>
          <w:sz w:val="22"/>
        </w:rPr>
        <w:t>В случае выбора Участником обеспечения заявки путем предоставления независимой гарантии он должен предоставить в составе своей заявки копию такой гарантии,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1"/>
        <w:rPr>
          <w:sz w:val="22"/>
        </w:rPr>
      </w:pPr>
      <w:r>
        <w:rPr>
          <w:sz w:val="22"/>
        </w:rPr>
        <w:t>Несоответствие независимой гарантии, предоставленной Участником закупки, предусмотренным настоящей Документацией о закупке требованиям, является основанием для отклонения заявки такого Участника.</w:t>
      </w:r>
    </w:p>
    <w:p>
      <w:pPr>
        <w:pStyle w:val="Style21"/>
        <w:rPr>
          <w:sz w:val="22"/>
        </w:rPr>
      </w:pPr>
      <w:r>
        <w:rPr>
          <w:sz w:val="22"/>
        </w:rPr>
        <w:t>При многолотовой закупке (подраздел </w:t>
      </w:r>
      <w:r>
        <w:rPr>
          <w:sz w:val="22"/>
        </w:rPr>
        <w:fldChar w:fldCharType="begin"/>
      </w:r>
      <w:r>
        <w:rPr>
          <w:sz w:val="22"/>
        </w:rPr>
        <w:instrText xml:space="preserve"> REF _Ref149317133 \n \h </w:instrText>
      </w:r>
      <w:r>
        <w:rPr>
          <w:sz w:val="22"/>
        </w:rPr>
        <w:fldChar w:fldCharType="separate"/>
      </w:r>
      <w:r>
        <w:rPr>
          <w:sz w:val="22"/>
        </w:rPr>
        <w:t>4.19</w:t>
      </w:r>
      <w:r>
        <w:rPr>
          <w:sz w:val="22"/>
        </w:rPr>
        <w:fldChar w:fldCharType="end"/>
      </w:r>
      <w:r>
        <w:rPr>
          <w:sz w:val="22"/>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1"/>
        <w:rPr>
          <w:sz w:val="22"/>
        </w:rPr>
      </w:pPr>
      <w:r>
        <w:rPr>
          <w:sz w:val="22"/>
        </w:rPr>
        <w:t>Подать заявку (принять участие в закупке) могут только Участники, предоставившие надлежащее обеспечение их заявок.</w:t>
      </w:r>
    </w:p>
    <w:p>
      <w:pPr>
        <w:pStyle w:val="Style21"/>
        <w:rPr>
          <w:sz w:val="22"/>
        </w:rPr>
      </w:pPr>
      <w:r>
        <w:rPr>
          <w:sz w:val="22"/>
        </w:rPr>
        <w:t>Требование об обеспечении заявки в равной мере распространяется на всех Участников.</w:t>
      </w:r>
    </w:p>
    <w:p>
      <w:pPr>
        <w:pStyle w:val="Style21"/>
        <w:keepNext w:val="true"/>
        <w:rPr>
          <w:sz w:val="22"/>
        </w:rPr>
      </w:pPr>
      <w:bookmarkStart w:id="209" w:name="_Ref132716182"/>
      <w:r>
        <w:rPr>
          <w:sz w:val="22"/>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209"/>
    </w:p>
    <w:p>
      <w:pPr>
        <w:pStyle w:val="Style22"/>
        <w:rPr/>
      </w:pPr>
      <w:r>
        <w:rPr>
          <w:sz w:val="22"/>
        </w:rPr>
        <w:t>обязательство заключить Договор в установленном Документацией о закупке порядке (раздел </w:t>
      </w:r>
      <w:r>
        <w:rPr>
          <w:sz w:val="22"/>
        </w:rPr>
        <w:fldChar w:fldCharType="begin"/>
      </w:r>
      <w:r>
        <w:rPr>
          <w:sz w:val="22"/>
        </w:rPr>
        <w:instrText xml:space="preserve"> REF _Ref130224037 \r \h </w:instrText>
      </w:r>
      <w:r>
        <w:rPr>
          <w:sz w:val="22"/>
        </w:rPr>
        <w:fldChar w:fldCharType="separate"/>
      </w:r>
      <w:r>
        <w:rPr>
          <w:sz w:val="22"/>
        </w:rPr>
        <w:t>5</w:t>
      </w:r>
      <w:r>
        <w:rPr>
          <w:sz w:val="22"/>
        </w:rPr>
        <w:fldChar w:fldCharType="end"/>
      </w:r>
      <w:r>
        <w:rPr>
          <w:sz w:val="22"/>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7"/>
            <w:sz w:val="22"/>
          </w:rPr>
          <w:t>Приложение № 5</w:t>
        </w:r>
      </w:hyperlink>
      <w:r>
        <w:rPr>
          <w:sz w:val="22"/>
        </w:rPr>
        <w:t>), а также предоставить иные документы в соответствии с условиями подраздела </w:t>
      </w:r>
      <w:r>
        <w:rPr>
          <w:sz w:val="22"/>
        </w:rPr>
        <w:fldChar w:fldCharType="begin"/>
      </w:r>
      <w:r>
        <w:rPr>
          <w:sz w:val="22"/>
        </w:rPr>
        <w:instrText xml:space="preserve"> REF _Ref138341423 \r \h </w:instrText>
      </w:r>
      <w:r>
        <w:rPr>
          <w:sz w:val="22"/>
        </w:rPr>
        <w:fldChar w:fldCharType="separate"/>
      </w:r>
      <w:r>
        <w:rPr>
          <w:sz w:val="22"/>
        </w:rPr>
        <w:t>5.2</w:t>
      </w:r>
      <w:r>
        <w:rPr>
          <w:sz w:val="22"/>
        </w:rPr>
        <w:fldChar w:fldCharType="end"/>
      </w:r>
      <w:r>
        <w:rPr>
          <w:sz w:val="22"/>
        </w:rPr>
        <w:t>;</w:t>
      </w:r>
    </w:p>
    <w:p>
      <w:pPr>
        <w:pStyle w:val="Style22"/>
        <w:rPr/>
      </w:pPr>
      <w:r>
        <w:rPr>
          <w:sz w:val="22"/>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7"/>
            <w:sz w:val="22"/>
          </w:rPr>
          <w:t>Проект договора (Приложение № 2)</w:t>
        </w:r>
      </w:hyperlink>
      <w:r>
        <w:rPr>
          <w:sz w:val="22"/>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7"/>
            <w:sz w:val="22"/>
          </w:rPr>
          <w:t>Проектом договора</w:t>
        </w:r>
      </w:hyperlink>
      <w:r>
        <w:rPr>
          <w:sz w:val="22"/>
        </w:rPr>
        <w:t>).</w:t>
      </w:r>
    </w:p>
    <w:p>
      <w:pPr>
        <w:pStyle w:val="Style21"/>
        <w:rPr>
          <w:sz w:val="22"/>
        </w:rPr>
      </w:pPr>
      <w:r>
        <w:rPr>
          <w:sz w:val="22"/>
        </w:rPr>
        <w:t>В случае невыполнения Победителем указанных выше обязательств Организатор вправе удержать обеспечение заявки путем обращения в соответствующую организацию-гарант. При этом в случае предоставления Участником обеспечения в виде денежных средств, сумма обеспечения заявки, внесенная на специальный банковский счет, перечисляется банком-гарантом на счет Заказчика (подраздел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w:t>
      </w:r>
    </w:p>
    <w:p>
      <w:pPr>
        <w:pStyle w:val="Style21"/>
        <w:keepNext w:val="true"/>
        <w:rPr>
          <w:sz w:val="22"/>
        </w:rPr>
      </w:pPr>
      <w:r>
        <w:rPr>
          <w:sz w:val="22"/>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2"/>
        <w:rPr>
          <w:sz w:val="22"/>
        </w:rPr>
      </w:pPr>
      <w:r>
        <w:rPr>
          <w:sz w:val="22"/>
        </w:rPr>
        <w:t>принятия решения об отказе от проведения закупки – всем Участникам, подавшим заявки к моменту принятия такого решения;</w:t>
      </w:r>
    </w:p>
    <w:p>
      <w:pPr>
        <w:pStyle w:val="Style22"/>
        <w:rPr>
          <w:sz w:val="22"/>
        </w:rPr>
      </w:pPr>
      <w:r>
        <w:rPr>
          <w:sz w:val="22"/>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2"/>
        <w:rPr>
          <w:sz w:val="22"/>
        </w:rPr>
      </w:pPr>
      <w:r>
        <w:rPr>
          <w:sz w:val="22"/>
        </w:rPr>
        <w:t>официального размещения итогового протокола по результатам закупки – всем Участникам, кроме Победителя;</w:t>
      </w:r>
    </w:p>
    <w:p>
      <w:pPr>
        <w:pStyle w:val="Style22"/>
        <w:rPr>
          <w:sz w:val="22"/>
        </w:rPr>
      </w:pPr>
      <w:r>
        <w:rPr>
          <w:sz w:val="22"/>
        </w:rPr>
        <w:t>заключения Договора по результатам закупки – Победителю, с которым заключен Договор;</w:t>
      </w:r>
    </w:p>
    <w:p>
      <w:pPr>
        <w:pStyle w:val="Style22"/>
        <w:rPr>
          <w:sz w:val="22"/>
        </w:rPr>
      </w:pPr>
      <w:r>
        <w:rPr>
          <w:sz w:val="22"/>
        </w:rPr>
        <w:t>признания закупки несостоявшейся – Участнику, которому обеспечение не было возвращено по иным основаниям.</w:t>
      </w:r>
    </w:p>
    <w:p>
      <w:pPr>
        <w:pStyle w:val="Style21"/>
        <w:rPr>
          <w:sz w:val="22"/>
        </w:rPr>
      </w:pPr>
      <w:r>
        <w:rPr>
          <w:sz w:val="22"/>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sz w:val="22"/>
        </w:rPr>
        <w:fldChar w:fldCharType="begin"/>
      </w:r>
      <w:r>
        <w:rPr>
          <w:sz w:val="22"/>
        </w:rPr>
        <w:instrText xml:space="preserve"> REF _Ref125363536 \r \h </w:instrText>
      </w:r>
      <w:r>
        <w:rPr>
          <w:sz w:val="22"/>
        </w:rPr>
        <w:fldChar w:fldCharType="separate"/>
      </w:r>
      <w:r>
        <w:rPr>
          <w:sz w:val="22"/>
        </w:rPr>
        <w:t>2.3</w:t>
      </w:r>
      <w:r>
        <w:rPr>
          <w:sz w:val="22"/>
        </w:rPr>
        <w:fldChar w:fldCharType="end"/>
      </w:r>
      <w:r>
        <w:rPr>
          <w:sz w:val="22"/>
        </w:rPr>
        <w:t>) – на время рассмотрения жалобы.</w:t>
      </w:r>
    </w:p>
    <w:p>
      <w:pPr>
        <w:pStyle w:val="Style20"/>
        <w:rPr>
          <w:sz w:val="22"/>
        </w:rPr>
      </w:pPr>
      <w:bookmarkStart w:id="210" w:name="__RefHeading___Toc192563_1558056896"/>
      <w:bookmarkStart w:id="211" w:name="_Ref130225422"/>
      <w:bookmarkStart w:id="212" w:name="_Toc186224151"/>
      <w:bookmarkStart w:id="213" w:name="_Ref149317133"/>
      <w:bookmarkEnd w:id="210"/>
      <w:r>
        <w:rPr>
          <w:sz w:val="22"/>
        </w:rPr>
        <w:t>Особенности проведения многолотовой закупки</w:t>
      </w:r>
      <w:bookmarkEnd w:id="211"/>
      <w:bookmarkEnd w:id="212"/>
      <w:bookmarkEnd w:id="213"/>
    </w:p>
    <w:p>
      <w:pPr>
        <w:pStyle w:val="Style21"/>
        <w:rPr>
          <w:sz w:val="22"/>
        </w:rPr>
      </w:pPr>
      <w:r>
        <w:rPr>
          <w:sz w:val="22"/>
        </w:rPr>
        <w:t>Нормы настоящего подраздела применяются, если подразделом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предусмотрено проведение многолотовой закупки.</w:t>
      </w:r>
    </w:p>
    <w:p>
      <w:pPr>
        <w:pStyle w:val="Style21"/>
        <w:rPr>
          <w:sz w:val="22"/>
        </w:rPr>
      </w:pPr>
      <w:r>
        <w:rPr>
          <w:sz w:val="22"/>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1"/>
        <w:rPr>
          <w:sz w:val="22"/>
        </w:rPr>
      </w:pPr>
      <w:r>
        <w:rPr>
          <w:sz w:val="22"/>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sz w:val="22"/>
          <w:lang w:val="en-US"/>
        </w:rPr>
        <w:t> </w:t>
      </w:r>
      <w:r>
        <w:rPr>
          <w:sz w:val="22"/>
        </w:rPr>
        <w:t>указан номер конкретного лота, относятся ко всем лотам одновременно.</w:t>
      </w:r>
    </w:p>
    <w:p>
      <w:pPr>
        <w:pStyle w:val="Style21"/>
        <w:rPr>
          <w:sz w:val="22"/>
        </w:rPr>
      </w:pPr>
      <w:r>
        <w:rPr>
          <w:sz w:val="22"/>
        </w:rPr>
        <w:t>Участник может подать одну заявку / одно окончательное предложение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 одному окончательному предложению на каждый лот, не считается подачей второй заявки / окончательного предложения на закупку.</w:t>
      </w:r>
    </w:p>
    <w:p>
      <w:pPr>
        <w:pStyle w:val="Style21"/>
        <w:keepNext w:val="true"/>
        <w:rPr>
          <w:sz w:val="22"/>
        </w:rPr>
      </w:pPr>
      <w:r>
        <w:rPr>
          <w:sz w:val="22"/>
        </w:rPr>
        <w:t>В случае подачи заявки / окончательного предложения на несколько лотов дополнительно должны быть соблюдены следующие требования:</w:t>
      </w:r>
    </w:p>
    <w:p>
      <w:pPr>
        <w:pStyle w:val="Style22"/>
        <w:rPr/>
      </w:pPr>
      <w:r>
        <w:rPr>
          <w:sz w:val="22"/>
        </w:rPr>
        <w:t>Письмо о подаче оферты (форма 2) (</w:t>
      </w:r>
      <w:hyperlink w:anchor="Прил04_ФормыЗаявки">
        <w:r>
          <w:rPr>
            <w:rStyle w:val="Style7"/>
            <w:sz w:val="22"/>
          </w:rPr>
          <w:t>Приложение № 4</w:t>
        </w:r>
      </w:hyperlink>
      <w:r>
        <w:rPr>
          <w:sz w:val="22"/>
        </w:rPr>
        <w:t>) должно содержать указание номера и названия каждого лота;</w:t>
      </w:r>
    </w:p>
    <w:p>
      <w:pPr>
        <w:pStyle w:val="Style22"/>
        <w:rPr/>
      </w:pPr>
      <w:r>
        <w:rPr>
          <w:sz w:val="22"/>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7"/>
            <w:sz w:val="22"/>
          </w:rPr>
          <w:t>Приложение № 4</w:t>
        </w:r>
      </w:hyperlink>
      <w:r>
        <w:rPr>
          <w:sz w:val="22"/>
        </w:rPr>
        <w:t>, должны быть подготовлены отдельно по каждому из лотов с указанием номера и названия лота.</w:t>
      </w:r>
    </w:p>
    <w:p>
      <w:pPr>
        <w:pStyle w:val="Style21"/>
        <w:rPr>
          <w:sz w:val="22"/>
        </w:rPr>
      </w:pPr>
      <w:r>
        <w:rPr>
          <w:sz w:val="22"/>
        </w:rPr>
        <w:t>Решения, принимаемые в ходе процедуры закупки, в том числе решения в рамках рассмотрения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8"/>
        <w:keepNext w:val="true"/>
        <w:rPr/>
      </w:pPr>
      <w:r>
        <w:rPr/>
      </w:r>
    </w:p>
    <w:p>
      <w:pPr>
        <w:pStyle w:val="Style19"/>
        <w:rPr>
          <w:sz w:val="22"/>
        </w:rPr>
      </w:pPr>
      <w:bookmarkStart w:id="214" w:name="__RefHeading___Toc192565_1558056896"/>
      <w:bookmarkStart w:id="215" w:name="_Ref125362671"/>
      <w:bookmarkStart w:id="216" w:name="_Ref125363439"/>
      <w:bookmarkStart w:id="217" w:name="_Ref125361212"/>
      <w:bookmarkStart w:id="218" w:name="_Ref125367087"/>
      <w:bookmarkStart w:id="219" w:name="_Ref125366769"/>
      <w:bookmarkStart w:id="220" w:name="_Ref125367083"/>
      <w:bookmarkStart w:id="221" w:name="_Ref130224037"/>
      <w:bookmarkStart w:id="222" w:name="_Ref126142429"/>
      <w:bookmarkStart w:id="223" w:name="_Toc186224153"/>
      <w:bookmarkEnd w:id="214"/>
      <w:r>
        <w:rPr>
          <w:sz w:val="22"/>
        </w:rPr>
        <w:t>Порядок заключения Договора</w:t>
      </w:r>
      <w:bookmarkEnd w:id="215"/>
      <w:bookmarkEnd w:id="216"/>
      <w:bookmarkEnd w:id="217"/>
      <w:bookmarkEnd w:id="218"/>
      <w:bookmarkEnd w:id="219"/>
      <w:bookmarkEnd w:id="220"/>
      <w:bookmarkEnd w:id="221"/>
      <w:bookmarkEnd w:id="222"/>
      <w:bookmarkEnd w:id="223"/>
    </w:p>
    <w:p>
      <w:pPr>
        <w:pStyle w:val="Style20"/>
        <w:rPr>
          <w:sz w:val="22"/>
        </w:rPr>
      </w:pPr>
      <w:bookmarkStart w:id="224" w:name="__RefHeading___Toc192567_1558056896"/>
      <w:bookmarkStart w:id="225" w:name="_Toc186224154"/>
      <w:bookmarkEnd w:id="224"/>
      <w:r>
        <w:rPr>
          <w:sz w:val="22"/>
        </w:rPr>
        <w:t>Общие положения</w:t>
      </w:r>
      <w:bookmarkEnd w:id="225"/>
    </w:p>
    <w:p>
      <w:pPr>
        <w:pStyle w:val="Style21"/>
        <w:rPr>
          <w:sz w:val="22"/>
        </w:rPr>
      </w:pPr>
      <w:r>
        <w:rPr>
          <w:sz w:val="22"/>
        </w:rPr>
        <w:t>Нормы настоящего раздела </w:t>
      </w:r>
      <w:r>
        <w:rPr>
          <w:sz w:val="22"/>
        </w:rPr>
        <w:fldChar w:fldCharType="begin"/>
      </w:r>
      <w:r>
        <w:rPr>
          <w:sz w:val="22"/>
        </w:rPr>
        <w:instrText xml:space="preserve"> REF _Ref126142429 \r \h </w:instrText>
      </w:r>
      <w:r>
        <w:rPr>
          <w:sz w:val="22"/>
        </w:rPr>
        <w:fldChar w:fldCharType="separate"/>
      </w:r>
      <w:r>
        <w:rPr>
          <w:sz w:val="22"/>
        </w:rPr>
        <w:t>5</w:t>
      </w:r>
      <w:r>
        <w:rPr>
          <w:sz w:val="22"/>
        </w:rPr>
        <w:fldChar w:fldCharType="end"/>
      </w:r>
      <w:r>
        <w:rPr>
          <w:sz w:val="22"/>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0"/>
        <w:rPr>
          <w:sz w:val="22"/>
        </w:rPr>
      </w:pPr>
      <w:bookmarkStart w:id="226" w:name="__RefHeading___Toc192569_1558056896"/>
      <w:bookmarkStart w:id="227" w:name="_Ref125368755"/>
      <w:bookmarkStart w:id="228" w:name="_Ref125366947"/>
      <w:bookmarkStart w:id="229" w:name="_Toc186224155"/>
      <w:bookmarkStart w:id="230" w:name="_Ref138341423"/>
      <w:bookmarkEnd w:id="226"/>
      <w:r>
        <w:rPr>
          <w:sz w:val="22"/>
        </w:rPr>
        <w:t>Заключение Договора</w:t>
      </w:r>
      <w:bookmarkEnd w:id="227"/>
      <w:bookmarkEnd w:id="228"/>
      <w:bookmarkEnd w:id="229"/>
      <w:bookmarkEnd w:id="230"/>
    </w:p>
    <w:p>
      <w:pPr>
        <w:pStyle w:val="Style21"/>
        <w:rPr>
          <w:sz w:val="22"/>
        </w:rPr>
      </w:pPr>
      <w:bookmarkStart w:id="231" w:name="_Ref125362935"/>
      <w:bookmarkStart w:id="232" w:name="_Ref130293821"/>
      <w:r>
        <w:rPr>
          <w:sz w:val="22"/>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31"/>
      <w:bookmarkEnd w:id="232"/>
    </w:p>
    <w:p>
      <w:pPr>
        <w:pStyle w:val="Style21"/>
        <w:rPr>
          <w:sz w:val="22"/>
        </w:rPr>
      </w:pPr>
      <w:r>
        <w:rPr>
          <w:sz w:val="22"/>
        </w:rPr>
        <w:t>Договор не может быть заключен, если это запрещено законодательством о национальном режиме в случаях, установленных в подразделе </w:t>
      </w:r>
      <w:r>
        <w:rPr>
          <w:sz w:val="22"/>
        </w:rPr>
        <w:fldChar w:fldCharType="begin"/>
      </w:r>
      <w:r>
        <w:rPr>
          <w:sz w:val="22"/>
        </w:rPr>
        <w:instrText xml:space="preserve"> REF _Ref186181253 \r \h </w:instrText>
      </w:r>
      <w:r>
        <w:rPr>
          <w:sz w:val="22"/>
        </w:rPr>
        <w:fldChar w:fldCharType="separate"/>
      </w:r>
      <w:r>
        <w:rPr>
          <w:sz w:val="22"/>
        </w:rPr>
        <w:t>4.14</w:t>
      </w:r>
      <w:r>
        <w:rPr>
          <w:sz w:val="22"/>
        </w:rPr>
        <w:fldChar w:fldCharType="end"/>
      </w:r>
      <w:r>
        <w:rPr>
          <w:sz w:val="22"/>
        </w:rPr>
        <w:t>.</w:t>
      </w:r>
    </w:p>
    <w:p>
      <w:pPr>
        <w:pStyle w:val="Style21"/>
        <w:rPr/>
      </w:pPr>
      <w:bookmarkStart w:id="233" w:name="_Ref125363464"/>
      <w:r>
        <w:rPr>
          <w:sz w:val="22"/>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sz w:val="22"/>
        </w:rPr>
        <w:fldChar w:fldCharType="begin"/>
      </w:r>
      <w:r>
        <w:rPr>
          <w:sz w:val="22"/>
        </w:rPr>
        <w:instrText xml:space="preserve"> REF _Ref125359973 \r \h </w:instrText>
      </w:r>
      <w:r>
        <w:rPr>
          <w:sz w:val="22"/>
        </w:rPr>
        <w:fldChar w:fldCharType="separate"/>
      </w:r>
      <w:r>
        <w:rPr>
          <w:sz w:val="22"/>
        </w:rPr>
        <w:t>1.2</w:t>
      </w:r>
      <w:r>
        <w:rPr>
          <w:sz w:val="22"/>
        </w:rPr>
        <w:fldChar w:fldCharType="end"/>
      </w:r>
      <w:r>
        <w:rPr>
          <w:sz w:val="22"/>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7"/>
            <w:sz w:val="22"/>
          </w:rPr>
          <w:t>Приложением № 5</w:t>
        </w:r>
      </w:hyperlink>
      <w:r>
        <w:rPr>
          <w:sz w:val="22"/>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33"/>
    </w:p>
    <w:p>
      <w:pPr>
        <w:pStyle w:val="Style21"/>
        <w:rPr/>
      </w:pPr>
      <w:r>
        <w:rPr>
          <w:sz w:val="22"/>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(скан-копия в формате </w:t>
      </w:r>
      <w:r>
        <w:rPr>
          <w:sz w:val="22"/>
          <w:lang w:val="en-US"/>
        </w:rPr>
        <w:t>pdf</w:t>
      </w:r>
      <w:r>
        <w:rPr>
          <w:sz w:val="22"/>
        </w:rPr>
        <w:t xml:space="preserve">)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7"/>
            <w:sz w:val="22"/>
          </w:rPr>
          <w:t>Приложением № 5</w:t>
        </w:r>
      </w:hyperlink>
      <w:r>
        <w:rPr>
          <w:sz w:val="22"/>
        </w:rPr>
        <w:t>.</w:t>
      </w:r>
    </w:p>
    <w:p>
      <w:pPr>
        <w:pStyle w:val="Style21"/>
        <w:keepNext w:val="true"/>
        <w:rPr/>
      </w:pPr>
      <w:bookmarkStart w:id="234" w:name="_Ref125551072"/>
      <w:r>
        <w:rPr>
          <w:sz w:val="22"/>
        </w:rPr>
        <w:t>Перед заключением Договора Победитель обязан предоставить Заказчику, не позднее сроков, установленных в пункте </w:t>
      </w:r>
      <w:r>
        <w:rPr>
          <w:sz w:val="22"/>
        </w:rPr>
        <w:fldChar w:fldCharType="begin"/>
      </w:r>
      <w:r>
        <w:rPr>
          <w:sz w:val="22"/>
        </w:rPr>
        <w:instrText xml:space="preserve"> REF _Ref130293821 \w \h </w:instrText>
      </w:r>
      <w:r>
        <w:rPr>
          <w:sz w:val="22"/>
        </w:rPr>
        <w:fldChar w:fldCharType="separate"/>
      </w:r>
      <w:r>
        <w:rPr>
          <w:sz w:val="22"/>
        </w:rPr>
        <w:t>5.2.1</w:t>
      </w:r>
      <w:r>
        <w:rPr>
          <w:sz w:val="22"/>
        </w:rPr>
        <w:fldChar w:fldCharType="end"/>
      </w:r>
      <w:r>
        <w:rPr>
          <w:sz w:val="22"/>
        </w:rPr>
        <w:t>, в целях подтверждения своего соответствия обязательному требованию к Участникам, указанному в пункте </w:t>
      </w:r>
      <w:r>
        <w:rPr>
          <w:sz w:val="22"/>
        </w:rPr>
        <w:fldChar w:fldCharType="begin"/>
      </w:r>
      <w:r>
        <w:rPr>
          <w:sz w:val="22"/>
        </w:rPr>
        <w:instrText xml:space="preserve"> REF _Ref125552433 \w \h </w:instrText>
      </w:r>
      <w:r>
        <w:rPr>
          <w:sz w:val="22"/>
        </w:rPr>
        <w:fldChar w:fldCharType="separate"/>
      </w:r>
      <w:r>
        <w:rPr>
          <w:sz w:val="22"/>
        </w:rPr>
        <w:t>1</w:t>
      </w:r>
      <w:r>
        <w:rPr>
          <w:sz w:val="22"/>
        </w:rPr>
        <w:fldChar w:fldCharType="end"/>
      </w:r>
      <w:r>
        <w:rPr>
          <w:sz w:val="22"/>
        </w:rPr>
        <w:t xml:space="preserve"> подраздела </w:t>
      </w:r>
      <w:r>
        <w:rPr>
          <w:sz w:val="22"/>
        </w:rPr>
        <w:fldChar w:fldCharType="begin"/>
      </w:r>
      <w:r>
        <w:rPr>
          <w:sz w:val="22"/>
        </w:rPr>
        <w:instrText xml:space="preserve"> REF _Ref125361435 \w \h </w:instrText>
      </w:r>
      <w:r>
        <w:rPr>
          <w:sz w:val="22"/>
        </w:rPr>
        <w:fldChar w:fldCharType="separate"/>
      </w:r>
      <w:r>
        <w:rPr>
          <w:sz w:val="22"/>
        </w:rPr>
        <w:t>8.2</w:t>
      </w:r>
      <w:r>
        <w:rPr>
          <w:sz w:val="22"/>
        </w:rPr>
        <w:fldChar w:fldCharType="end"/>
      </w:r>
      <w:r>
        <w:rPr>
          <w:sz w:val="22"/>
        </w:rPr>
        <w:t xml:space="preserve"> (</w:t>
      </w:r>
      <w:hyperlink w:anchor="Прил03_ТребованияУчастникам">
        <w:r>
          <w:rPr>
            <w:rStyle w:val="Style7"/>
            <w:sz w:val="22"/>
          </w:rPr>
          <w:t>Приложение № 3</w:t>
        </w:r>
      </w:hyperlink>
      <w:r>
        <w:rPr>
          <w:sz w:val="22"/>
        </w:rPr>
        <w:t xml:space="preserve">), следующие документы (скан-копии в формате </w:t>
      </w:r>
      <w:r>
        <w:rPr>
          <w:sz w:val="22"/>
          <w:lang w:val="en-US"/>
        </w:rPr>
        <w:t>pdf</w:t>
      </w:r>
      <w:r>
        <w:rPr>
          <w:sz w:val="22"/>
        </w:rPr>
        <w:t>):</w:t>
      </w:r>
      <w:bookmarkEnd w:id="234"/>
    </w:p>
    <w:p>
      <w:pPr>
        <w:pStyle w:val="Style22"/>
        <w:keepNext w:val="true"/>
        <w:rPr>
          <w:sz w:val="22"/>
        </w:rPr>
      </w:pPr>
      <w:r>
        <w:rPr>
          <w:sz w:val="22"/>
        </w:rPr>
        <w:t>для юридического лица:</w:t>
      </w:r>
    </w:p>
    <w:p>
      <w:pPr>
        <w:pStyle w:val="Style23"/>
        <w:rPr>
          <w:sz w:val="22"/>
        </w:rPr>
      </w:pPr>
      <w:r>
        <w:rPr>
          <w:sz w:val="22"/>
        </w:rPr>
        <w:t>копия устава в действующей редакции с отметкой ИФНС либо копия нотариально заверенного устава (с отметкой нотариуса);</w:t>
      </w:r>
    </w:p>
    <w:p>
      <w:pPr>
        <w:pStyle w:val="Style23"/>
        <w:rPr>
          <w:sz w:val="22"/>
        </w:rPr>
      </w:pPr>
      <w:bookmarkStart w:id="235" w:name="_Ref125638686"/>
      <w:r>
        <w:rPr>
          <w:sz w:val="22"/>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35"/>
    </w:p>
    <w:p>
      <w:pPr>
        <w:pStyle w:val="Style23"/>
        <w:rPr>
          <w:sz w:val="22"/>
        </w:rPr>
      </w:pPr>
      <w:r>
        <w:rPr>
          <w:sz w:val="22"/>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2"/>
        <w:rPr>
          <w:sz w:val="22"/>
        </w:rPr>
      </w:pPr>
      <w:r>
        <w:rPr>
          <w:sz w:val="22"/>
        </w:rPr>
        <w:t>для лица, зарегистрированного вне Российской Федерации: выписка из торгового реестра страны регистрации иностранного Участника;</w:t>
      </w:r>
    </w:p>
    <w:p>
      <w:pPr>
        <w:pStyle w:val="Style22"/>
        <w:rPr>
          <w:sz w:val="22"/>
        </w:rPr>
      </w:pPr>
      <w:r>
        <w:rPr>
          <w:sz w:val="22"/>
        </w:rPr>
        <w:t>для физического лица: нотариально заверенная копия всех страниц документа, удостоверяющего личность (паспорта);</w:t>
      </w:r>
    </w:p>
    <w:p>
      <w:pPr>
        <w:pStyle w:val="Style21"/>
        <w:rPr>
          <w:sz w:val="22"/>
        </w:rPr>
      </w:pPr>
      <w:r>
        <w:rPr>
          <w:sz w:val="22"/>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1"/>
        <w:rPr>
          <w:sz w:val="22"/>
        </w:rPr>
      </w:pPr>
      <w:r>
        <w:rPr>
          <w:sz w:val="22"/>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1"/>
        <w:keepNext w:val="true"/>
        <w:rPr>
          <w:sz w:val="22"/>
        </w:rPr>
      </w:pPr>
      <w:bookmarkStart w:id="236" w:name="_Ref132288402"/>
      <w:r>
        <w:rPr>
          <w:sz w:val="22"/>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36"/>
    </w:p>
    <w:p>
      <w:pPr>
        <w:pStyle w:val="Style22"/>
        <w:rPr>
          <w:sz w:val="22"/>
        </w:rPr>
      </w:pPr>
      <w:r>
        <w:rPr>
          <w:sz w:val="22"/>
        </w:rPr>
        <w:t>итоговый протокол по результатам закупки;</w:t>
      </w:r>
    </w:p>
    <w:p>
      <w:pPr>
        <w:pStyle w:val="Style22"/>
        <w:rPr>
          <w:sz w:val="22"/>
        </w:rPr>
      </w:pPr>
      <w:r>
        <w:rPr>
          <w:sz w:val="22"/>
        </w:rPr>
        <w:t>Извещение и Документация о закупке со всеми изменениями;</w:t>
      </w:r>
    </w:p>
    <w:p>
      <w:pPr>
        <w:pStyle w:val="Style22"/>
        <w:rPr>
          <w:sz w:val="22"/>
        </w:rPr>
      </w:pPr>
      <w:r>
        <w:rPr>
          <w:sz w:val="22"/>
        </w:rPr>
        <w:t>заявка Победителя со всеми дополнениями и разъяснениями.</w:t>
      </w:r>
    </w:p>
    <w:p>
      <w:pPr>
        <w:pStyle w:val="Style21"/>
        <w:rPr>
          <w:sz w:val="22"/>
        </w:rPr>
      </w:pPr>
      <w:r>
        <w:rPr>
          <w:sz w:val="22"/>
        </w:rPr>
        <w:t>Договор согласовывается и заключается с использованием функционала ЭП, в том числе подписывается усиленной квалифицированной электронной подписью уполномоченного лица Победителя и Заказчика соответственно.</w:t>
      </w:r>
    </w:p>
    <w:p>
      <w:pPr>
        <w:pStyle w:val="Style21"/>
        <w:rPr>
          <w:sz w:val="22"/>
        </w:rPr>
      </w:pPr>
      <w:r>
        <w:rPr>
          <w:sz w:val="22"/>
        </w:rPr>
        <w:t>В течение установленного в пункте </w:t>
      </w:r>
      <w:r>
        <w:rPr>
          <w:sz w:val="22"/>
        </w:rPr>
        <w:fldChar w:fldCharType="begin"/>
      </w:r>
      <w:r>
        <w:rPr>
          <w:sz w:val="22"/>
        </w:rPr>
        <w:instrText xml:space="preserve"> REF _Ref130293821 \r \h </w:instrText>
      </w:r>
      <w:r>
        <w:rPr>
          <w:sz w:val="22"/>
        </w:rPr>
        <w:fldChar w:fldCharType="separate"/>
      </w:r>
      <w:r>
        <w:rPr>
          <w:sz w:val="22"/>
        </w:rPr>
        <w:t>5.2.1</w:t>
      </w:r>
      <w:r>
        <w:rPr>
          <w:sz w:val="22"/>
        </w:rPr>
        <w:fldChar w:fldCharType="end"/>
      </w:r>
      <w:r>
        <w:rPr>
          <w:sz w:val="22"/>
        </w:rPr>
        <w:t xml:space="preserve"> срока Заказчик с использованием функционала ЭП направляет в адрес Победителя заполненный со своей стороны проект Договора.</w:t>
      </w:r>
    </w:p>
    <w:p>
      <w:pPr>
        <w:pStyle w:val="Style21"/>
        <w:rPr>
          <w:sz w:val="22"/>
        </w:rPr>
      </w:pPr>
      <w:bookmarkStart w:id="237" w:name="_Ref49437111"/>
      <w:r>
        <w:rPr>
          <w:sz w:val="22"/>
        </w:rPr>
        <w:t>В случае наличия у Победителя разногласий по направленному Заказчиком проекту Договора, Победитель составляет Протокол разногласий с указанием в нем своих замечаний к положениям проекта Договора, не соответствующим условиям настоящей Документации о закупке и (или) заявке Победителя (с приведением ссылок на конкретные пункты / положения данных документов, которым они не соответствуют). Протокол разногласий направляется Заказчику с использованием функционала ЭП. После рассмотрения указанного протокола разногласий Заказчик вправе направить Победителю доработанный проект Договора либо повторно направить исходный проект Договора с указанием в отдельном документе причин отказа учесть полностью или частично замечания, содержащиеся в протоколе разногласий Победителя.</w:t>
      </w:r>
      <w:bookmarkEnd w:id="237"/>
    </w:p>
    <w:p>
      <w:pPr>
        <w:pStyle w:val="Style21"/>
        <w:rPr>
          <w:sz w:val="22"/>
        </w:rPr>
      </w:pPr>
      <w:bookmarkStart w:id="238" w:name="_Ref125368506"/>
      <w:r>
        <w:rPr>
          <w:sz w:val="22"/>
        </w:rPr>
        <w:t xml:space="preserve">Сведения о заключенном Договоре в течение 3 (трех) рабочих дней со дня заключения такого Договора на ЭП вносятся Оператором ЭП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w:t>
      </w:r>
      <w:bookmarkStart w:id="239" w:name="_Hlk132806825"/>
      <w:r>
        <w:rPr>
          <w:sz w:val="22"/>
        </w:rPr>
        <w:t>соответствующая информация с указанием измененных условий Договора также размещается в ЕИС (если размещение таких сведений допустимо Законом 223-ФЗ)</w:t>
      </w:r>
      <w:bookmarkEnd w:id="239"/>
      <w:r>
        <w:rPr>
          <w:sz w:val="22"/>
        </w:rPr>
        <w:t>.</w:t>
      </w:r>
      <w:bookmarkEnd w:id="238"/>
    </w:p>
    <w:p>
      <w:pPr>
        <w:pStyle w:val="Style21"/>
        <w:rPr>
          <w:sz w:val="22"/>
        </w:rPr>
      </w:pPr>
      <w:r>
        <w:rPr>
          <w:sz w:val="22"/>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0"/>
        <w:rPr>
          <w:sz w:val="22"/>
        </w:rPr>
      </w:pPr>
      <w:bookmarkStart w:id="240" w:name="__RefHeading___Toc192571_1558056896"/>
      <w:bookmarkStart w:id="241" w:name="_Toc186224156"/>
      <w:bookmarkStart w:id="242" w:name="_Ref125367068"/>
      <w:bookmarkEnd w:id="240"/>
      <w:r>
        <w:rPr>
          <w:sz w:val="22"/>
        </w:rPr>
        <w:t>Уклонение Победителя от заключения Договора</w:t>
      </w:r>
      <w:bookmarkEnd w:id="241"/>
      <w:bookmarkEnd w:id="242"/>
    </w:p>
    <w:p>
      <w:pPr>
        <w:pStyle w:val="Style21"/>
        <w:keepNext w:val="true"/>
        <w:rPr>
          <w:sz w:val="22"/>
        </w:rPr>
      </w:pPr>
      <w:r>
        <w:rPr>
          <w:sz w:val="22"/>
        </w:rPr>
        <w:t>Если Победитель закупки:</w:t>
      </w:r>
    </w:p>
    <w:p>
      <w:pPr>
        <w:pStyle w:val="Style22"/>
        <w:rPr>
          <w:sz w:val="22"/>
        </w:rPr>
      </w:pPr>
      <w:r>
        <w:rPr>
          <w:sz w:val="22"/>
        </w:rPr>
        <w:t>не подпишет Договор в установленные Документацией о закупке сроки (пункт </w:t>
      </w:r>
      <w:r>
        <w:rPr>
          <w:sz w:val="22"/>
        </w:rPr>
        <w:fldChar w:fldCharType="begin"/>
      </w:r>
      <w:r>
        <w:rPr>
          <w:sz w:val="22"/>
        </w:rPr>
        <w:instrText xml:space="preserve"> REF _Ref130293821 \r \h </w:instrText>
      </w:r>
      <w:r>
        <w:rPr>
          <w:sz w:val="22"/>
        </w:rPr>
        <w:fldChar w:fldCharType="separate"/>
      </w:r>
      <w:r>
        <w:rPr>
          <w:sz w:val="22"/>
        </w:rPr>
        <w:t>5.2.1</w:t>
      </w:r>
      <w:r>
        <w:rPr>
          <w:sz w:val="22"/>
        </w:rPr>
        <w:fldChar w:fldCharType="end"/>
      </w:r>
      <w:r>
        <w:rPr>
          <w:sz w:val="22"/>
        </w:rPr>
        <w:t>);</w:t>
      </w:r>
    </w:p>
    <w:p>
      <w:pPr>
        <w:pStyle w:val="Style22"/>
        <w:rPr>
          <w:sz w:val="22"/>
        </w:rPr>
      </w:pPr>
      <w:r>
        <w:rPr>
          <w:sz w:val="22"/>
        </w:rPr>
        <w:t>откажется от подписания Договора на условиях, определяемых в соответствии с пунктом </w:t>
      </w:r>
      <w:r>
        <w:rPr>
          <w:sz w:val="22"/>
        </w:rPr>
        <w:fldChar w:fldCharType="begin"/>
      </w:r>
      <w:r>
        <w:rPr>
          <w:sz w:val="22"/>
        </w:rPr>
        <w:instrText xml:space="preserve"> REF _Ref132288402 \r \h </w:instrText>
      </w:r>
      <w:r>
        <w:rPr>
          <w:sz w:val="22"/>
        </w:rPr>
        <w:fldChar w:fldCharType="separate"/>
      </w:r>
      <w:r>
        <w:rPr>
          <w:sz w:val="22"/>
        </w:rPr>
        <w:t>5.2.8</w:t>
      </w:r>
      <w:r>
        <w:rPr>
          <w:sz w:val="22"/>
        </w:rPr>
        <w:fldChar w:fldCharType="end"/>
      </w:r>
      <w:r>
        <w:rPr>
          <w:sz w:val="22"/>
        </w:rPr>
        <w:t>;</w:t>
      </w:r>
    </w:p>
    <w:p>
      <w:pPr>
        <w:pStyle w:val="Style22"/>
        <w:rPr/>
      </w:pPr>
      <w:r>
        <w:rPr>
          <w:sz w:val="22"/>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7"/>
            <w:sz w:val="22"/>
          </w:rPr>
          <w:t>Приложение № 5</w:t>
        </w:r>
      </w:hyperlink>
      <w:r>
        <w:rPr>
          <w:sz w:val="22"/>
        </w:rPr>
        <w:t>), с приложением подтверждающих документов;</w:t>
      </w:r>
    </w:p>
    <w:p>
      <w:pPr>
        <w:pStyle w:val="Style22"/>
        <w:rPr/>
      </w:pPr>
      <w:r>
        <w:rPr>
          <w:sz w:val="22"/>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7"/>
            <w:sz w:val="22"/>
          </w:rPr>
          <w:t>Приложением № 5</w:t>
        </w:r>
      </w:hyperlink>
      <w:r>
        <w:rPr>
          <w:sz w:val="22"/>
        </w:rPr>
        <w:t>;</w:t>
      </w:r>
    </w:p>
    <w:p>
      <w:pPr>
        <w:pStyle w:val="Style22"/>
        <w:rPr/>
      </w:pPr>
      <w:r>
        <w:rPr>
          <w:sz w:val="22"/>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7"/>
            <w:sz w:val="22"/>
          </w:rPr>
          <w:t>Приложения № 1 – Технические требования</w:t>
        </w:r>
      </w:hyperlink>
      <w:r>
        <w:rPr>
          <w:sz w:val="22"/>
        </w:rPr>
        <w:t xml:space="preserve"> (в случае установления таковых);</w:t>
      </w:r>
    </w:p>
    <w:p>
      <w:pPr>
        <w:pStyle w:val="Style22"/>
        <w:rPr>
          <w:sz w:val="22"/>
        </w:rPr>
      </w:pPr>
      <w:r>
        <w:rPr>
          <w:sz w:val="22"/>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2"/>
        <w:rPr>
          <w:sz w:val="22"/>
        </w:rPr>
      </w:pPr>
      <w:r>
        <w:rPr>
          <w:sz w:val="22"/>
        </w:rPr>
        <w:t>не выполнит другие условия, прямо предусмотренные Документацией о закупке,</w:t>
      </w:r>
    </w:p>
    <w:p>
      <w:pPr>
        <w:pStyle w:val="Style25"/>
        <w:ind w:left="1134" w:hanging="0"/>
        <w:rPr>
          <w:sz w:val="22"/>
        </w:rPr>
      </w:pPr>
      <w:r>
        <w:rPr>
          <w:sz w:val="22"/>
        </w:rPr>
        <w:t>то он (по истечению установленных в подразделе </w:t>
      </w:r>
      <w:r>
        <w:rPr>
          <w:sz w:val="22"/>
        </w:rPr>
        <w:fldChar w:fldCharType="begin"/>
      </w:r>
      <w:r>
        <w:rPr>
          <w:sz w:val="22"/>
        </w:rPr>
        <w:instrText xml:space="preserve"> REF _Ref138341423 \r \h </w:instrText>
      </w:r>
      <w:r>
        <w:rPr>
          <w:sz w:val="22"/>
        </w:rPr>
        <w:fldChar w:fldCharType="separate"/>
      </w:r>
      <w:r>
        <w:rPr>
          <w:sz w:val="22"/>
        </w:rPr>
        <w:t>5.2</w:t>
      </w:r>
      <w:r>
        <w:rPr>
          <w:sz w:val="22"/>
        </w:rPr>
        <w:fldChar w:fldCharType="end"/>
      </w:r>
      <w:r>
        <w:rPr>
          <w:sz w:val="22"/>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19"/>
        <w:rPr>
          <w:sz w:val="22"/>
        </w:rPr>
      </w:pPr>
      <w:bookmarkStart w:id="243" w:name="__RefHeading___Toc192573_1558056896"/>
      <w:bookmarkStart w:id="244" w:name="_Ref125370732"/>
      <w:bookmarkStart w:id="245" w:name="_Ref125364201"/>
      <w:bookmarkStart w:id="246" w:name="_Toc186224157"/>
      <w:bookmarkStart w:id="247" w:name="_Ref125370746"/>
      <w:bookmarkStart w:id="248" w:name="_Ref125363016"/>
      <w:bookmarkStart w:id="249" w:name="_Ref125363023"/>
      <w:bookmarkStart w:id="250" w:name="_Ref125363034"/>
      <w:bookmarkStart w:id="251" w:name="_Ref125370741"/>
      <w:bookmarkStart w:id="252" w:name="_Ref125363600"/>
      <w:bookmarkStart w:id="253" w:name="_Ref125370750"/>
      <w:bookmarkStart w:id="254" w:name="_Ref125370843"/>
      <w:bookmarkStart w:id="255" w:name="Прил01_ТехТребования"/>
      <w:bookmarkStart w:id="256" w:name="_Ref125364088"/>
      <w:bookmarkStart w:id="257" w:name="_Ref125363752"/>
      <w:bookmarkEnd w:id="243"/>
      <w:r>
        <w:rPr>
          <w:sz w:val="22"/>
        </w:rPr>
        <w:t>Приложение № 1 – Технические требования</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pPr>
        <w:pStyle w:val="Style20"/>
        <w:rPr>
          <w:sz w:val="22"/>
        </w:rPr>
      </w:pPr>
      <w:bookmarkStart w:id="258" w:name="__RefHeading___Toc192575_1558056896"/>
      <w:bookmarkStart w:id="259" w:name="_Toc186224158"/>
      <w:bookmarkEnd w:id="258"/>
      <w:r>
        <w:rPr>
          <w:sz w:val="22"/>
        </w:rPr>
        <w:t>Пояснения к Техническим требованиям</w:t>
      </w:r>
      <w:bookmarkEnd w:id="259"/>
    </w:p>
    <w:p>
      <w:pPr>
        <w:pStyle w:val="Style21"/>
        <w:rPr>
          <w:sz w:val="22"/>
        </w:rPr>
      </w:pPr>
      <w:r>
        <w:rPr>
          <w:sz w:val="22"/>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19"/>
        <w:rPr>
          <w:sz w:val="22"/>
        </w:rPr>
      </w:pPr>
      <w:bookmarkStart w:id="260" w:name="__RefHeading___Toc192577_1558056896"/>
      <w:bookmarkStart w:id="261" w:name="_Ref125361746"/>
      <w:bookmarkStart w:id="262" w:name="_Toc186224159"/>
      <w:bookmarkStart w:id="263" w:name="_Ref125363040"/>
      <w:bookmarkStart w:id="264" w:name="_Ref125363605"/>
      <w:bookmarkStart w:id="265" w:name="_Ref125363759"/>
      <w:bookmarkStart w:id="266" w:name="_Ref125364206"/>
      <w:bookmarkStart w:id="267" w:name="_Ref125370754"/>
      <w:bookmarkStart w:id="268" w:name="Прил02_ПроектДоговора"/>
      <w:bookmarkStart w:id="269" w:name="_Ref125364081"/>
      <w:bookmarkEnd w:id="260"/>
      <w:r>
        <w:rPr>
          <w:sz w:val="22"/>
        </w:rPr>
        <w:t>Приложение № 2 – Проект договора</w:t>
      </w:r>
      <w:bookmarkEnd w:id="261"/>
      <w:bookmarkEnd w:id="262"/>
      <w:bookmarkEnd w:id="263"/>
      <w:bookmarkEnd w:id="264"/>
      <w:bookmarkEnd w:id="265"/>
      <w:bookmarkEnd w:id="266"/>
      <w:bookmarkEnd w:id="267"/>
      <w:bookmarkEnd w:id="268"/>
      <w:bookmarkEnd w:id="269"/>
    </w:p>
    <w:p>
      <w:pPr>
        <w:pStyle w:val="Style20"/>
        <w:rPr>
          <w:sz w:val="22"/>
        </w:rPr>
      </w:pPr>
      <w:bookmarkStart w:id="270" w:name="__RefHeading___Toc192579_1558056896"/>
      <w:bookmarkStart w:id="271" w:name="_Toc186224160"/>
      <w:bookmarkEnd w:id="270"/>
      <w:r>
        <w:rPr>
          <w:sz w:val="22"/>
        </w:rPr>
        <w:t>Пояснения к Проекту договора</w:t>
      </w:r>
      <w:bookmarkEnd w:id="271"/>
    </w:p>
    <w:p>
      <w:pPr>
        <w:pStyle w:val="Style21"/>
        <w:rPr>
          <w:sz w:val="22"/>
        </w:rPr>
      </w:pPr>
      <w:r>
        <w:rPr>
          <w:sz w:val="22"/>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1"/>
        <w:rPr>
          <w:sz w:val="22"/>
        </w:rPr>
      </w:pPr>
      <w:r>
        <w:rPr>
          <w:sz w:val="22"/>
        </w:rPr>
        <w:t>Все положения Проекта договора являются существенными условиями для Заказчика, за исключением пунктов договора, указанных в подразделе </w:t>
      </w:r>
      <w:r>
        <w:rPr>
          <w:sz w:val="22"/>
        </w:rPr>
        <w:fldChar w:fldCharType="begin"/>
      </w:r>
      <w:r>
        <w:rPr>
          <w:sz w:val="22"/>
        </w:rPr>
        <w:instrText xml:space="preserve"> REF _Ref132876309 \r \h </w:instrText>
      </w:r>
      <w:r>
        <w:rPr>
          <w:sz w:val="22"/>
        </w:rPr>
        <w:fldChar w:fldCharType="separate"/>
      </w:r>
      <w:r>
        <w:rPr>
          <w:sz w:val="22"/>
        </w:rPr>
        <w:t>1.2</w:t>
      </w:r>
      <w:r>
        <w:rPr>
          <w:sz w:val="22"/>
        </w:rPr>
        <w:fldChar w:fldCharType="end"/>
      </w:r>
      <w:r>
        <w:rPr>
          <w:sz w:val="22"/>
        </w:rPr>
        <w:t xml:space="preserve"> как «Некритичные пункты Проекта договора».</w:t>
      </w:r>
    </w:p>
    <w:p>
      <w:pPr>
        <w:pStyle w:val="Style21"/>
        <w:rPr>
          <w:sz w:val="22"/>
        </w:rPr>
      </w:pPr>
      <w:r>
        <w:rPr>
          <w:sz w:val="22"/>
        </w:rPr>
        <w:t>В соответствии с пунктом </w:t>
      </w:r>
      <w:r>
        <w:rPr>
          <w:sz w:val="22"/>
        </w:rPr>
        <w:fldChar w:fldCharType="begin"/>
      </w:r>
      <w:r>
        <w:rPr>
          <w:sz w:val="22"/>
        </w:rPr>
        <w:instrText xml:space="preserve"> REF _Ref49437111 \r \h </w:instrText>
      </w:r>
      <w:r>
        <w:rPr>
          <w:sz w:val="22"/>
        </w:rPr>
        <w:fldChar w:fldCharType="separate"/>
      </w:r>
      <w:r>
        <w:rPr>
          <w:sz w:val="22"/>
        </w:rPr>
        <w:t>5.2.11</w:t>
      </w:r>
      <w:r>
        <w:rPr>
          <w:sz w:val="22"/>
        </w:rPr>
        <w:fldChar w:fldCharType="end"/>
      </w:r>
      <w:r>
        <w:rPr>
          <w:sz w:val="22"/>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1"/>
        <w:rPr>
          <w:sz w:val="22"/>
        </w:rPr>
      </w:pPr>
      <w:r>
        <w:rPr>
          <w:sz w:val="22"/>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72" w:name="_MON_1736255517"/>
      <w:bookmarkEnd w:id="272"/>
    </w:p>
    <w:p>
      <w:pPr>
        <w:sectPr>
          <w:headerReference w:type="default" r:id="rId14"/>
          <w:headerReference w:type="first" r:id="rId15"/>
          <w:footerReference w:type="default" r:id="rId16"/>
          <w:footerReference w:type="first" r:id="rId1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5"/>
        <w:jc w:val="center"/>
        <w:rPr/>
      </w:pPr>
      <w:r>
        <w:rPr/>
        <w:object>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78.9pt;height:48.95pt;mso-wrap-distance-right:0pt" filled="f" o:ole="">
            <v:imagedata r:id="rId13" o:title=""/>
          </v:shape>
          <o:OLEObject Type="Embed" ProgID="Word.Document.12" ShapeID="ole_rId12" DrawAspect="Icon" ObjectID="_1427848182" r:id="rId12"/>
        </w:object>
      </w:r>
    </w:p>
    <w:p>
      <w:pPr>
        <w:pStyle w:val="Style19"/>
        <w:rPr>
          <w:sz w:val="22"/>
        </w:rPr>
      </w:pPr>
      <w:bookmarkStart w:id="273" w:name="__RefHeading___Toc192581_1558056896"/>
      <w:bookmarkStart w:id="274" w:name="_Toc186224161"/>
      <w:bookmarkStart w:id="275" w:name="_Ref125361908"/>
      <w:bookmarkStart w:id="276" w:name="_Ref125361494"/>
      <w:bookmarkStart w:id="277" w:name="_Ref125370013"/>
      <w:bookmarkStart w:id="278" w:name="_Ref125365476"/>
      <w:bookmarkStart w:id="279" w:name="Прил03_ТребованияУчастникам"/>
      <w:bookmarkEnd w:id="273"/>
      <w:r>
        <w:rPr>
          <w:sz w:val="22"/>
        </w:rPr>
        <w:t>Приложение № 3 – Требования к Участникам</w:t>
      </w:r>
      <w:bookmarkEnd w:id="274"/>
      <w:bookmarkEnd w:id="275"/>
      <w:bookmarkEnd w:id="276"/>
      <w:bookmarkEnd w:id="277"/>
      <w:bookmarkEnd w:id="278"/>
      <w:bookmarkEnd w:id="279"/>
    </w:p>
    <w:p>
      <w:pPr>
        <w:pStyle w:val="Style20"/>
        <w:rPr>
          <w:sz w:val="22"/>
        </w:rPr>
      </w:pPr>
      <w:bookmarkStart w:id="280" w:name="__RefHeading___Toc192583_1558056896"/>
      <w:bookmarkStart w:id="281" w:name="_Toc186224162"/>
      <w:bookmarkEnd w:id="280"/>
      <w:r>
        <w:rPr>
          <w:sz w:val="22"/>
        </w:rPr>
        <w:t>Пояснения к требованиям к Участникам</w:t>
      </w:r>
      <w:bookmarkEnd w:id="281"/>
    </w:p>
    <w:p>
      <w:pPr>
        <w:pStyle w:val="Style21"/>
        <w:rPr>
          <w:sz w:val="22"/>
        </w:rPr>
      </w:pPr>
      <w:bookmarkStart w:id="282" w:name="_Hlk125628168"/>
      <w:r>
        <w:rPr>
          <w:sz w:val="22"/>
        </w:rPr>
        <w:t>Чтобы претендовать на победу в закупке и получение права заключить Договор с Заказчиком, Участник самостоятельно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82"/>
    </w:p>
    <w:p>
      <w:pPr>
        <w:pStyle w:val="Style20"/>
        <w:spacing w:before="360" w:after="120"/>
        <w:rPr>
          <w:sz w:val="22"/>
        </w:rPr>
      </w:pPr>
      <w:bookmarkStart w:id="283" w:name="__RefHeading___Toc192585_1558056896"/>
      <w:bookmarkStart w:id="284" w:name="_Ref125369088"/>
      <w:bookmarkStart w:id="285" w:name="_Ref125368895"/>
      <w:bookmarkStart w:id="286" w:name="_Ref125366879"/>
      <w:bookmarkStart w:id="287" w:name="_Ref125361435"/>
      <w:bookmarkStart w:id="288" w:name="_Ref125361590"/>
      <w:bookmarkStart w:id="289" w:name="_Ref125361617"/>
      <w:bookmarkStart w:id="290" w:name="_Ref125361846"/>
      <w:bookmarkStart w:id="291" w:name="_Ref125368812"/>
      <w:bookmarkStart w:id="292" w:name="_Ref125370058"/>
      <w:bookmarkStart w:id="293" w:name="_Ref125370064"/>
      <w:bookmarkStart w:id="294" w:name="_Ref125370071"/>
      <w:bookmarkStart w:id="295" w:name="_Toc186224163"/>
      <w:bookmarkStart w:id="296" w:name="_Ref125361832"/>
      <w:bookmarkStart w:id="297" w:name="_Ref125361926"/>
      <w:bookmarkEnd w:id="283"/>
      <w:r>
        <w:rPr>
          <w:sz w:val="22"/>
        </w:rPr>
        <w:t>Обязательные требования</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tbl>
      <w:tblPr>
        <w:tblStyle w:val="afff3"/>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w:t>
            </w:r>
            <w:r>
              <w:rPr>
                <w:rFonts w:eastAsia="Calibri" w:cs=""/>
                <w:b/>
                <w:kern w:val="0"/>
                <w:sz w:val="22"/>
                <w:szCs w:val="22"/>
                <w:lang w:val="ru-RU" w:eastAsia="en-US" w:bidi="ar-SA"/>
              </w:rPr>
              <w:br/>
              <w:t>п/п</w:t>
            </w:r>
          </w:p>
        </w:tc>
        <w:tc>
          <w:tcPr>
            <w:tcW w:w="5671"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Требования к Участнику</w:t>
            </w:r>
          </w:p>
        </w:tc>
        <w:tc>
          <w:tcPr>
            <w:tcW w:w="8327"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5"/>
              <w:widowControl w:val="false"/>
              <w:numPr>
                <w:ilvl w:val="0"/>
                <w:numId w:val="2"/>
              </w:numPr>
              <w:suppressAutoHyphens w:val="true"/>
              <w:spacing w:before="60" w:after="60"/>
              <w:ind w:left="284" w:hanging="0"/>
              <w:jc w:val="center"/>
              <w:rPr>
                <w:rFonts w:eastAsia="Calibri"/>
                <w:sz w:val="22"/>
              </w:rPr>
            </w:pPr>
            <w:r>
              <w:rPr>
                <w:rFonts w:eastAsia="Calibri"/>
                <w:sz w:val="22"/>
              </w:rPr>
            </w:r>
            <w:bookmarkStart w:id="298" w:name="_Ref125552433"/>
            <w:bookmarkStart w:id="299" w:name="_Ref125552433"/>
            <w:bookmarkEnd w:id="299"/>
          </w:p>
        </w:tc>
        <w:tc>
          <w:tcPr>
            <w:tcW w:w="5671"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5"/>
              <w:widowControl w:val="false"/>
              <w:numPr>
                <w:ilvl w:val="0"/>
                <w:numId w:val="13"/>
              </w:numPr>
              <w:suppressAutoHyphens w:val="true"/>
              <w:spacing w:before="60" w:after="60"/>
              <w:ind w:left="284" w:hanging="284"/>
              <w:rPr>
                <w:rFonts w:eastAsia="Calibri"/>
                <w:sz w:val="22"/>
              </w:rPr>
            </w:pPr>
            <w:r>
              <w:rPr>
                <w:rFonts w:eastAsia="Calibri" w:cs=""/>
                <w:kern w:val="0"/>
                <w:sz w:val="22"/>
                <w:szCs w:val="22"/>
                <w:lang w:val="ru-RU" w:eastAsia="en-US" w:bidi="ar-SA"/>
              </w:rPr>
              <w:t>В отношении гражданской правоспособности:</w:t>
            </w:r>
          </w:p>
          <w:p>
            <w:pPr>
              <w:pStyle w:val="Style25"/>
              <w:widowControl w:val="false"/>
              <w:numPr>
                <w:ilvl w:val="0"/>
                <w:numId w:val="14"/>
              </w:numPr>
              <w:suppressAutoHyphens w:val="true"/>
              <w:spacing w:before="60" w:after="60"/>
              <w:ind w:left="568" w:hanging="284"/>
              <w:rPr>
                <w:rFonts w:eastAsia="Calibri"/>
                <w:sz w:val="22"/>
              </w:rPr>
            </w:pPr>
            <w:r>
              <w:rPr>
                <w:rFonts w:eastAsia="Calibri" w:cs=""/>
                <w:kern w:val="0"/>
                <w:sz w:val="22"/>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*.pdf) оригинала соответствующей доверенности либо ее нотариально заверенной копии (с указанием правомочий на подписание заявки);</w:t>
            </w:r>
          </w:p>
          <w:p>
            <w:pPr>
              <w:pStyle w:val="Style25"/>
              <w:widowControl w:val="false"/>
              <w:numPr>
                <w:ilvl w:val="0"/>
                <w:numId w:val="13"/>
              </w:numPr>
              <w:suppressAutoHyphens w:val="true"/>
              <w:spacing w:before="60" w:after="60"/>
              <w:ind w:left="284" w:hanging="284"/>
              <w:rPr>
                <w:rFonts w:eastAsia="Calibri"/>
                <w:sz w:val="22"/>
              </w:rPr>
            </w:pPr>
            <w:r>
              <w:rPr>
                <w:rFonts w:eastAsia="Calibri" w:cs=""/>
                <w:kern w:val="0"/>
                <w:sz w:val="22"/>
                <w:szCs w:val="22"/>
                <w:lang w:val="ru-RU" w:eastAsia="en-US" w:bidi="ar-SA"/>
              </w:rPr>
              <w:t>В отношении аккредитации:</w:t>
            </w:r>
          </w:p>
          <w:p>
            <w:pPr>
              <w:pStyle w:val="Style25"/>
              <w:widowControl w:val="false"/>
              <w:numPr>
                <w:ilvl w:val="0"/>
                <w:numId w:val="14"/>
              </w:numPr>
              <w:suppressAutoHyphens w:val="true"/>
              <w:spacing w:before="60" w:after="60"/>
              <w:ind w:left="568" w:hanging="284"/>
              <w:rPr>
                <w:rFonts w:eastAsia="Calibri"/>
                <w:sz w:val="22"/>
              </w:rPr>
            </w:pPr>
            <w:r>
              <w:rPr>
                <w:rFonts w:eastAsia="Calibri" w:cs=""/>
                <w:kern w:val="0"/>
                <w:sz w:val="22"/>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предоставление Заявки на аккредитацию не требуется;</w:t>
            </w:r>
          </w:p>
          <w:p>
            <w:pPr>
              <w:pStyle w:val="Style25"/>
              <w:widowControl w:val="false"/>
              <w:numPr>
                <w:ilvl w:val="0"/>
                <w:numId w:val="14"/>
              </w:numPr>
              <w:suppressAutoHyphens w:val="true"/>
              <w:spacing w:before="60" w:after="60"/>
              <w:ind w:left="568" w:hanging="284"/>
              <w:rPr/>
            </w:pPr>
            <w:r>
              <w:rPr>
                <w:rFonts w:eastAsia="Calibri" w:cs=""/>
                <w:kern w:val="0"/>
                <w:sz w:val="22"/>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 и обновленная Заявка на аккредитацию по установленной в Документации о закупке форме (</w:t>
            </w:r>
            <w:hyperlink w:anchor="Прил10_ФормаЗаявкиНаАккредитацию">
              <w:r>
                <w:rPr>
                  <w:rStyle w:val="Style7"/>
                  <w:rFonts w:eastAsia="Calibri" w:cs=""/>
                  <w:kern w:val="0"/>
                  <w:sz w:val="22"/>
                  <w:szCs w:val="22"/>
                  <w:lang w:val="ru-RU" w:eastAsia="en-US" w:bidi="ar-SA"/>
                </w:rPr>
                <w:t>Приложение № 10</w:t>
              </w:r>
            </w:hyperlink>
            <w:r>
              <w:rPr>
                <w:rFonts w:eastAsia="Calibri" w:cs=""/>
                <w:kern w:val="0"/>
                <w:sz w:val="22"/>
                <w:szCs w:val="22"/>
                <w:lang w:val="ru-RU" w:eastAsia="en-US" w:bidi="ar-SA"/>
              </w:rPr>
              <w:t>);</w:t>
            </w:r>
          </w:p>
          <w:p>
            <w:pPr>
              <w:pStyle w:val="Style25"/>
              <w:widowControl w:val="false"/>
              <w:numPr>
                <w:ilvl w:val="0"/>
                <w:numId w:val="14"/>
              </w:numPr>
              <w:suppressAutoHyphens w:val="true"/>
              <w:spacing w:before="60" w:after="60"/>
              <w:ind w:left="568" w:hanging="284"/>
              <w:rPr/>
            </w:pPr>
            <w:r>
              <w:rPr>
                <w:rFonts w:eastAsia="Calibri" w:cs=""/>
                <w:kern w:val="0"/>
                <w:sz w:val="22"/>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w:t>
            </w:r>
          </w:p>
          <w:p>
            <w:pPr>
              <w:pStyle w:val="Style25"/>
              <w:widowControl w:val="false"/>
              <w:numPr>
                <w:ilvl w:val="0"/>
                <w:numId w:val="14"/>
              </w:numPr>
              <w:suppressAutoHyphens w:val="true"/>
              <w:spacing w:before="60" w:after="60"/>
              <w:ind w:left="568" w:hanging="284"/>
              <w:rPr/>
            </w:pPr>
            <w:r>
              <w:rPr>
                <w:rFonts w:eastAsia="Calibri" w:cs=""/>
                <w:kern w:val="0"/>
                <w:sz w:val="22"/>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Заявка на аккредитацию по установленной в Документации о закупке форме (</w:t>
            </w:r>
            <w:hyperlink w:anchor="Прил10_ФормаЗаявкиНаАккредитацию">
              <w:r>
                <w:rPr>
                  <w:rStyle w:val="Style7"/>
                  <w:rFonts w:eastAsia="Calibri" w:cs=""/>
                  <w:kern w:val="0"/>
                  <w:sz w:val="22"/>
                  <w:szCs w:val="22"/>
                  <w:lang w:val="ru-RU" w:eastAsia="en-US" w:bidi="ar-SA"/>
                </w:rPr>
                <w:t>Приложение № 10</w:t>
              </w:r>
            </w:hyperlink>
            <w:r>
              <w:rPr>
                <w:rFonts w:eastAsia="Calibri" w:cs=""/>
                <w:kern w:val="0"/>
                <w:sz w:val="22"/>
                <w:szCs w:val="22"/>
                <w:lang w:val="ru-RU" w:eastAsia="en-US" w:bidi="ar-SA"/>
              </w:rPr>
              <w:t>).</w:t>
            </w:r>
          </w:p>
          <w:p>
            <w:pPr>
              <w:pStyle w:val="Style25"/>
              <w:widowControl w:val="false"/>
              <w:suppressAutoHyphens w:val="true"/>
              <w:spacing w:before="60" w:after="60"/>
              <w:ind w:left="284" w:hanging="0"/>
              <w:rPr>
                <w:rFonts w:eastAsia="Calibri"/>
                <w:sz w:val="22"/>
              </w:rPr>
            </w:pPr>
            <w:r>
              <w:rPr>
                <w:rFonts w:eastAsia="Calibri" w:cs=""/>
                <w:kern w:val="0"/>
                <w:sz w:val="22"/>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5"/>
              <w:widowControl w:val="false"/>
              <w:numPr>
                <w:ilvl w:val="0"/>
                <w:numId w:val="2"/>
              </w:numPr>
              <w:suppressAutoHyphens w:val="true"/>
              <w:spacing w:before="60" w:after="60"/>
              <w:ind w:left="284" w:hanging="0"/>
              <w:jc w:val="center"/>
              <w:rPr>
                <w:rFonts w:eastAsia="Calibri"/>
                <w:sz w:val="22"/>
              </w:rPr>
            </w:pPr>
            <w:r>
              <w:rPr>
                <w:rFonts w:eastAsia="Calibri"/>
                <w:sz w:val="22"/>
              </w:rPr>
            </w:r>
            <w:bookmarkStart w:id="300" w:name="_Ref132893662"/>
            <w:bookmarkStart w:id="301" w:name="_Ref132893662"/>
            <w:bookmarkEnd w:id="301"/>
          </w:p>
        </w:tc>
        <w:tc>
          <w:tcPr>
            <w:tcW w:w="5671"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5"/>
              <w:widowControl w:val="false"/>
              <w:suppressAutoHyphens w:val="true"/>
              <w:spacing w:before="60" w:after="60"/>
              <w:rPr/>
            </w:pPr>
            <w:r>
              <w:rPr>
                <w:rFonts w:eastAsia="Calibri" w:cs=""/>
                <w:kern w:val="0"/>
                <w:sz w:val="22"/>
                <w:szCs w:val="22"/>
                <w:lang w:val="ru-RU" w:eastAsia="en-US" w:bidi="ar-SA"/>
              </w:rPr>
              <w:t>Декларация о соответствии Участника данному требованию в составе в составе Письма о подаче оферты (форма 2)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5"/>
              <w:widowControl w:val="false"/>
              <w:numPr>
                <w:ilvl w:val="0"/>
                <w:numId w:val="2"/>
              </w:numPr>
              <w:suppressAutoHyphens w:val="true"/>
              <w:spacing w:before="60" w:after="60"/>
              <w:ind w:left="284" w:hanging="0"/>
              <w:jc w:val="center"/>
              <w:rPr>
                <w:rFonts w:eastAsia="Calibri"/>
                <w:sz w:val="22"/>
              </w:rPr>
            </w:pPr>
            <w:r>
              <w:rPr>
                <w:rFonts w:eastAsia="Calibri"/>
                <w:sz w:val="22"/>
              </w:rPr>
            </w:r>
            <w:bookmarkStart w:id="302" w:name="_Ref139029906"/>
            <w:bookmarkStart w:id="303" w:name="_Ref139029906"/>
            <w:bookmarkEnd w:id="303"/>
          </w:p>
        </w:tc>
        <w:tc>
          <w:tcPr>
            <w:tcW w:w="5671"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2"/>
                <w:szCs w:val="22"/>
                <w:lang w:val="ru-RU" w:eastAsia="en-US" w:bidi="ar-SA"/>
              </w:rPr>
              <w:footnoteReference w:id="12"/>
            </w:r>
            <w:r>
              <w:rPr>
                <w:rFonts w:eastAsia="Calibri" w:cs=""/>
                <w:kern w:val="0"/>
                <w:sz w:val="22"/>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2"/>
                <w:szCs w:val="22"/>
                <w:lang w:val="ru-RU" w:eastAsia="en-US" w:bidi="ar-SA"/>
              </w:rPr>
              <w:footnoteReference w:id="13"/>
            </w:r>
            <w:r>
              <w:rPr>
                <w:rFonts w:eastAsia="Calibri" w:cs=""/>
                <w:kern w:val="0"/>
                <w:sz w:val="22"/>
                <w:szCs w:val="22"/>
                <w:lang w:val="ru-RU" w:eastAsia="en-US" w:bidi="ar-SA"/>
              </w:rPr>
              <w:t>:</w:t>
            </w:r>
          </w:p>
        </w:tc>
        <w:tc>
          <w:tcPr>
            <w:tcW w:w="8327"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Предоставление документов не требуется.</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5"/>
              <w:widowControl w:val="false"/>
              <w:numPr>
                <w:ilvl w:val="0"/>
                <w:numId w:val="2"/>
              </w:numPr>
              <w:suppressAutoHyphens w:val="true"/>
              <w:spacing w:before="60" w:after="60"/>
              <w:ind w:left="284" w:hanging="0"/>
              <w:jc w:val="center"/>
              <w:rPr>
                <w:rFonts w:eastAsia="Calibri"/>
                <w:sz w:val="22"/>
              </w:rPr>
            </w:pPr>
            <w:r>
              <w:rPr>
                <w:rFonts w:eastAsia="Calibri"/>
                <w:sz w:val="22"/>
              </w:rPr>
            </w:r>
            <w:bookmarkStart w:id="304" w:name="_Ref186181914"/>
            <w:bookmarkStart w:id="305" w:name="_Ref186181914"/>
            <w:bookmarkEnd w:id="305"/>
          </w:p>
        </w:tc>
        <w:tc>
          <w:tcPr>
            <w:tcW w:w="5671"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Если в подразделе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_Ref125359973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1.2</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25"/>
              <w:widowControl w:val="false"/>
              <w:suppressAutoHyphens w:val="true"/>
              <w:spacing w:before="60" w:after="60"/>
              <w:rPr/>
            </w:pPr>
            <w:r>
              <w:rPr>
                <w:rFonts w:eastAsia="Calibri" w:cs=""/>
                <w:kern w:val="0"/>
                <w:sz w:val="22"/>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25"/>
              <w:widowControl w:val="false"/>
              <w:numPr>
                <w:ilvl w:val="0"/>
                <w:numId w:val="2"/>
              </w:numPr>
              <w:suppressAutoHyphens w:val="true"/>
              <w:spacing w:before="60" w:after="60"/>
              <w:ind w:left="284" w:hanging="0"/>
              <w:jc w:val="center"/>
              <w:rPr>
                <w:rFonts w:eastAsia="Calibri"/>
                <w:sz w:val="22"/>
              </w:rPr>
            </w:pPr>
            <w:r>
              <w:rPr>
                <w:rFonts w:eastAsia="Calibri"/>
                <w:sz w:val="22"/>
              </w:rPr>
            </w:r>
            <w:bookmarkStart w:id="306" w:name="_Ref186181918"/>
            <w:bookmarkStart w:id="307" w:name="_Ref186181918"/>
            <w:bookmarkEnd w:id="307"/>
          </w:p>
        </w:tc>
        <w:tc>
          <w:tcPr>
            <w:tcW w:w="5671"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Если в подразделе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_Ref125359973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1.2</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25"/>
              <w:widowControl w:val="false"/>
              <w:suppressAutoHyphens w:val="true"/>
              <w:spacing w:before="60" w:after="60"/>
              <w:rPr/>
            </w:pPr>
            <w:r>
              <w:rPr>
                <w:rFonts w:eastAsia="Calibri" w:cs=""/>
                <w:kern w:val="0"/>
                <w:sz w:val="22"/>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0"/>
        <w:spacing w:before="360" w:after="120"/>
        <w:rPr>
          <w:rFonts w:eastAsia="Calibri" w:cs="" w:cstheme="minorBidi" w:eastAsiaTheme="minorHAnsi"/>
          <w:highlight w:val="none"/>
          <w:shd w:fill="FFFFFF" w:val="clear"/>
        </w:rPr>
      </w:pPr>
      <w:bookmarkStart w:id="308" w:name="__RefHeading___Toc192587_1558056896"/>
      <w:bookmarkStart w:id="309" w:name="_Ref125365459"/>
      <w:bookmarkStart w:id="310" w:name="_Ref125367521"/>
      <w:bookmarkStart w:id="311" w:name="_Ref125361442"/>
      <w:bookmarkStart w:id="312" w:name="_Ref125361633"/>
      <w:bookmarkStart w:id="313" w:name="_Ref125361671"/>
      <w:bookmarkStart w:id="314" w:name="_Ref125361869"/>
      <w:bookmarkStart w:id="315" w:name="_Ref125361937"/>
      <w:bookmarkStart w:id="316" w:name="_Ref125368818"/>
      <w:bookmarkStart w:id="317" w:name="_Ref125368916"/>
      <w:bookmarkStart w:id="318" w:name="_Ref125368901"/>
      <w:bookmarkStart w:id="319" w:name="_Toc186224164"/>
      <w:bookmarkStart w:id="320" w:name="_Ref125709401"/>
      <w:bookmarkStart w:id="321" w:name="_Ref125709153"/>
      <w:bookmarkStart w:id="322" w:name="_Ref125370079"/>
      <w:bookmarkStart w:id="323" w:name="_Ref125369099"/>
      <w:bookmarkStart w:id="324" w:name="_Ref125709250"/>
      <w:bookmarkStart w:id="325" w:name="_Ref125367539"/>
      <w:bookmarkStart w:id="326" w:name="_Ref125709888"/>
      <w:bookmarkEnd w:id="308"/>
      <w:r>
        <w:rPr>
          <w:rFonts w:eastAsia="Calibri" w:cs="" w:cstheme="minorBidi" w:eastAsiaTheme="minorHAnsi"/>
          <w:sz w:val="22"/>
          <w:shd w:fill="FFFFFF" w:val="clear"/>
        </w:rPr>
        <w:t>Специальные требования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tbl>
      <w:tblPr>
        <w:tblStyle w:val="afff3"/>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w:t>
            </w:r>
            <w:r>
              <w:rPr>
                <w:rFonts w:eastAsia="Calibri" w:cs=""/>
                <w:b/>
                <w:kern w:val="0"/>
                <w:sz w:val="22"/>
                <w:szCs w:val="22"/>
                <w:lang w:val="ru-RU" w:eastAsia="en-US" w:bidi="ar-SA"/>
              </w:rPr>
              <w:br/>
              <w:t>п/п</w:t>
            </w:r>
          </w:p>
        </w:tc>
        <w:tc>
          <w:tcPr>
            <w:tcW w:w="5671"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Требования к Участнику</w:t>
            </w:r>
          </w:p>
        </w:tc>
        <w:tc>
          <w:tcPr>
            <w:tcW w:w="8327"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5"/>
              <w:widowControl w:val="false"/>
              <w:numPr>
                <w:ilvl w:val="0"/>
                <w:numId w:val="3"/>
              </w:numPr>
              <w:suppressAutoHyphens w:val="true"/>
              <w:spacing w:before="60" w:after="60"/>
              <w:ind w:left="284" w:hanging="0"/>
              <w:jc w:val="center"/>
              <w:rPr>
                <w:rFonts w:eastAsia="Calibri"/>
                <w:sz w:val="22"/>
              </w:rPr>
            </w:pPr>
            <w:r>
              <w:rPr>
                <w:rFonts w:eastAsia="Calibri"/>
                <w:sz w:val="22"/>
              </w:rPr>
            </w:r>
          </w:p>
        </w:tc>
        <w:tc>
          <w:tcPr>
            <w:tcW w:w="5671" w:type="dxa"/>
            <w:tcBorders>
              <w:right w:val="nil"/>
            </w:tcBorders>
          </w:tcPr>
          <w:p>
            <w:pPr>
              <w:pStyle w:val="Normal"/>
              <w:widowControl w:val="false"/>
              <w:tabs>
                <w:tab w:val="clear" w:pos="720"/>
                <w:tab w:val="left" w:pos="426" w:leader="none"/>
              </w:tabs>
              <w:spacing w:before="120" w:after="120"/>
              <w:jc w:val="both"/>
              <w:rPr>
                <w:rFonts w:eastAsia="Calibri"/>
                <w:i/>
                <w:i/>
                <w:sz w:val="22"/>
                <w:szCs w:val="22"/>
              </w:rPr>
            </w:pPr>
            <w:r>
              <w:rPr>
                <w:rFonts w:eastAsia="Calibri"/>
                <w:i/>
                <w:sz w:val="22"/>
                <w:szCs w:val="22"/>
              </w:rPr>
              <w:t>В соответствии со ст. 55.8 Градостроительного кодекса РФ от 29.12.2004 № 190-ФЗ: Участник закупки должен быть (в течение срока действия заявки на участие в закупке) членом саморегулируемой организации, основанной на членстве лиц:</w:t>
            </w:r>
          </w:p>
          <w:p>
            <w:pPr>
              <w:pStyle w:val="ListParagraph"/>
              <w:widowControl w:val="false"/>
              <w:numPr>
                <w:ilvl w:val="0"/>
                <w:numId w:val="3"/>
              </w:numPr>
              <w:tabs>
                <w:tab w:val="clear" w:pos="720"/>
                <w:tab w:val="left" w:pos="426" w:leader="none"/>
              </w:tabs>
              <w:spacing w:before="60" w:after="60"/>
              <w:ind w:left="380" w:hanging="380"/>
              <w:contextualSpacing/>
              <w:jc w:val="both"/>
              <w:rPr>
                <w:i/>
                <w:i/>
                <w:sz w:val="22"/>
                <w:szCs w:val="22"/>
              </w:rPr>
            </w:pPr>
            <w:r>
              <w:rPr>
                <w:i/>
                <w:sz w:val="22"/>
                <w:szCs w:val="22"/>
              </w:rPr>
              <w:t>осуществляющих строительство</w:t>
            </w:r>
            <w:r>
              <w:rPr>
                <w:i/>
                <w:sz w:val="22"/>
                <w:szCs w:val="22"/>
                <w:vertAlign w:val="superscript"/>
              </w:rPr>
              <w:t>1</w:t>
            </w:r>
            <w:r>
              <w:rPr>
                <w:i/>
                <w:sz w:val="22"/>
                <w:szCs w:val="22"/>
              </w:rPr>
              <w:t>, и зарегистрированной на территории субъекта Российской Федерации, в котором зарегистрирован Участник (с учетом исключений, предусмотренных законодательством),</w:t>
            </w:r>
          </w:p>
          <w:p>
            <w:pPr>
              <w:pStyle w:val="Normal"/>
              <w:widowControl w:val="false"/>
              <w:tabs>
                <w:tab w:val="clear" w:pos="720"/>
                <w:tab w:val="left" w:pos="426" w:leader="none"/>
              </w:tabs>
              <w:spacing w:before="120" w:after="120"/>
              <w:jc w:val="both"/>
              <w:rPr>
                <w:i/>
                <w:i/>
                <w:sz w:val="22"/>
                <w:szCs w:val="22"/>
              </w:rPr>
            </w:pPr>
            <w:r>
              <w:rPr>
                <w:rFonts w:eastAsia="Calibri"/>
                <w:i/>
                <w:sz w:val="22"/>
                <w:szCs w:val="22"/>
              </w:rPr>
              <w:t xml:space="preserve">и иметь право выполнять работы в отношении объектов капитального строительства, кроме </w:t>
            </w:r>
            <w:r>
              <w:rPr>
                <w:i/>
                <w:sz w:val="22"/>
                <w:szCs w:val="22"/>
              </w:rPr>
              <w:t>особо опасных, технически сложных и уникальных объектов капитального строительства и объектов использования атомной энергии) *.</w:t>
            </w:r>
          </w:p>
          <w:p>
            <w:pPr>
              <w:pStyle w:val="Normal"/>
              <w:widowControl w:val="false"/>
              <w:tabs>
                <w:tab w:val="clear" w:pos="720"/>
                <w:tab w:val="left" w:pos="426" w:leader="none"/>
              </w:tabs>
              <w:spacing w:before="120" w:after="120"/>
              <w:jc w:val="both"/>
              <w:rPr>
                <w:i/>
                <w:i/>
                <w:sz w:val="22"/>
                <w:szCs w:val="22"/>
              </w:rPr>
            </w:pPr>
            <w:r>
              <w:rPr>
                <w:i/>
                <w:sz w:val="22"/>
                <w:szCs w:val="22"/>
              </w:rPr>
              <w:t>При этом:</w:t>
            </w:r>
          </w:p>
          <w:p>
            <w:pPr>
              <w:pStyle w:val="Normal"/>
              <w:widowControl w:val="false"/>
              <w:tabs>
                <w:tab w:val="clear" w:pos="720"/>
                <w:tab w:val="left" w:pos="426" w:leader="none"/>
              </w:tabs>
              <w:spacing w:before="120" w:after="120"/>
              <w:jc w:val="both"/>
              <w:rPr>
                <w:i/>
                <w:i/>
                <w:sz w:val="22"/>
                <w:szCs w:val="22"/>
              </w:rPr>
            </w:pPr>
            <w:r>
              <w:rPr>
                <w:i/>
                <w:sz w:val="22"/>
                <w:szCs w:val="22"/>
                <w:u w:val="single"/>
              </w:rPr>
              <w:t>в отношении выполнения строительных работ:</w:t>
            </w:r>
          </w:p>
          <w:p>
            <w:pPr>
              <w:pStyle w:val="ListParagraph"/>
              <w:widowControl w:val="false"/>
              <w:numPr>
                <w:ilvl w:val="0"/>
                <w:numId w:val="3"/>
              </w:numPr>
              <w:tabs>
                <w:tab w:val="clear" w:pos="720"/>
                <w:tab w:val="left" w:pos="426" w:leader="none"/>
              </w:tabs>
              <w:spacing w:before="60" w:after="60"/>
              <w:ind w:left="380" w:hanging="380"/>
              <w:contextualSpacing/>
              <w:jc w:val="both"/>
              <w:rPr>
                <w:i/>
                <w:i/>
                <w:sz w:val="22"/>
                <w:szCs w:val="22"/>
              </w:rPr>
            </w:pPr>
            <w:r>
              <w:rPr>
                <w:rFonts w:eastAsia="Times New Roman"/>
                <w:i/>
                <w:sz w:val="22"/>
                <w:szCs w:val="22"/>
              </w:rPr>
              <w:t>уровень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w:t>
            </w:r>
          </w:p>
          <w:p>
            <w:pPr>
              <w:pStyle w:val="ListParagraph"/>
              <w:widowControl w:val="false"/>
              <w:numPr>
                <w:ilvl w:val="0"/>
                <w:numId w:val="3"/>
              </w:numPr>
              <w:tabs>
                <w:tab w:val="clear" w:pos="720"/>
                <w:tab w:val="left" w:pos="426" w:leader="none"/>
              </w:tabs>
              <w:spacing w:before="60" w:after="60"/>
              <w:ind w:left="380" w:hanging="380"/>
              <w:contextualSpacing/>
              <w:jc w:val="both"/>
              <w:rPr>
                <w:i/>
                <w:i/>
                <w:sz w:val="22"/>
                <w:szCs w:val="22"/>
              </w:rPr>
            </w:pPr>
            <w:r>
              <w:rPr>
                <w:i/>
                <w:sz w:val="22"/>
                <w:szCs w:val="22"/>
              </w:rPr>
              <w:t>уровень</w:t>
            </w:r>
            <w:r>
              <w:rPr>
                <w:rFonts w:eastAsia="Times New Roman"/>
                <w:i/>
                <w:sz w:val="22"/>
                <w:szCs w:val="22"/>
              </w:rPr>
              <w:t xml:space="preserve">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 </w:t>
            </w:r>
            <w:r>
              <w:rPr>
                <w:i/>
                <w:sz w:val="22"/>
                <w:szCs w:val="22"/>
              </w:rPr>
              <w:t>а также (в случае их наличия в Технических требованиях</w:t>
            </w:r>
            <w:r>
              <w:rPr>
                <w:rFonts w:eastAsia="Cambria"/>
                <w:i/>
                <w:sz w:val="22"/>
                <w:szCs w:val="22"/>
              </w:rPr>
              <w:t>) поставки оборудования и материально-технических ресурсов.</w:t>
            </w:r>
          </w:p>
          <w:p>
            <w:pPr>
              <w:pStyle w:val="ListParagraph"/>
              <w:widowControl w:val="false"/>
              <w:tabs>
                <w:tab w:val="clear" w:pos="720"/>
                <w:tab w:val="left" w:pos="322" w:leader="none"/>
              </w:tabs>
              <w:spacing w:before="20" w:after="20"/>
              <w:ind w:left="463" w:hanging="463"/>
              <w:contextualSpacing/>
              <w:jc w:val="both"/>
              <w:rPr>
                <w:rStyle w:val="Style12"/>
                <w:b w:val="false"/>
                <w:sz w:val="20"/>
                <w:szCs w:val="20"/>
                <w:shd w:fill="auto" w:val="clear"/>
              </w:rPr>
            </w:pPr>
            <w:r>
              <w:rPr>
                <w:rFonts w:eastAsia="Times New Roman"/>
                <w:i/>
                <w:sz w:val="20"/>
                <w:szCs w:val="20"/>
              </w:rPr>
              <w:t xml:space="preserve">1 </w:t>
            </w:r>
            <w:r>
              <w:rPr>
                <w:i/>
                <w:sz w:val="20"/>
                <w:szCs w:val="20"/>
              </w:rPr>
              <w:t>–</w:t>
            </w:r>
            <w:r>
              <w:rPr>
                <w:rFonts w:eastAsia="Times New Roman"/>
                <w:i/>
                <w:sz w:val="20"/>
                <w:szCs w:val="20"/>
              </w:rPr>
              <w:t xml:space="preserve"> Не требуется членство в СРО в области строительства Участникам закупки:</w:t>
            </w:r>
          </w:p>
          <w:p>
            <w:pPr>
              <w:pStyle w:val="ListParagraph"/>
              <w:widowControl w:val="false"/>
              <w:numPr>
                <w:ilvl w:val="0"/>
                <w:numId w:val="4"/>
              </w:numPr>
              <w:tabs>
                <w:tab w:val="clear" w:pos="720"/>
                <w:tab w:val="left" w:pos="142" w:leader="none"/>
              </w:tabs>
              <w:spacing w:before="20" w:after="20"/>
              <w:ind w:left="720" w:hanging="257"/>
              <w:contextualSpacing/>
              <w:jc w:val="both"/>
              <w:rPr>
                <w:rFonts w:eastAsia="Times New Roman"/>
                <w:i/>
                <w:i/>
                <w:sz w:val="20"/>
                <w:szCs w:val="20"/>
              </w:rPr>
            </w:pPr>
            <w:r>
              <w:rPr>
                <w:rFonts w:eastAsia="Times New Roman"/>
                <w:i/>
                <w:sz w:val="20"/>
                <w:szCs w:val="20"/>
              </w:rPr>
              <w:t>перечисленным в ч. 2.2 ст. 52 ГрК РФ;</w:t>
            </w:r>
          </w:p>
          <w:p>
            <w:pPr>
              <w:pStyle w:val="ListParagraph"/>
              <w:widowControl w:val="false"/>
              <w:numPr>
                <w:ilvl w:val="0"/>
                <w:numId w:val="4"/>
              </w:numPr>
              <w:tabs>
                <w:tab w:val="clear" w:pos="720"/>
                <w:tab w:val="left" w:pos="142" w:leader="none"/>
              </w:tabs>
              <w:spacing w:before="20" w:after="20"/>
              <w:ind w:left="720" w:hanging="257"/>
              <w:contextualSpacing/>
              <w:jc w:val="both"/>
              <w:rPr>
                <w:i/>
                <w:i/>
                <w:iCs/>
                <w:sz w:val="22"/>
                <w:szCs w:val="22"/>
              </w:rPr>
            </w:pPr>
            <w:r>
              <w:rPr>
                <w:rFonts w:eastAsia="Times New Roman"/>
                <w:i/>
                <w:sz w:val="20"/>
                <w:szCs w:val="20"/>
              </w:rPr>
              <w:t>предложивших</w:t>
            </w:r>
            <w:r>
              <w:rPr>
                <w:i/>
                <w:sz w:val="20"/>
                <w:szCs w:val="20"/>
              </w:rPr>
              <w:t xml:space="preserve"> цену договора, не превышающую 10 млн. руб., в соответствии с ч. 2.1 ст. 52 ГрК РФ;</w:t>
            </w:r>
          </w:p>
          <w:p>
            <w:pPr>
              <w:pStyle w:val="Normal"/>
              <w:widowControl w:val="false"/>
              <w:tabs>
                <w:tab w:val="clear" w:pos="720"/>
                <w:tab w:val="left" w:pos="142" w:leader="none"/>
              </w:tabs>
              <w:spacing w:before="20" w:after="20"/>
              <w:ind w:left="463" w:hanging="425"/>
              <w:jc w:val="both"/>
              <w:rPr>
                <w:rFonts w:eastAsia="Calibri"/>
                <w:i/>
                <w:i/>
                <w:iCs/>
                <w:sz w:val="22"/>
                <w:szCs w:val="22"/>
              </w:rPr>
            </w:pPr>
            <w:r>
              <w:rPr>
                <w:rFonts w:eastAsia="Calibri" w:cs=""/>
                <w:i/>
                <w:iCs/>
                <w:kern w:val="0"/>
                <w:sz w:val="20"/>
                <w:szCs w:val="20"/>
                <w:lang w:val="en-US" w:eastAsia="en-US" w:bidi="ar-SA"/>
              </w:rPr>
              <w:t>2 – Не требуется членство в СРО в области архитектурно-строительного проектирования Участникам закупки, перечисленным в ч. 4.1 ст. 48 ГрК РФ.</w:t>
            </w:r>
          </w:p>
        </w:tc>
        <w:tc>
          <w:tcPr>
            <w:tcW w:w="8327" w:type="dxa"/>
            <w:tcBorders/>
          </w:tcPr>
          <w:p>
            <w:pPr>
              <w:pStyle w:val="Normal"/>
              <w:widowControl w:val="false"/>
              <w:tabs>
                <w:tab w:val="clear" w:pos="720"/>
                <w:tab w:val="left" w:pos="426" w:leader="none"/>
              </w:tabs>
              <w:spacing w:before="60" w:after="0"/>
              <w:jc w:val="both"/>
              <w:rPr>
                <w:rFonts w:eastAsia="Calibri"/>
                <w:i/>
                <w:i/>
                <w:sz w:val="22"/>
                <w:szCs w:val="22"/>
                <w:shd w:fill="auto" w:val="clear"/>
              </w:rPr>
            </w:pPr>
            <w:r>
              <w:rPr>
                <w:rFonts w:eastAsia="Calibri"/>
                <w:i/>
                <w:sz w:val="22"/>
                <w:szCs w:val="22"/>
                <w:shd w:fill="auto" w:val="clear"/>
              </w:rPr>
              <w:t>Предоставление документов не требуется.</w:t>
            </w:r>
          </w:p>
          <w:p>
            <w:pPr>
              <w:pStyle w:val="Normal"/>
              <w:widowControl w:val="false"/>
              <w:tabs>
                <w:tab w:val="clear" w:pos="720"/>
                <w:tab w:val="left" w:pos="426" w:leader="none"/>
              </w:tabs>
              <w:spacing w:before="60" w:after="0"/>
              <w:jc w:val="both"/>
              <w:rPr>
                <w:rFonts w:eastAsia="Calibri"/>
                <w:i/>
                <w:i/>
                <w:iCs/>
                <w:sz w:val="22"/>
                <w:szCs w:val="22"/>
                <w:shd w:fill="auto" w:val="clear"/>
              </w:rPr>
            </w:pPr>
            <w:r>
              <w:rPr>
                <w:rFonts w:eastAsia="Calibri"/>
                <w:i/>
                <w:iCs/>
                <w:sz w:val="22"/>
                <w:szCs w:val="22"/>
                <w:shd w:fill="auto" w:val="clear"/>
              </w:rPr>
              <w:t>(На стадии рассмотрения заявок Организатор проверяет наличие информации об Участнике в Едином реестре сведений о членах СРО и их обязательствах, а также осуществляет оценку соответствия уровня его ответственности по общедоступным ресурсам:</w:t>
            </w:r>
          </w:p>
          <w:p>
            <w:pPr>
              <w:pStyle w:val="Normal"/>
              <w:widowControl w:val="false"/>
              <w:numPr>
                <w:ilvl w:val="0"/>
                <w:numId w:val="3"/>
              </w:numPr>
              <w:tabs>
                <w:tab w:val="clear" w:pos="720"/>
                <w:tab w:val="left" w:pos="320" w:leader="none"/>
              </w:tabs>
              <w:spacing w:before="60" w:after="0"/>
              <w:ind w:left="320" w:hanging="313"/>
              <w:jc w:val="both"/>
              <w:rPr>
                <w:b w:val="false"/>
                <w:iCs/>
                <w:sz w:val="22"/>
                <w:szCs w:val="22"/>
              </w:rPr>
            </w:pPr>
            <w:r>
              <w:rPr>
                <w:rStyle w:val="Style12"/>
                <w:rFonts w:eastAsia="Calibri" w:cs=""/>
                <w:b w:val="false"/>
                <w:i/>
                <w:iCs/>
                <w:color w:val="00000A"/>
                <w:kern w:val="0"/>
                <w:sz w:val="22"/>
                <w:szCs w:val="22"/>
                <w:shd w:fill="auto" w:val="clear"/>
                <w:lang w:val="en-US" w:eastAsia="en-US" w:bidi="ar-SA"/>
              </w:rPr>
              <w:t>Национальное объединение строителей НОСТРОЙ - сервис «Единый реестр членов СРО» (</w:t>
            </w:r>
            <w:hyperlink r:id="rId18">
              <w:r>
                <w:rPr>
                  <w:rFonts w:eastAsia="Calibri" w:cs=""/>
                  <w:b w:val="false"/>
                  <w:i/>
                  <w:iCs/>
                  <w:color w:val="00000A"/>
                  <w:kern w:val="0"/>
                  <w:sz w:val="22"/>
                  <w:szCs w:val="22"/>
                  <w:shd w:fill="auto" w:val="clear"/>
                  <w:lang w:val="en-US" w:eastAsia="en-US" w:bidi="ar-SA"/>
                </w:rPr>
                <w:t>https://reestr.nostroy.ru/sro/all/member/list)</w:t>
              </w:r>
            </w:hyperlink>
            <w:r>
              <w:rPr>
                <w:rStyle w:val="Style12"/>
                <w:rFonts w:eastAsia="Calibri" w:cs=""/>
                <w:b w:val="false"/>
                <w:i/>
                <w:iCs/>
                <w:color w:val="00000A"/>
                <w:kern w:val="0"/>
                <w:sz w:val="22"/>
                <w:szCs w:val="22"/>
                <w:shd w:fill="auto" w:val="clear"/>
                <w:lang w:val="en-US" w:eastAsia="en-US" w:bidi="ar-SA"/>
              </w:rPr>
              <w:t>; строительство, реконструкция, капитальный ремонт объектов капитального строительства</w:t>
            </w:r>
          </w:p>
        </w:tc>
      </w:tr>
    </w:tbl>
    <w:p>
      <w:pPr>
        <w:pStyle w:val="Style20"/>
        <w:spacing w:before="360" w:after="120"/>
        <w:rPr>
          <w:sz w:val="22"/>
        </w:rPr>
      </w:pPr>
      <w:bookmarkStart w:id="327" w:name="__RefHeading___Toc192589_1558056896"/>
      <w:bookmarkStart w:id="328" w:name="_Ref125370209"/>
      <w:bookmarkStart w:id="329" w:name="_Ref125361823"/>
      <w:bookmarkStart w:id="330" w:name="_Ref125362031"/>
      <w:bookmarkStart w:id="331" w:name="_Ref125369117"/>
      <w:bookmarkStart w:id="332" w:name="_Ref125370173"/>
      <w:bookmarkStart w:id="333" w:name="_Ref125709973"/>
      <w:bookmarkStart w:id="334" w:name="_Toc186224166"/>
      <w:bookmarkStart w:id="335" w:name="_Ref125709777"/>
      <w:bookmarkStart w:id="336" w:name="_Ref125370180"/>
      <w:bookmarkEnd w:id="327"/>
      <w:r>
        <w:rPr>
          <w:sz w:val="22"/>
        </w:rPr>
        <w:t>Дополнительные требования к Генеральным подрядчикам</w:t>
      </w:r>
      <w:bookmarkStart w:id="337" w:name="__RefHeading___Toc192593_1558056896"/>
      <w:bookmarkStart w:id="338" w:name="Прил04_ФормыЗаявки"/>
      <w:bookmarkEnd w:id="328"/>
      <w:bookmarkEnd w:id="329"/>
      <w:bookmarkEnd w:id="330"/>
      <w:bookmarkEnd w:id="331"/>
      <w:bookmarkEnd w:id="332"/>
      <w:bookmarkEnd w:id="333"/>
      <w:bookmarkEnd w:id="334"/>
      <w:bookmarkEnd w:id="335"/>
      <w:bookmarkEnd w:id="336"/>
      <w:bookmarkEnd w:id="337"/>
      <w:bookmarkEnd w:id="338"/>
    </w:p>
    <w:tbl>
      <w:tblPr>
        <w:tblStyle w:val="afff3"/>
        <w:tblW w:w="15126"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w:t>
            </w:r>
            <w:r>
              <w:rPr>
                <w:rFonts w:eastAsia="Calibri" w:cs=""/>
                <w:b/>
                <w:kern w:val="0"/>
                <w:sz w:val="22"/>
                <w:szCs w:val="22"/>
                <w:lang w:val="ru-RU" w:eastAsia="en-US" w:bidi="ar-SA"/>
              </w:rPr>
              <w:br/>
              <w:t>п/п</w:t>
            </w:r>
          </w:p>
        </w:tc>
        <w:tc>
          <w:tcPr>
            <w:tcW w:w="5671"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Требования к Генеральному подрядчику</w:t>
            </w:r>
          </w:p>
        </w:tc>
        <w:tc>
          <w:tcPr>
            <w:tcW w:w="8327" w:type="dxa"/>
            <w:tcBorders/>
          </w:tcPr>
          <w:p>
            <w:pPr>
              <w:pStyle w:val="Style25"/>
              <w:widowControl w:val="false"/>
              <w:suppressAutoHyphens w:val="true"/>
              <w:spacing w:before="60" w:after="60"/>
              <w:jc w:val="center"/>
              <w:rPr>
                <w:rFonts w:eastAsia="Calibri"/>
                <w:sz w:val="22"/>
              </w:rPr>
            </w:pPr>
            <w:r>
              <w:rPr>
                <w:rFonts w:eastAsia="Calibri" w:cs=""/>
                <w:b/>
                <w:kern w:val="0"/>
                <w:sz w:val="22"/>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5"/>
              <w:widowControl w:val="false"/>
              <w:numPr>
                <w:ilvl w:val="0"/>
                <w:numId w:val="5"/>
              </w:numPr>
              <w:suppressAutoHyphens w:val="true"/>
              <w:spacing w:before="60" w:after="60"/>
              <w:ind w:left="284" w:hanging="0"/>
              <w:jc w:val="center"/>
              <w:rPr>
                <w:rFonts w:eastAsia="Calibri"/>
                <w:sz w:val="22"/>
              </w:rPr>
            </w:pPr>
            <w:r>
              <w:rPr>
                <w:rFonts w:eastAsia="Calibri"/>
                <w:sz w:val="22"/>
              </w:rPr>
            </w:r>
            <w:bookmarkStart w:id="339" w:name="_Ref125370187"/>
            <w:bookmarkStart w:id="340" w:name="_Ref125370187"/>
            <w:bookmarkEnd w:id="340"/>
          </w:p>
        </w:tc>
        <w:tc>
          <w:tcPr>
            <w:tcW w:w="5671"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5"/>
              <w:widowControl w:val="false"/>
              <w:suppressAutoHyphens w:val="true"/>
              <w:spacing w:before="60" w:after="60"/>
              <w:rPr/>
            </w:pPr>
            <w:r>
              <w:rPr>
                <w:rFonts w:eastAsia="Calibri" w:cs=""/>
                <w:kern w:val="0"/>
                <w:sz w:val="22"/>
                <w:szCs w:val="22"/>
                <w:lang w:val="ru-RU" w:eastAsia="en-US" w:bidi="ar-SA"/>
              </w:rPr>
              <w:t>Техническое предложение (форма 4)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 содержащие План распределения объемов поставки продукции;</w:t>
            </w:r>
          </w:p>
        </w:tc>
      </w:tr>
      <w:tr>
        <w:trPr/>
        <w:tc>
          <w:tcPr>
            <w:tcW w:w="1128" w:type="dxa"/>
            <w:tcBorders/>
          </w:tcPr>
          <w:p>
            <w:pPr>
              <w:pStyle w:val="Style25"/>
              <w:widowControl w:val="false"/>
              <w:numPr>
                <w:ilvl w:val="0"/>
                <w:numId w:val="5"/>
              </w:numPr>
              <w:suppressAutoHyphens w:val="true"/>
              <w:spacing w:before="60" w:after="60"/>
              <w:ind w:left="284" w:hanging="0"/>
              <w:jc w:val="center"/>
              <w:rPr>
                <w:rFonts w:eastAsia="Calibri"/>
                <w:sz w:val="22"/>
              </w:rPr>
            </w:pPr>
            <w:r>
              <w:rPr>
                <w:rFonts w:eastAsia="Calibri"/>
                <w:sz w:val="22"/>
              </w:rPr>
            </w:r>
            <w:bookmarkStart w:id="341" w:name="_Ref125370193"/>
            <w:bookmarkStart w:id="342" w:name="_Ref125370193"/>
            <w:bookmarkEnd w:id="342"/>
          </w:p>
        </w:tc>
        <w:tc>
          <w:tcPr>
            <w:tcW w:w="5671" w:type="dxa"/>
            <w:tcBorders/>
          </w:tcPr>
          <w:p>
            <w:pPr>
              <w:pStyle w:val="Style25"/>
              <w:widowControl w:val="false"/>
              <w:suppressAutoHyphens w:val="true"/>
              <w:spacing w:before="60" w:after="60"/>
              <w:rPr/>
            </w:pPr>
            <w:r>
              <w:rPr>
                <w:rFonts w:eastAsia="Calibri" w:cs=""/>
                <w:kern w:val="0"/>
                <w:sz w:val="22"/>
                <w:szCs w:val="22"/>
                <w:lang w:val="ru-RU" w:eastAsia="en-US" w:bidi="ar-SA"/>
              </w:rPr>
              <w:t>Соответствие каждого субподрядчика установленным требованиям (с учетом пункта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_Ref125368863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r>
            <w:r>
              <w:rPr>
                <w:sz w:val="22"/>
                <w:kern w:val="0"/>
                <w:szCs w:val="22"/>
                <w:rFonts w:eastAsia="Calibri" w:cs=""/>
                <w:lang w:val="ru-RU" w:eastAsia="en-US" w:bidi="ar-SA"/>
              </w:rPr>
              <w:fldChar w:fldCharType="end"/>
            </w:r>
            <w:r>
              <w:rPr>
                <w:rFonts w:eastAsia="Calibri" w:cs=""/>
                <w:kern w:val="0"/>
                <w:sz w:val="22"/>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w:t>
            </w:r>
          </w:p>
        </w:tc>
        <w:tc>
          <w:tcPr>
            <w:tcW w:w="8327"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Сведения и документы, аналогичные установленным в подразделах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8.2</w:t>
            </w:r>
            <w:r>
              <w:rPr>
                <w:sz w:val="22"/>
                <w:kern w:val="0"/>
                <w:szCs w:val="22"/>
                <w:rFonts w:eastAsia="Calibri" w:cs=""/>
                <w:lang w:val="ru-RU" w:eastAsia="en-US" w:bidi="ar-SA"/>
              </w:rPr>
              <w:fldChar w:fldCharType="end"/>
            </w:r>
            <w:r>
              <w:rPr>
                <w:rFonts w:eastAsia="Calibri" w:cs=""/>
                <w:kern w:val="0"/>
                <w:sz w:val="22"/>
                <w:szCs w:val="22"/>
                <w:lang w:val="ru-RU" w:eastAsia="en-US" w:bidi="ar-SA"/>
              </w:rPr>
              <w:t> –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_Ref125361442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8.3</w:t>
            </w:r>
            <w:r>
              <w:rPr>
                <w:sz w:val="22"/>
                <w:kern w:val="0"/>
                <w:szCs w:val="22"/>
                <w:rFonts w:eastAsia="Calibri" w:cs=""/>
                <w:lang w:val="ru-RU" w:eastAsia="en-US" w:bidi="ar-SA"/>
              </w:rPr>
              <w:fldChar w:fldCharType="end"/>
            </w:r>
            <w:r>
              <w:rPr>
                <w:rFonts w:eastAsia="Calibri" w:cs=""/>
                <w:kern w:val="0"/>
                <w:sz w:val="22"/>
                <w:szCs w:val="22"/>
                <w:lang w:val="ru-RU" w:eastAsia="en-US" w:bidi="ar-SA"/>
              </w:rPr>
              <w:t>, в отношении каждого субподрядчика, подтверждающие его соответствие данным требованиям;</w:t>
            </w:r>
          </w:p>
        </w:tc>
      </w:tr>
    </w:tbl>
    <w:p>
      <w:pPr>
        <w:sectPr>
          <w:headerReference w:type="default" r:id="rId19"/>
          <w:headerReference w:type="first" r:id="rId20"/>
          <w:footerReference w:type="default" r:id="rId21"/>
          <w:footerReference w:type="first" r:id="rId22"/>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sectPr>
          <w:headerReference w:type="default" r:id="rId23"/>
          <w:headerReference w:type="first" r:id="rId24"/>
          <w:footerReference w:type="default" r:id="rId25"/>
          <w:footerReference w:type="first" r:id="rId26"/>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19"/>
        <w:rPr>
          <w:sz w:val="22"/>
        </w:rPr>
      </w:pPr>
      <w:bookmarkStart w:id="343" w:name="_Toc186224167"/>
      <w:r>
        <w:rPr>
          <w:sz w:val="22"/>
        </w:rPr>
        <w:t xml:space="preserve">Приложение № 4 – Образцы форм </w:t>
      </w:r>
      <w:bookmarkEnd w:id="343"/>
      <w:r>
        <w:rPr>
          <w:sz w:val="22"/>
        </w:rPr>
        <w:t>документов, включаемых в состав заявки</w:t>
      </w:r>
    </w:p>
    <w:p>
      <w:pPr>
        <w:pStyle w:val="Style20"/>
        <w:rPr>
          <w:sz w:val="22"/>
        </w:rPr>
      </w:pPr>
      <w:bookmarkStart w:id="344" w:name="__RefHeading___Toc192595_1558056896"/>
      <w:bookmarkStart w:id="345" w:name="_Toc186224168"/>
      <w:bookmarkEnd w:id="344"/>
      <w:r>
        <w:rPr>
          <w:sz w:val="22"/>
        </w:rPr>
        <w:t>Пояснения к Образцам форм документов, включаемых в состав заявки</w:t>
      </w:r>
      <w:bookmarkEnd w:id="345"/>
    </w:p>
    <w:p>
      <w:pPr>
        <w:pStyle w:val="Style21"/>
        <w:rPr>
          <w:sz w:val="22"/>
        </w:rPr>
      </w:pPr>
      <w:r>
        <w:rPr>
          <w:sz w:val="22"/>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19"/>
        <w:rPr>
          <w:sz w:val="22"/>
        </w:rPr>
      </w:pPr>
      <w:bookmarkStart w:id="346" w:name="__RefHeading___Toc192597_1558056896"/>
      <w:bookmarkStart w:id="347" w:name="_Toc186224169"/>
      <w:bookmarkStart w:id="348" w:name="Прил05_ФормыПобедителя"/>
      <w:bookmarkEnd w:id="346"/>
      <w:bookmarkEnd w:id="348"/>
      <w:r>
        <w:rPr>
          <w:sz w:val="22"/>
        </w:rPr>
        <w:t>Приложение № 5 – Образцы форм документов, предоставляемых Победителем</w:t>
      </w:r>
      <w:bookmarkEnd w:id="347"/>
    </w:p>
    <w:p>
      <w:pPr>
        <w:pStyle w:val="Style20"/>
        <w:rPr>
          <w:sz w:val="22"/>
        </w:rPr>
      </w:pPr>
      <w:bookmarkStart w:id="349" w:name="__RefHeading___Toc192599_1558056896"/>
      <w:bookmarkStart w:id="350" w:name="_Toc186224170"/>
      <w:bookmarkEnd w:id="349"/>
      <w:r>
        <w:rPr>
          <w:sz w:val="22"/>
        </w:rPr>
        <w:t>Пояснения к Образцам форм документов, предоставляемых Победителем</w:t>
      </w:r>
      <w:bookmarkEnd w:id="350"/>
    </w:p>
    <w:p>
      <w:pPr>
        <w:pStyle w:val="Style21"/>
        <w:rPr>
          <w:sz w:val="22"/>
        </w:rPr>
      </w:pPr>
      <w:r>
        <w:rPr>
          <w:sz w:val="22"/>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sz w:val="22"/>
        </w:rPr>
        <w:fldChar w:fldCharType="begin"/>
      </w:r>
      <w:r>
        <w:rPr>
          <w:sz w:val="22"/>
        </w:rPr>
        <w:instrText xml:space="preserve"> REF _Ref130395470 \r \h </w:instrText>
      </w:r>
      <w:r>
        <w:rPr>
          <w:sz w:val="22"/>
        </w:rPr>
        <w:fldChar w:fldCharType="separate"/>
      </w:r>
      <w:r>
        <w:rPr>
          <w:sz w:val="22"/>
        </w:rPr>
        <w:t>10.2</w:t>
      </w:r>
      <w:r>
        <w:rPr>
          <w:sz w:val="22"/>
        </w:rPr>
        <w:fldChar w:fldCharType="end"/>
      </w:r>
      <w:r>
        <w:rPr>
          <w:sz w:val="22"/>
        </w:rPr>
        <w:t xml:space="preserve">, </w:t>
      </w:r>
      <w:r>
        <w:rPr>
          <w:sz w:val="22"/>
        </w:rPr>
        <w:fldChar w:fldCharType="begin"/>
      </w:r>
      <w:r>
        <w:rPr>
          <w:sz w:val="22"/>
        </w:rPr>
        <w:instrText xml:space="preserve"> REF _Ref130395475 \r \h </w:instrText>
      </w:r>
      <w:r>
        <w:rPr>
          <w:sz w:val="22"/>
        </w:rPr>
        <w:fldChar w:fldCharType="separate"/>
      </w:r>
      <w:r>
        <w:rPr>
          <w:sz w:val="22"/>
        </w:rPr>
        <w:t>10.3</w:t>
      </w:r>
      <w:r>
        <w:rPr>
          <w:sz w:val="22"/>
        </w:rPr>
        <w:fldChar w:fldCharType="end"/>
      </w:r>
      <w:r>
        <w:rPr>
          <w:sz w:val="22"/>
        </w:rPr>
        <w:t>.</w:t>
      </w:r>
    </w:p>
    <w:p>
      <w:pPr>
        <w:pStyle w:val="Style20"/>
        <w:rPr>
          <w:sz w:val="22"/>
        </w:rPr>
      </w:pPr>
      <w:bookmarkStart w:id="351" w:name="__RefHeading___Toc192601_1558056896"/>
      <w:bookmarkStart w:id="352" w:name="_Toc186224171"/>
      <w:bookmarkStart w:id="353" w:name="_Ref130395470"/>
      <w:bookmarkEnd w:id="351"/>
      <w:r>
        <w:rPr>
          <w:sz w:val="22"/>
        </w:rPr>
        <w:t>Форма справки «Сведения о цепочке собственников, включая бенефициаров (в том числе конечных)»</w:t>
      </w:r>
      <w:bookmarkEnd w:id="352"/>
      <w:bookmarkEnd w:id="353"/>
    </w:p>
    <w:p>
      <w:pPr>
        <w:pStyle w:val="Style21"/>
        <w:rPr>
          <w:sz w:val="22"/>
        </w:rPr>
      </w:pPr>
      <w:r>
        <w:rPr>
          <w:sz w:val="22"/>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1"/>
        <w:rPr>
          <w:sz w:val="22"/>
        </w:rPr>
      </w:pPr>
      <w:r>
        <w:rPr>
          <w:sz w:val="22"/>
        </w:rPr>
        <w:t xml:space="preserve">Форма справки «Сведения о цепочке собственников, включая бенефициаров (в том числе конечных)» </w:t>
      </w:r>
      <w:r>
        <w:rPr>
          <w:sz w:val="22"/>
          <w:lang w:val="en-US"/>
        </w:rPr>
        <w:t>c</w:t>
      </w:r>
      <w:r>
        <w:rPr>
          <w:sz w:val="22"/>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sz w:val="22"/>
          <w:lang w:val="en-US"/>
        </w:rPr>
        <w:t>Microsoft</w:t>
      </w:r>
      <w:r>
        <w:rPr>
          <w:sz w:val="22"/>
        </w:rPr>
        <w:t xml:space="preserve"> </w:t>
      </w:r>
      <w:r>
        <w:rPr>
          <w:sz w:val="22"/>
          <w:lang w:val="en-US"/>
        </w:rPr>
        <w:t>Word</w:t>
      </w:r>
      <w:r>
        <w:rPr>
          <w:sz w:val="22"/>
        </w:rPr>
        <w:t>:</w:t>
      </w:r>
      <w:bookmarkStart w:id="354" w:name="_MON_1741074142"/>
      <w:bookmarkEnd w:id="354"/>
    </w:p>
    <w:p>
      <w:pPr>
        <w:pStyle w:val="Style25"/>
        <w:jc w:val="center"/>
        <w:rPr>
          <w:sz w:val="22"/>
        </w:rPr>
      </w:pPr>
      <w:r>
        <w:rPr/>
        <w:object>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78.9pt;height:48.95pt;mso-wrap-distance-right:0pt" filled="f" o:ole="">
            <v:imagedata r:id="rId28" o:title=""/>
          </v:shape>
          <o:OLEObject Type="Embed" ProgID="Word.Document.12" ShapeID="ole_rId27" DrawAspect="Icon" ObjectID="_383836435" r:id="rId27"/>
        </w:object>
      </w:r>
    </w:p>
    <w:p>
      <w:pPr>
        <w:pStyle w:val="Style20"/>
        <w:rPr>
          <w:sz w:val="22"/>
        </w:rPr>
      </w:pPr>
      <w:bookmarkStart w:id="355" w:name="__RefHeading___Toc192603_1558056896"/>
      <w:bookmarkStart w:id="356" w:name="_Toc186224172"/>
      <w:bookmarkStart w:id="357" w:name="_Ref130395475"/>
      <w:bookmarkEnd w:id="355"/>
      <w:r>
        <w:rPr>
          <w:sz w:val="22"/>
        </w:rPr>
        <w:t>Форма «Заверение об обстоятельствах»</w:t>
      </w:r>
      <w:bookmarkEnd w:id="356"/>
      <w:bookmarkEnd w:id="357"/>
    </w:p>
    <w:p>
      <w:pPr>
        <w:pStyle w:val="Style21"/>
        <w:rPr>
          <w:sz w:val="22"/>
        </w:rPr>
      </w:pPr>
      <w:r>
        <w:rPr>
          <w:sz w:val="22"/>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sz w:val="22"/>
          <w:lang w:val="en-US"/>
        </w:rPr>
        <w:t> </w:t>
      </w:r>
      <w:r>
        <w:rPr>
          <w:sz w:val="22"/>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sz w:val="22"/>
          <w:lang w:val="en-US"/>
        </w:rPr>
        <w:t> </w:t>
      </w:r>
      <w:r>
        <w:rPr>
          <w:sz w:val="22"/>
        </w:rPr>
        <w:t>(трех) рабочих дней с даты официального размещения Организатором итогового протокола по результатам закупки.</w:t>
      </w:r>
    </w:p>
    <w:p>
      <w:pPr>
        <w:pStyle w:val="Style21"/>
        <w:rPr>
          <w:sz w:val="22"/>
        </w:rPr>
      </w:pPr>
      <w:r>
        <w:rPr>
          <w:sz w:val="22"/>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1"/>
        <w:rPr>
          <w:sz w:val="22"/>
        </w:rPr>
      </w:pPr>
      <w:r>
        <w:rPr>
          <w:sz w:val="22"/>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1"/>
        <w:keepNext w:val="true"/>
        <w:rPr>
          <w:sz w:val="22"/>
        </w:rPr>
      </w:pPr>
      <w:r>
        <w:rPr>
          <w:sz w:val="22"/>
        </w:rPr>
        <w:t xml:space="preserve">Форма «Заверение об обстоятельствах» приведена в отдельном файле в формате </w:t>
      </w:r>
      <w:r>
        <w:rPr>
          <w:sz w:val="22"/>
          <w:lang w:val="en-US"/>
        </w:rPr>
        <w:t>Microsoft</w:t>
      </w:r>
      <w:r>
        <w:rPr>
          <w:sz w:val="22"/>
        </w:rPr>
        <w:t xml:space="preserve"> </w:t>
      </w:r>
      <w:r>
        <w:rPr>
          <w:sz w:val="22"/>
          <w:lang w:val="en-US"/>
        </w:rPr>
        <w:t>Word</w:t>
      </w:r>
      <w:r>
        <w:rPr>
          <w:sz w:val="22"/>
        </w:rPr>
        <w:t>:</w:t>
      </w:r>
      <w:bookmarkStart w:id="358" w:name="_MON_1741074184"/>
      <w:bookmarkEnd w:id="358"/>
    </w:p>
    <w:p>
      <w:pPr>
        <w:pStyle w:val="Style25"/>
        <w:spacing w:before="120" w:after="120"/>
        <w:jc w:val="center"/>
        <w:rPr>
          <w:sz w:val="22"/>
        </w:rPr>
      </w:pPr>
      <w:r>
        <w:rPr/>
        <w:object>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78.9pt;height:48.95pt;mso-wrap-distance-right:0pt;mso-wrap-distance-bottom:6pt" filled="f" o:ole="">
            <v:imagedata r:id="rId30" o:title=""/>
          </v:shape>
          <o:OLEObject Type="Embed" ProgID="Word.Document.12" ShapeID="ole_rId29" DrawAspect="Icon" ObjectID="_1084346192" r:id="rId29"/>
        </w:object>
      </w:r>
    </w:p>
    <w:p>
      <w:pPr>
        <w:pStyle w:val="Style19"/>
        <w:rPr>
          <w:sz w:val="22"/>
        </w:rPr>
      </w:pPr>
      <w:bookmarkStart w:id="359" w:name="__RefHeading___Toc192605_1558056896"/>
      <w:bookmarkStart w:id="360" w:name="_Ref125362865"/>
      <w:bookmarkStart w:id="361" w:name="_Toc186224173"/>
      <w:bookmarkStart w:id="362" w:name="_Ref125362900"/>
      <w:bookmarkStart w:id="363" w:name="Прил06_СоставЗаявки"/>
      <w:bookmarkEnd w:id="359"/>
      <w:bookmarkEnd w:id="363"/>
      <w:r>
        <w:rPr>
          <w:sz w:val="22"/>
        </w:rPr>
        <w:t>Приложение № 6 – Состав заявки</w:t>
      </w:r>
      <w:bookmarkEnd w:id="360"/>
      <w:bookmarkEnd w:id="361"/>
      <w:bookmarkEnd w:id="362"/>
    </w:p>
    <w:p>
      <w:pPr>
        <w:pStyle w:val="Style20"/>
        <w:rPr>
          <w:sz w:val="22"/>
        </w:rPr>
      </w:pPr>
      <w:bookmarkStart w:id="364" w:name="__RefHeading___Toc192607_1558056896"/>
      <w:bookmarkStart w:id="365" w:name="_Toc186224174"/>
      <w:bookmarkEnd w:id="364"/>
      <w:r>
        <w:rPr>
          <w:sz w:val="22"/>
        </w:rPr>
        <w:t>Состав заявки</w:t>
      </w:r>
      <w:bookmarkEnd w:id="365"/>
    </w:p>
    <w:p>
      <w:pPr>
        <w:pStyle w:val="Style21"/>
        <w:spacing w:before="120" w:after="120"/>
        <w:rPr/>
      </w:pPr>
      <w:r>
        <w:rPr>
          <w:sz w:val="22"/>
        </w:rPr>
        <w:t xml:space="preserve">Заявка на участие в закупке (окончательное предложение) должна состоять из первой части, второй части и ценового предложения, которые должны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7"/>
            <w:sz w:val="22"/>
          </w:rPr>
          <w:t>Приложении № 4</w:t>
        </w:r>
      </w:hyperlink>
      <w:r>
        <w:rPr>
          <w:sz w:val="22"/>
        </w:rPr>
        <w:t>):</w:t>
      </w:r>
    </w:p>
    <w:tbl>
      <w:tblPr>
        <w:tblStyle w:val="afff3"/>
        <w:tblW w:w="8783" w:type="dxa"/>
        <w:jc w:val="left"/>
        <w:tblInd w:w="1129" w:type="dxa"/>
        <w:tblLayout w:type="fixed"/>
        <w:tblCellMar>
          <w:top w:w="0" w:type="dxa"/>
          <w:left w:w="57" w:type="dxa"/>
          <w:bottom w:w="0" w:type="dxa"/>
          <w:right w:w="57" w:type="dxa"/>
        </w:tblCellMar>
        <w:tblLook w:val="04a0" w:noVBand="1"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w:t>
            </w:r>
            <w:r>
              <w:rPr>
                <w:rFonts w:eastAsia="Calibri" w:cs=""/>
                <w:b/>
                <w:kern w:val="0"/>
                <w:sz w:val="22"/>
                <w:szCs w:val="22"/>
                <w:lang w:val="ru-RU" w:eastAsia="en-US" w:bidi="ar-SA"/>
              </w:rPr>
              <w:br/>
              <w:t>п/п</w:t>
            </w:r>
          </w:p>
        </w:tc>
        <w:tc>
          <w:tcPr>
            <w:tcW w:w="8075"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Наименование документа</w:t>
            </w:r>
          </w:p>
        </w:tc>
      </w:tr>
      <w:tr>
        <w:trPr/>
        <w:tc>
          <w:tcPr>
            <w:tcW w:w="707" w:type="dxa"/>
            <w:tcBorders/>
          </w:tcPr>
          <w:p>
            <w:pPr>
              <w:pStyle w:val="Style25"/>
              <w:keepNext w:val="true"/>
              <w:widowControl w:val="false"/>
              <w:suppressAutoHyphens w:val="true"/>
              <w:spacing w:before="60" w:after="60"/>
              <w:ind w:left="360" w:hanging="0"/>
              <w:jc w:val="center"/>
              <w:rPr>
                <w:rFonts w:eastAsia="Calibri"/>
                <w:b/>
                <w:bCs/>
                <w:sz w:val="22"/>
              </w:rPr>
            </w:pPr>
            <w:r>
              <w:rPr>
                <w:rFonts w:eastAsia="Calibri"/>
                <w:b/>
                <w:bCs/>
                <w:sz w:val="22"/>
              </w:rPr>
            </w:r>
          </w:p>
        </w:tc>
        <w:tc>
          <w:tcPr>
            <w:tcW w:w="8075" w:type="dxa"/>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Первая часть заявки (первая часть заявки, содержащиеся в окончательном предложении):</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 xml:space="preserve">Техническое предложение (форма 4), которое в том числе может включать План распределения объемов поставки продукции </w:t>
            </w:r>
            <w:r>
              <w:rPr>
                <w:rFonts w:eastAsia="Calibri" w:cs=""/>
                <w:i/>
                <w:iCs/>
                <w:kern w:val="0"/>
                <w:sz w:val="22"/>
                <w:szCs w:val="22"/>
                <w:lang w:val="ru-RU" w:eastAsia="en-US" w:bidi="ar-SA"/>
              </w:rPr>
              <w:t>(без указания указание сведений, позволяющих каким-либо образом идентифицировать генеральный подрядчик или привлекаемого им субподрядчика / соисполнителя)</w:t>
            </w:r>
            <w:r>
              <w:rPr>
                <w:rFonts w:eastAsia="Calibri" w:cs=""/>
                <w:kern w:val="0"/>
                <w:sz w:val="22"/>
                <w:szCs w:val="22"/>
                <w:lang w:val="ru-RU" w:eastAsia="en-US" w:bidi="ar-SA"/>
              </w:rPr>
              <w:t>;</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 xml:space="preserve">Календарный график (форма 5); </w:t>
            </w:r>
            <w:r>
              <w:rPr>
                <w:rFonts w:eastAsia="Calibri" w:cs=""/>
                <w:kern w:val="0"/>
                <w:sz w:val="22"/>
                <w:szCs w:val="22"/>
                <w:shd w:fill="FFFF00" w:val="clear"/>
                <w:lang w:val="ru-RU" w:eastAsia="en-US" w:bidi="ar-SA"/>
              </w:rPr>
              <w:t>в рамках данной процедуры предоставление Календарного графика не требуется;</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Документы и сведения, предоставляемые в первой части заявки исключительно для целей проведения оценки заявок – предоставляются, если в </w:t>
            </w:r>
            <w:hyperlink w:anchor="Прил08_ПорядокОценки">
              <w:r>
                <w:rPr>
                  <w:rStyle w:val="Style7"/>
                  <w:rFonts w:eastAsia="Calibri" w:cs=""/>
                  <w:kern w:val="0"/>
                  <w:sz w:val="22"/>
                  <w:szCs w:val="22"/>
                  <w:lang w:val="ru-RU" w:eastAsia="en-US" w:bidi="ar-SA"/>
                </w:rPr>
                <w:t>Порядке и критериях оценки и сопоставления заявок (Приложение № 8)</w:t>
              </w:r>
            </w:hyperlink>
            <w:r>
              <w:rPr>
                <w:rFonts w:eastAsia="Calibri" w:cs=""/>
                <w:kern w:val="0"/>
                <w:sz w:val="22"/>
                <w:szCs w:val="22"/>
                <w:lang w:val="ru-RU" w:eastAsia="en-US" w:bidi="ar-SA"/>
              </w:rPr>
              <w:t xml:space="preserve"> установлены соответствующие критерии оценки, которые касаются или продукции или условий исполнения договора </w:t>
            </w:r>
            <w:r>
              <w:rPr>
                <w:rFonts w:eastAsia="Calibri" w:cs=""/>
                <w:i/>
                <w:iCs/>
                <w:kern w:val="0"/>
                <w:sz w:val="22"/>
                <w:szCs w:val="22"/>
                <w:lang w:val="ru-RU" w:eastAsia="en-US" w:bidi="ar-SA"/>
              </w:rPr>
              <w:t>(такие документы и сведения не должны позволять каким-либо образом идентифицировать Участника, в том числе через сведения о материально-технических или кадровых ресурсах)</w:t>
            </w:r>
            <w:r>
              <w:rPr>
                <w:rFonts w:eastAsia="Calibri" w:cs=""/>
                <w:kern w:val="0"/>
                <w:sz w:val="22"/>
                <w:szCs w:val="22"/>
                <w:lang w:val="ru-RU" w:eastAsia="en-US" w:bidi="ar-SA"/>
              </w:rPr>
              <w:t>;</w:t>
            </w:r>
          </w:p>
        </w:tc>
      </w:tr>
      <w:tr>
        <w:trPr/>
        <w:tc>
          <w:tcPr>
            <w:tcW w:w="707" w:type="dxa"/>
            <w:tcBorders/>
          </w:tcPr>
          <w:p>
            <w:pPr>
              <w:pStyle w:val="Style25"/>
              <w:keepNext w:val="true"/>
              <w:widowControl w:val="false"/>
              <w:suppressAutoHyphens w:val="true"/>
              <w:spacing w:before="60" w:after="60"/>
              <w:ind w:left="360" w:hanging="0"/>
              <w:jc w:val="center"/>
              <w:rPr>
                <w:rFonts w:eastAsia="Calibri"/>
                <w:b/>
                <w:bCs/>
                <w:sz w:val="22"/>
              </w:rPr>
            </w:pPr>
            <w:r>
              <w:rPr>
                <w:rFonts w:eastAsia="Calibri"/>
                <w:b/>
                <w:bCs/>
                <w:sz w:val="22"/>
              </w:rPr>
            </w:r>
          </w:p>
        </w:tc>
        <w:tc>
          <w:tcPr>
            <w:tcW w:w="8075" w:type="dxa"/>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Вторая часть заявки:</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Письмо о подаче оферты (форма 2);</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Анкета Участника (форма 6);</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8.2</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hyperlink w:anchor="Прил03_ТребованияУчастникам">
              <w:r>
                <w:rPr>
                  <w:rStyle w:val="Style7"/>
                  <w:rFonts w:eastAsia="Calibri" w:cs=""/>
                  <w:kern w:val="0"/>
                  <w:sz w:val="22"/>
                  <w:szCs w:val="22"/>
                  <w:lang w:val="ru-RU" w:eastAsia="en-US" w:bidi="ar-SA"/>
                </w:rPr>
                <w:t>Приложения № 3</w:t>
              </w:r>
            </w:hyperlink>
            <w:r>
              <w:rPr>
                <w:rFonts w:eastAsia="Calibri" w:cs=""/>
                <w:kern w:val="0"/>
                <w:sz w:val="22"/>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_Ref125709153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hyperlink w:anchor="Прил03_ТребованияУчастникам">
              <w:r>
                <w:rPr>
                  <w:rStyle w:val="Style7"/>
                  <w:rFonts w:eastAsia="Calibri" w:cs=""/>
                  <w:kern w:val="0"/>
                  <w:sz w:val="22"/>
                  <w:szCs w:val="22"/>
                  <w:lang w:val="ru-RU" w:eastAsia="en-US" w:bidi="ar-SA"/>
                </w:rPr>
                <w:t>Приложения № 3</w:t>
              </w:r>
            </w:hyperlink>
            <w:r>
              <w:rPr>
                <w:rFonts w:eastAsia="Calibri" w:cs=""/>
                <w:kern w:val="0"/>
                <w:sz w:val="22"/>
                <w:szCs w:val="22"/>
                <w:lang w:val="ru-RU" w:eastAsia="en-US" w:bidi="ar-SA"/>
              </w:rPr>
              <w:t>);</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_Ref125709777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8.4</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hyperlink w:anchor="Прил03_ТребованияУчастникам">
              <w:r>
                <w:rPr>
                  <w:rStyle w:val="Style7"/>
                  <w:rFonts w:eastAsia="Calibri" w:cs=""/>
                  <w:kern w:val="0"/>
                  <w:sz w:val="22"/>
                  <w:szCs w:val="22"/>
                  <w:lang w:val="ru-RU" w:eastAsia="en-US" w:bidi="ar-SA"/>
                </w:rPr>
                <w:t>Приложения № 3</w:t>
              </w:r>
            </w:hyperlink>
            <w:r>
              <w:rPr>
                <w:rFonts w:eastAsia="Calibri" w:cs=""/>
                <w:kern w:val="0"/>
                <w:sz w:val="22"/>
                <w:szCs w:val="22"/>
                <w:lang w:val="ru-RU" w:eastAsia="en-US" w:bidi="ar-SA"/>
              </w:rPr>
              <w:t>) – предоставляются, если Участник подает заявку от лица Генерального подрядчика (подраздел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_Ref125361702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3.2</w:t>
            </w:r>
            <w:r>
              <w:rPr>
                <w:sz w:val="22"/>
                <w:kern w:val="0"/>
                <w:szCs w:val="22"/>
                <w:rFonts w:eastAsia="Calibri" w:cs=""/>
                <w:lang w:val="ru-RU" w:eastAsia="en-US" w:bidi="ar-SA"/>
              </w:rPr>
              <w:fldChar w:fldCharType="end"/>
            </w:r>
            <w:r>
              <w:rPr>
                <w:rFonts w:eastAsia="Calibri" w:cs=""/>
                <w:kern w:val="0"/>
                <w:sz w:val="22"/>
                <w:szCs w:val="22"/>
                <w:lang w:val="ru-RU" w:eastAsia="en-US" w:bidi="ar-SA"/>
              </w:rPr>
              <w:t>), а именно:</w:t>
            </w:r>
          </w:p>
          <w:p>
            <w:pPr>
              <w:pStyle w:val="Style25"/>
              <w:widowControl w:val="false"/>
              <w:numPr>
                <w:ilvl w:val="0"/>
                <w:numId w:val="8"/>
              </w:numPr>
              <w:suppressAutoHyphens w:val="true"/>
              <w:spacing w:before="60" w:after="60"/>
              <w:ind w:left="284" w:hanging="284"/>
              <w:rPr/>
            </w:pPr>
            <w:r>
              <w:rPr>
                <w:rFonts w:eastAsia="Calibri" w:cs=""/>
                <w:kern w:val="0"/>
                <w:sz w:val="22"/>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w:t>
            </w:r>
          </w:p>
          <w:p>
            <w:pPr>
              <w:pStyle w:val="Style25"/>
              <w:widowControl w:val="false"/>
              <w:numPr>
                <w:ilvl w:val="0"/>
                <w:numId w:val="8"/>
              </w:numPr>
              <w:suppressAutoHyphens w:val="true"/>
              <w:spacing w:before="60" w:after="60"/>
              <w:ind w:left="284" w:hanging="284"/>
              <w:rPr/>
            </w:pPr>
            <w:r>
              <w:rPr>
                <w:rFonts w:eastAsia="Calibri" w:cs=""/>
                <w:kern w:val="0"/>
                <w:sz w:val="22"/>
                <w:szCs w:val="22"/>
                <w:lang w:val="ru-RU" w:eastAsia="en-US" w:bidi="ar-SA"/>
              </w:rPr>
              <w:t>прочие документы, определенные в подразделе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_Ref125709777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8.4</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hyperlink w:anchor="Прил03_ТребованияУчастникам">
              <w:r>
                <w:rPr>
                  <w:rStyle w:val="Style7"/>
                  <w:rFonts w:eastAsia="Calibri" w:cs=""/>
                  <w:kern w:val="0"/>
                  <w:sz w:val="22"/>
                  <w:szCs w:val="22"/>
                  <w:lang w:val="ru-RU" w:eastAsia="en-US" w:bidi="ar-SA"/>
                </w:rPr>
                <w:t>Приложения № 3</w:t>
              </w:r>
            </w:hyperlink>
            <w:r>
              <w:rPr>
                <w:rFonts w:eastAsia="Calibri" w:cs=""/>
                <w:kern w:val="0"/>
                <w:sz w:val="22"/>
                <w:szCs w:val="22"/>
                <w:lang w:val="ru-RU" w:eastAsia="en-US" w:bidi="ar-SA"/>
              </w:rPr>
              <w:t>;</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bookmarkStart w:id="366" w:name="_Ref132888537"/>
            <w:bookmarkStart w:id="367" w:name="_Ref132888537"/>
            <w:bookmarkEnd w:id="367"/>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Копия независимой гарантии – предоставляется при необходимости и в случае отсутствия внесенных Участником денежных средств на специальный банковский счет;</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bookmarkStart w:id="368" w:name="_Ref130389408"/>
            <w:bookmarkStart w:id="369" w:name="_Ref130389408"/>
            <w:bookmarkEnd w:id="369"/>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Справка об опыте Участника (форма 7),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7"/>
                  <w:rFonts w:eastAsia="Calibri" w:cs=""/>
                  <w:kern w:val="0"/>
                  <w:sz w:val="22"/>
                  <w:szCs w:val="22"/>
                  <w:lang w:val="ru-RU" w:eastAsia="en-US" w:bidi="ar-SA"/>
                </w:rPr>
                <w:t>Порядке и критериях оценки и сопоставления заявок (Приложение № 8)</w:t>
              </w:r>
            </w:hyperlink>
            <w:r>
              <w:rPr>
                <w:rFonts w:eastAsia="Calibri" w:cs=""/>
                <w:kern w:val="0"/>
                <w:sz w:val="22"/>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bookmarkStart w:id="370" w:name="_Ref130389413"/>
            <w:bookmarkStart w:id="371" w:name="_Ref130389413"/>
            <w:bookmarkEnd w:id="371"/>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Справка о материально-технических ресурсах (форма 8),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7"/>
                  <w:rFonts w:eastAsia="Calibri" w:cs=""/>
                  <w:kern w:val="0"/>
                  <w:sz w:val="22"/>
                  <w:szCs w:val="22"/>
                  <w:lang w:val="ru-RU" w:eastAsia="en-US" w:bidi="ar-SA"/>
                </w:rPr>
                <w:t>Порядке и критериях оценки и сопоставления заявок (Приложение № 8)</w:t>
              </w:r>
            </w:hyperlink>
            <w:r>
              <w:rPr>
                <w:rFonts w:eastAsia="Calibri" w:cs=""/>
                <w:kern w:val="0"/>
                <w:sz w:val="22"/>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bookmarkStart w:id="372" w:name="_Ref130389419"/>
            <w:bookmarkStart w:id="373" w:name="_Ref130389419"/>
            <w:bookmarkEnd w:id="373"/>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Справка о кадровых ресурсах (форма 9),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7"/>
                  <w:rFonts w:eastAsia="Calibri" w:cs=""/>
                  <w:kern w:val="0"/>
                  <w:sz w:val="22"/>
                  <w:szCs w:val="22"/>
                  <w:lang w:val="ru-RU" w:eastAsia="en-US" w:bidi="ar-SA"/>
                </w:rPr>
                <w:t>Порядке и критериях оценки и сопоставления заявок (Приложение № 8)</w:t>
              </w:r>
            </w:hyperlink>
            <w:r>
              <w:rPr>
                <w:rFonts w:eastAsia="Calibri" w:cs=""/>
                <w:kern w:val="0"/>
                <w:sz w:val="22"/>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Участники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7"/>
                  <w:rFonts w:eastAsia="Calibri" w:cs=""/>
                  <w:kern w:val="0"/>
                  <w:sz w:val="22"/>
                  <w:szCs w:val="22"/>
                  <w:lang w:val="ru-RU" w:eastAsia="en-US" w:bidi="ar-SA"/>
                </w:rPr>
                <w:t>Порядке и критериях оценки и сопоставления заявок (Приложение № 8)</w:t>
              </w:r>
            </w:hyperlink>
            <w:r>
              <w:rPr>
                <w:rFonts w:eastAsia="Calibri" w:cs=""/>
                <w:kern w:val="0"/>
                <w:sz w:val="22"/>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7"/>
                  <w:rFonts w:eastAsia="Calibri" w:cs=""/>
                  <w:kern w:val="0"/>
                  <w:sz w:val="22"/>
                  <w:szCs w:val="22"/>
                  <w:lang w:val="ru-RU" w:eastAsia="en-US" w:bidi="ar-SA"/>
                </w:rPr>
                <w:t>Технических требованиях (Приложение № 1)</w:t>
              </w:r>
            </w:hyperlink>
            <w:r>
              <w:rPr>
                <w:rFonts w:eastAsia="Calibri" w:cs=""/>
                <w:kern w:val="0"/>
                <w:sz w:val="22"/>
                <w:szCs w:val="22"/>
                <w:lang w:val="ru-RU" w:eastAsia="en-US" w:bidi="ar-SA"/>
              </w:rPr>
              <w:t xml:space="preserve"> – предоставляются, если в </w:t>
            </w:r>
            <w:hyperlink w:anchor="Прил01_ТехТребования">
              <w:r>
                <w:rPr>
                  <w:rStyle w:val="Style7"/>
                  <w:rFonts w:eastAsia="Calibri" w:cs=""/>
                  <w:kern w:val="0"/>
                  <w:sz w:val="22"/>
                  <w:szCs w:val="22"/>
                  <w:lang w:val="ru-RU" w:eastAsia="en-US" w:bidi="ar-SA"/>
                </w:rPr>
                <w:t>Технических требованиях (Приложение № 1)</w:t>
              </w:r>
            </w:hyperlink>
            <w:r>
              <w:rPr>
                <w:rFonts w:eastAsia="Calibri" w:cs=""/>
                <w:kern w:val="0"/>
                <w:sz w:val="22"/>
                <w:szCs w:val="22"/>
                <w:lang w:val="ru-RU" w:eastAsia="en-US" w:bidi="ar-SA"/>
              </w:rPr>
              <w:t xml:space="preserve"> было установлено соответствующее требование;</w:t>
            </w:r>
          </w:p>
        </w:tc>
      </w:tr>
      <w:tr>
        <w:trPr/>
        <w:tc>
          <w:tcPr>
            <w:tcW w:w="707" w:type="dxa"/>
            <w:tcBorders/>
          </w:tcPr>
          <w:p>
            <w:pPr>
              <w:pStyle w:val="Style25"/>
              <w:keepNext w:val="true"/>
              <w:widowControl w:val="false"/>
              <w:suppressAutoHyphens w:val="true"/>
              <w:spacing w:before="60" w:after="60"/>
              <w:ind w:left="360" w:hanging="0"/>
              <w:jc w:val="center"/>
              <w:rPr>
                <w:rFonts w:eastAsia="Calibri"/>
                <w:b/>
                <w:bCs/>
                <w:sz w:val="22"/>
              </w:rPr>
            </w:pPr>
            <w:r>
              <w:rPr>
                <w:rFonts w:eastAsia="Calibri"/>
                <w:b/>
                <w:bCs/>
                <w:sz w:val="22"/>
              </w:rPr>
            </w:r>
          </w:p>
        </w:tc>
        <w:tc>
          <w:tcPr>
            <w:tcW w:w="8075" w:type="dxa"/>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Ценовое предложение:</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5"/>
              <w:widowControl w:val="false"/>
              <w:numPr>
                <w:ilvl w:val="0"/>
                <w:numId w:val="6"/>
              </w:numPr>
              <w:suppressAutoHyphens w:val="true"/>
              <w:spacing w:before="60" w:after="60"/>
              <w:ind w:left="170" w:hanging="0"/>
              <w:jc w:val="center"/>
              <w:rPr>
                <w:rFonts w:eastAsia="Calibri"/>
                <w:sz w:val="22"/>
              </w:rPr>
            </w:pPr>
            <w:r>
              <w:rPr>
                <w:rFonts w:eastAsia="Calibri"/>
                <w:sz w:val="22"/>
              </w:rPr>
            </w:r>
          </w:p>
        </w:tc>
        <w:tc>
          <w:tcPr>
            <w:tcW w:w="8075"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7"/>
                  <w:rFonts w:eastAsia="Calibri" w:cs=""/>
                  <w:kern w:val="0"/>
                  <w:sz w:val="22"/>
                  <w:szCs w:val="22"/>
                  <w:lang w:val="ru-RU" w:eastAsia="en-US" w:bidi="ar-SA"/>
                </w:rPr>
                <w:t>Техническими требованиями (Приложение № 1)</w:t>
              </w:r>
            </w:hyperlink>
            <w:r>
              <w:rPr>
                <w:rFonts w:eastAsia="Calibri" w:cs=""/>
                <w:kern w:val="0"/>
                <w:sz w:val="22"/>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bl>
    <w:p>
      <w:pPr>
        <w:sectPr>
          <w:headerReference w:type="default" r:id="rId31"/>
          <w:headerReference w:type="first" r:id="rId32"/>
          <w:footerReference w:type="default" r:id="rId33"/>
          <w:footerReference w:type="first" r:id="rId34"/>
          <w:footnotePr>
            <w:numFmt w:val="decimal"/>
          </w:footnotePr>
          <w:type w:val="nextPage"/>
          <w:pgSz w:w="11906" w:h="16838"/>
          <w:pgMar w:left="851" w:right="851" w:gutter="0" w:header="567" w:top="1134" w:footer="567" w:bottom="850"/>
          <w:pgNumType w:fmt="decimal"/>
          <w:formProt w:val="false"/>
          <w:textDirection w:val="lrTb"/>
          <w:docGrid w:type="default" w:linePitch="360" w:charSpace="0"/>
        </w:sectPr>
        <w:pStyle w:val="Style21"/>
        <w:rPr/>
      </w:pPr>
      <w:r>
        <w:rPr>
          <w:rStyle w:val="Style4"/>
          <w:i w:val="false"/>
          <w:iCs w:val="false"/>
          <w:sz w:val="22"/>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19"/>
        <w:rPr>
          <w:sz w:val="22"/>
        </w:rPr>
      </w:pPr>
      <w:bookmarkStart w:id="374" w:name="__RefHeading___Toc192609_1558056896"/>
      <w:bookmarkStart w:id="375" w:name="_Ref125365264"/>
      <w:bookmarkStart w:id="376" w:name="_Toc186224175"/>
      <w:bookmarkStart w:id="377" w:name="Прил07_ОтборочныеКритерии"/>
      <w:bookmarkEnd w:id="374"/>
      <w:bookmarkEnd w:id="377"/>
      <w:r>
        <w:rPr>
          <w:sz w:val="22"/>
        </w:rPr>
        <w:t>Приложение № 7 – Отборочные критерии рассмотрения заявок</w:t>
      </w:r>
      <w:bookmarkEnd w:id="375"/>
      <w:bookmarkEnd w:id="376"/>
    </w:p>
    <w:p>
      <w:pPr>
        <w:pStyle w:val="Style20"/>
        <w:spacing w:before="360" w:after="120"/>
        <w:rPr/>
      </w:pPr>
      <w:bookmarkStart w:id="378" w:name="__RefHeading___Toc192611_1558056896"/>
      <w:bookmarkStart w:id="379" w:name="_Toc186224176"/>
      <w:bookmarkEnd w:id="378"/>
      <w:r>
        <w:rPr>
          <w:rStyle w:val="Style4"/>
          <w:i w:val="false"/>
          <w:iCs w:val="false"/>
          <w:sz w:val="22"/>
          <w:shd w:fill="auto" w:val="clear"/>
        </w:rPr>
        <w:t>Отборочные критерии рассмотрения первых частей заявок (первых частей заявок, содержащихся в окончательных предложениях)</w:t>
      </w:r>
      <w:bookmarkEnd w:id="379"/>
    </w:p>
    <w:tbl>
      <w:tblPr>
        <w:tblStyle w:val="afff3"/>
        <w:tblW w:w="1512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9584"/>
        <w:gridCol w:w="2040"/>
        <w:gridCol w:w="2085"/>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w:t>
              <w:br/>
              <w:t>критерия</w:t>
            </w:r>
          </w:p>
        </w:tc>
        <w:tc>
          <w:tcPr>
            <w:tcW w:w="9584"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Наименование</w:t>
              <w:br/>
              <w:t>отборочного критерия</w:t>
            </w:r>
          </w:p>
        </w:tc>
        <w:tc>
          <w:tcPr>
            <w:tcW w:w="2040"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 пункта</w:t>
              <w:br/>
              <w:t>Документации о закупке</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Направления</w:t>
              <w:br/>
              <w:t>оценки заявок*</w:t>
            </w:r>
          </w:p>
        </w:tc>
      </w:tr>
      <w:tr>
        <w:trPr/>
        <w:tc>
          <w:tcPr>
            <w:tcW w:w="10996" w:type="dxa"/>
            <w:gridSpan w:val="2"/>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Состав и правильность оформления первой части заявки, в том числе:</w:t>
            </w:r>
          </w:p>
        </w:tc>
        <w:tc>
          <w:tcPr>
            <w:tcW w:w="2040"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Наличие в составе первой части заявки обязательных к предоставлению (для целей рассмотрения первых частей заявок в рамках отборочной стадии) документов в соответствии с требованиями </w:t>
            </w:r>
            <w:hyperlink w:anchor="Прил06_СоставЗаявки">
              <w:r>
                <w:rPr>
                  <w:rStyle w:val="Style7"/>
                  <w:rFonts w:eastAsia="Calibri" w:cs=""/>
                  <w:kern w:val="0"/>
                  <w:sz w:val="22"/>
                  <w:szCs w:val="22"/>
                  <w:lang w:val="ru-RU" w:eastAsia="en-US" w:bidi="ar-SA"/>
                </w:rPr>
                <w:t>Приложения № 6 «Состав заявки»</w:t>
              </w:r>
            </w:hyperlink>
            <w:r>
              <w:rPr>
                <w:rFonts w:eastAsia="Calibri" w:cs=""/>
                <w:kern w:val="0"/>
                <w:sz w:val="22"/>
                <w:szCs w:val="22"/>
                <w:lang w:val="ru-RU" w:eastAsia="en-US" w:bidi="ar-SA"/>
              </w:rPr>
              <w:t>, а также правильность их оформления (в т.ч. в части языка заявки)</w:t>
            </w:r>
          </w:p>
        </w:tc>
        <w:tc>
          <w:tcPr>
            <w:tcW w:w="2040"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_Ref125362119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4.6</w:t>
            </w:r>
            <w:r>
              <w:rPr>
                <w:sz w:val="22"/>
                <w:kern w:val="0"/>
                <w:szCs w:val="22"/>
                <w:rFonts w:eastAsia="Calibri" w:cs=""/>
                <w:lang w:val="ru-RU" w:eastAsia="en-US" w:bidi="ar-SA"/>
              </w:rPr>
              <w:fldChar w:fldCharType="end"/>
            </w:r>
            <w:r>
              <w:rPr>
                <w:rFonts w:eastAsia="Calibri" w:cs=""/>
                <w:kern w:val="0"/>
                <w:sz w:val="22"/>
                <w:szCs w:val="22"/>
                <w:lang w:val="ru-RU" w:eastAsia="en-US" w:bidi="ar-SA"/>
              </w:rPr>
              <w:t>,</w:t>
              <w:br/>
            </w:r>
            <w:hyperlink w:anchor="Прил06_СоставЗаявки">
              <w:r>
                <w:rPr>
                  <w:rStyle w:val="Style7"/>
                  <w:rFonts w:eastAsia="Calibri" w:cs=""/>
                  <w:kern w:val="0"/>
                  <w:sz w:val="22"/>
                  <w:szCs w:val="22"/>
                  <w:lang w:val="ru-RU" w:eastAsia="en-US" w:bidi="ar-SA"/>
                </w:rPr>
                <w:t>Приложение № 6</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Отсутствие в материалах (документах) первой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2040"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Отсутствие в материалах первой части заявки сведений об Участнике и (или) о его ценовом предложении</w:t>
            </w:r>
          </w:p>
        </w:tc>
        <w:tc>
          <w:tcPr>
            <w:tcW w:w="2040"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0996" w:type="dxa"/>
            <w:gridSpan w:val="2"/>
            <w:tcBorders/>
          </w:tcPr>
          <w:p>
            <w:pPr>
              <w:pStyle w:val="Style25"/>
              <w:keepNext w:val="true"/>
              <w:widowControl w:val="false"/>
              <w:suppressAutoHyphens w:val="true"/>
              <w:spacing w:before="60" w:after="60"/>
              <w:rPr/>
            </w:pPr>
            <w:r>
              <w:rPr>
                <w:rFonts w:eastAsia="Calibri" w:cs=""/>
                <w:b/>
                <w:bCs/>
                <w:kern w:val="0"/>
                <w:sz w:val="22"/>
                <w:szCs w:val="22"/>
                <w:lang w:val="ru-RU" w:eastAsia="en-US" w:bidi="ar-SA"/>
              </w:rPr>
              <w:t xml:space="preserve">Соответствие Технического предложения Участника </w:t>
            </w:r>
            <w:hyperlink w:anchor="Прил01_ТехТребования">
              <w:r>
                <w:rPr>
                  <w:rStyle w:val="Style7"/>
                  <w:rFonts w:eastAsia="Calibri" w:cs=""/>
                  <w:b/>
                  <w:bCs/>
                  <w:kern w:val="0"/>
                  <w:sz w:val="22"/>
                  <w:szCs w:val="22"/>
                  <w:lang w:val="ru-RU" w:eastAsia="en-US" w:bidi="ar-SA"/>
                </w:rPr>
                <w:t>Техническим требованиям (Приложение № 1)</w:t>
              </w:r>
            </w:hyperlink>
            <w:r>
              <w:rPr>
                <w:rFonts w:eastAsia="Calibri" w:cs=""/>
                <w:b/>
                <w:bCs/>
                <w:kern w:val="0"/>
                <w:sz w:val="22"/>
                <w:szCs w:val="22"/>
                <w:lang w:val="ru-RU" w:eastAsia="en-US" w:bidi="ar-SA"/>
              </w:rPr>
              <w:t>, в том числе:</w:t>
            </w:r>
          </w:p>
        </w:tc>
        <w:tc>
          <w:tcPr>
            <w:tcW w:w="2040"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7"/>
                  <w:rFonts w:eastAsia="Calibri" w:cs=""/>
                  <w:kern w:val="0"/>
                  <w:sz w:val="22"/>
                  <w:szCs w:val="22"/>
                  <w:lang w:val="ru-RU" w:eastAsia="en-US" w:bidi="ar-SA"/>
                </w:rPr>
                <w:t>Технических требованиях (Приложение № 1)</w:t>
              </w:r>
            </w:hyperlink>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_Ref132816300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4.14</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2040"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_Ref125362364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4.9</w:t>
            </w:r>
            <w:r>
              <w:rPr>
                <w:sz w:val="22"/>
                <w:kern w:val="0"/>
                <w:szCs w:val="22"/>
                <w:rFonts w:eastAsia="Calibri" w:cs=""/>
                <w:lang w:val="ru-RU" w:eastAsia="en-US" w:bidi="ar-SA"/>
              </w:rPr>
              <w:fldChar w:fldCharType="end"/>
            </w:r>
            <w:r>
              <w:rPr>
                <w:rFonts w:eastAsia="Calibri" w:cs=""/>
                <w:kern w:val="0"/>
                <w:sz w:val="22"/>
                <w:szCs w:val="22"/>
                <w:lang w:val="ru-RU" w:eastAsia="en-US" w:bidi="ar-SA"/>
              </w:rPr>
              <w:br/>
            </w:r>
            <w:hyperlink w:anchor="Прил01_ТехТребования">
              <w:r>
                <w:rPr>
                  <w:rStyle w:val="Style7"/>
                  <w:rFonts w:eastAsia="Calibri" w:cs=""/>
                  <w:kern w:val="0"/>
                  <w:sz w:val="22"/>
                  <w:szCs w:val="22"/>
                  <w:lang w:val="ru-RU" w:eastAsia="en-US" w:bidi="ar-SA"/>
                </w:rPr>
                <w:t>Приложение № 1</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7"/>
                  <w:rFonts w:eastAsia="Calibri" w:cs=""/>
                  <w:kern w:val="0"/>
                  <w:sz w:val="22"/>
                  <w:szCs w:val="22"/>
                  <w:lang w:val="ru-RU" w:eastAsia="en-US" w:bidi="ar-SA"/>
                </w:rPr>
                <w:t>Технических требованиях (Приложение № 1)</w:t>
              </w:r>
            </w:hyperlink>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_Ref132816300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4.14</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2040"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_Ref125362364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4.9</w:t>
            </w:r>
            <w:r>
              <w:rPr>
                <w:sz w:val="22"/>
                <w:kern w:val="0"/>
                <w:szCs w:val="22"/>
                <w:rFonts w:eastAsia="Calibri" w:cs=""/>
                <w:lang w:val="ru-RU" w:eastAsia="en-US" w:bidi="ar-SA"/>
              </w:rPr>
              <w:fldChar w:fldCharType="end"/>
            </w:r>
            <w:r>
              <w:rPr>
                <w:rFonts w:eastAsia="Calibri" w:cs=""/>
                <w:kern w:val="0"/>
                <w:sz w:val="22"/>
                <w:szCs w:val="22"/>
                <w:lang w:val="ru-RU" w:eastAsia="en-US" w:bidi="ar-SA"/>
              </w:rPr>
              <w:br/>
            </w:r>
            <w:hyperlink w:anchor="Прил01_ТехТребования">
              <w:r>
                <w:rPr>
                  <w:rStyle w:val="Style7"/>
                  <w:rFonts w:eastAsia="Calibri" w:cs=""/>
                  <w:kern w:val="0"/>
                  <w:sz w:val="22"/>
                  <w:szCs w:val="22"/>
                  <w:lang w:val="ru-RU" w:eastAsia="en-US" w:bidi="ar-SA"/>
                </w:rPr>
                <w:t>Приложение № 1</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требованиям, указанным в </w:t>
            </w:r>
            <w:hyperlink w:anchor="Прил01_ТехТребования">
              <w:r>
                <w:rPr>
                  <w:rStyle w:val="Style7"/>
                  <w:rFonts w:eastAsia="Calibri" w:cs=""/>
                  <w:kern w:val="0"/>
                  <w:sz w:val="22"/>
                  <w:szCs w:val="22"/>
                  <w:lang w:val="ru-RU" w:eastAsia="en-US" w:bidi="ar-SA"/>
                </w:rPr>
                <w:t>Технический требованиях (Приложение № 1)</w:t>
              </w:r>
            </w:hyperlink>
          </w:p>
        </w:tc>
        <w:tc>
          <w:tcPr>
            <w:tcW w:w="2040"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br/>
            </w:r>
            <w:hyperlink w:anchor="Прил01_ТехТребования">
              <w:r>
                <w:rPr>
                  <w:rStyle w:val="Style7"/>
                  <w:rFonts w:eastAsia="Calibri" w:cs=""/>
                  <w:kern w:val="0"/>
                  <w:sz w:val="22"/>
                  <w:szCs w:val="22"/>
                  <w:lang w:val="ru-RU" w:eastAsia="en-US" w:bidi="ar-SA"/>
                </w:rPr>
                <w:t>Приложение № 1</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требованиям, указанным в </w:t>
            </w:r>
            <w:hyperlink w:anchor="Прил01_ТехТребования">
              <w:r>
                <w:rPr>
                  <w:rStyle w:val="Style7"/>
                  <w:rFonts w:eastAsia="Calibri" w:cs=""/>
                  <w:kern w:val="0"/>
                  <w:sz w:val="22"/>
                  <w:szCs w:val="22"/>
                  <w:lang w:val="ru-RU" w:eastAsia="en-US" w:bidi="ar-SA"/>
                </w:rPr>
                <w:t>Технический требованиях (Приложение № 1)</w:t>
              </w:r>
            </w:hyperlink>
          </w:p>
        </w:tc>
        <w:tc>
          <w:tcPr>
            <w:tcW w:w="2040"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br/>
            </w:r>
            <w:hyperlink w:anchor="Прил01_ТехТребования">
              <w:r>
                <w:rPr>
                  <w:rStyle w:val="Style7"/>
                  <w:rFonts w:eastAsia="Calibri" w:cs=""/>
                  <w:kern w:val="0"/>
                  <w:sz w:val="22"/>
                  <w:szCs w:val="22"/>
                  <w:lang w:val="ru-RU" w:eastAsia="en-US" w:bidi="ar-SA"/>
                </w:rPr>
                <w:t>Приложение № 1</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7"/>
                  <w:rFonts w:eastAsia="Calibri" w:cs=""/>
                  <w:kern w:val="0"/>
                  <w:sz w:val="22"/>
                  <w:szCs w:val="22"/>
                  <w:lang w:val="ru-RU" w:eastAsia="en-US" w:bidi="ar-SA"/>
                </w:rPr>
                <w:t>Технический требованиях (Приложение № 1)</w:t>
              </w:r>
            </w:hyperlink>
            <w:r>
              <w:rPr>
                <w:rFonts w:eastAsia="Calibri" w:cs=""/>
                <w:kern w:val="0"/>
                <w:sz w:val="22"/>
                <w:szCs w:val="22"/>
                <w:lang w:val="ru-RU" w:eastAsia="en-US" w:bidi="ar-SA"/>
              </w:rPr>
              <w:t xml:space="preserve"> и (или) в </w:t>
            </w:r>
            <w:hyperlink w:anchor="Прил02_ПроектДоговора">
              <w:r>
                <w:rPr>
                  <w:rStyle w:val="Style7"/>
                  <w:rFonts w:eastAsia="Calibri" w:cs=""/>
                  <w:kern w:val="0"/>
                  <w:sz w:val="22"/>
                  <w:szCs w:val="22"/>
                  <w:lang w:val="ru-RU" w:eastAsia="en-US" w:bidi="ar-SA"/>
                </w:rPr>
                <w:t>Проекте договора (Приложение № 2)</w:t>
              </w:r>
            </w:hyperlink>
          </w:p>
        </w:tc>
        <w:tc>
          <w:tcPr>
            <w:tcW w:w="2040" w:type="dxa"/>
            <w:tcBorders/>
          </w:tcPr>
          <w:p>
            <w:pPr>
              <w:pStyle w:val="Style25"/>
              <w:widowControl w:val="false"/>
              <w:suppressAutoHyphens w:val="true"/>
              <w:spacing w:before="60" w:after="60"/>
              <w:jc w:val="center"/>
              <w:rPr/>
            </w:pPr>
            <w:hyperlink w:anchor="Прил01_ТехТребования">
              <w:r>
                <w:rPr>
                  <w:rStyle w:val="Style7"/>
                  <w:rFonts w:eastAsia="Calibri" w:cs=""/>
                  <w:kern w:val="0"/>
                  <w:sz w:val="22"/>
                  <w:szCs w:val="22"/>
                  <w:lang w:val="ru-RU" w:eastAsia="en-US" w:bidi="ar-SA"/>
                </w:rPr>
                <w:t>Приложение № 1</w:t>
              </w:r>
            </w:hyperlink>
            <w:r>
              <w:rPr>
                <w:rFonts w:eastAsia="Calibri" w:cs=""/>
                <w:kern w:val="0"/>
                <w:sz w:val="22"/>
                <w:szCs w:val="22"/>
                <w:lang w:val="ru-RU" w:eastAsia="en-US" w:bidi="ar-SA"/>
              </w:rPr>
              <w:t>,</w:t>
              <w:br/>
            </w:r>
            <w:hyperlink w:anchor="Прил02_ПроектДоговора">
              <w:r>
                <w:rPr>
                  <w:rStyle w:val="Style7"/>
                  <w:rFonts w:eastAsia="Calibri" w:cs=""/>
                  <w:kern w:val="0"/>
                  <w:sz w:val="22"/>
                  <w:szCs w:val="22"/>
                  <w:lang w:val="ru-RU" w:eastAsia="en-US" w:bidi="ar-SA"/>
                </w:rPr>
                <w:t>Приложение № 2</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7"/>
                  <w:rFonts w:eastAsia="Calibri" w:cs=""/>
                  <w:kern w:val="0"/>
                  <w:sz w:val="22"/>
                  <w:szCs w:val="22"/>
                  <w:lang w:val="ru-RU" w:eastAsia="en-US" w:bidi="ar-SA"/>
                </w:rPr>
                <w:t>Технический требованиях (Приложение № 1)</w:t>
              </w:r>
            </w:hyperlink>
            <w:r>
              <w:rPr>
                <w:rFonts w:eastAsia="Calibri" w:cs=""/>
                <w:kern w:val="0"/>
                <w:sz w:val="22"/>
                <w:szCs w:val="22"/>
                <w:lang w:val="ru-RU" w:eastAsia="en-US" w:bidi="ar-SA"/>
              </w:rPr>
              <w:t xml:space="preserve"> и (или) в </w:t>
            </w:r>
            <w:hyperlink w:anchor="Прил02_ПроектДоговора">
              <w:r>
                <w:rPr>
                  <w:rStyle w:val="Style7"/>
                  <w:rFonts w:eastAsia="Calibri" w:cs=""/>
                  <w:kern w:val="0"/>
                  <w:sz w:val="22"/>
                  <w:szCs w:val="22"/>
                  <w:lang w:val="ru-RU" w:eastAsia="en-US" w:bidi="ar-SA"/>
                </w:rPr>
                <w:t>Проекте договора (Приложение № 2)</w:t>
              </w:r>
            </w:hyperlink>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соответствующих требований)</w:t>
            </w:r>
          </w:p>
        </w:tc>
        <w:tc>
          <w:tcPr>
            <w:tcW w:w="2040" w:type="dxa"/>
            <w:tcBorders/>
          </w:tcPr>
          <w:p>
            <w:pPr>
              <w:pStyle w:val="Style25"/>
              <w:widowControl w:val="false"/>
              <w:suppressAutoHyphens w:val="true"/>
              <w:spacing w:before="60" w:after="60"/>
              <w:jc w:val="center"/>
              <w:rPr/>
            </w:pPr>
            <w:hyperlink w:anchor="Прил01_ТехТребования">
              <w:r>
                <w:rPr>
                  <w:rStyle w:val="Style7"/>
                  <w:rFonts w:eastAsia="Calibri" w:cs=""/>
                  <w:kern w:val="0"/>
                  <w:sz w:val="22"/>
                  <w:szCs w:val="22"/>
                  <w:lang w:val="ru-RU" w:eastAsia="en-US" w:bidi="ar-SA"/>
                </w:rPr>
                <w:t>Приложение № 1</w:t>
              </w:r>
            </w:hyperlink>
            <w:r>
              <w:rPr>
                <w:rFonts w:eastAsia="Calibri" w:cs=""/>
                <w:kern w:val="0"/>
                <w:sz w:val="22"/>
                <w:szCs w:val="22"/>
                <w:lang w:val="ru-RU" w:eastAsia="en-US" w:bidi="ar-SA"/>
              </w:rPr>
              <w:t>,</w:t>
              <w:br/>
            </w:r>
            <w:hyperlink w:anchor="Прил02_ПроектДоговора">
              <w:r>
                <w:rPr>
                  <w:rStyle w:val="Style7"/>
                  <w:rFonts w:eastAsia="Calibri" w:cs=""/>
                  <w:kern w:val="0"/>
                  <w:sz w:val="22"/>
                  <w:szCs w:val="22"/>
                  <w:lang w:val="ru-RU" w:eastAsia="en-US" w:bidi="ar-SA"/>
                </w:rPr>
                <w:t>Приложение № 2</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7"/>
              </w:numPr>
              <w:suppressAutoHyphens w:val="true"/>
              <w:spacing w:before="60" w:after="60"/>
              <w:ind w:left="170" w:hanging="0"/>
              <w:jc w:val="center"/>
              <w:rPr>
                <w:rFonts w:eastAsia="Calibri"/>
                <w:sz w:val="22"/>
              </w:rPr>
            </w:pPr>
            <w:r>
              <w:rPr>
                <w:rFonts w:eastAsia="Calibri"/>
                <w:sz w:val="22"/>
              </w:rPr>
            </w:r>
          </w:p>
        </w:tc>
        <w:tc>
          <w:tcPr>
            <w:tcW w:w="9584"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предлагаемой к поставке продукции дополнительным требованиям, установленным в </w:t>
            </w:r>
            <w:hyperlink w:anchor="Прил01_ТехТребования">
              <w:r>
                <w:rPr>
                  <w:rStyle w:val="Style7"/>
                  <w:rFonts w:eastAsia="Calibri" w:cs=""/>
                  <w:kern w:val="0"/>
                  <w:sz w:val="22"/>
                  <w:szCs w:val="22"/>
                  <w:lang w:val="ru-RU" w:eastAsia="en-US" w:bidi="ar-SA"/>
                </w:rPr>
                <w:t>Технический требованиях (Приложение № 1)</w:t>
              </w:r>
            </w:hyperlink>
            <w:r>
              <w:rPr>
                <w:rFonts w:eastAsia="Calibri" w:cs=""/>
                <w:kern w:val="0"/>
                <w:sz w:val="22"/>
                <w:szCs w:val="22"/>
                <w:lang w:val="ru-RU" w:eastAsia="en-US" w:bidi="ar-SA"/>
              </w:rPr>
              <w:t>, с предоставлением требуемых подтверждающих документов</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соответствующих требований)</w:t>
            </w:r>
          </w:p>
        </w:tc>
        <w:tc>
          <w:tcPr>
            <w:tcW w:w="2040" w:type="dxa"/>
            <w:tcBorders/>
          </w:tcPr>
          <w:p>
            <w:pPr>
              <w:pStyle w:val="Style25"/>
              <w:widowControl w:val="false"/>
              <w:suppressAutoHyphens w:val="true"/>
              <w:spacing w:before="60" w:after="60"/>
              <w:jc w:val="center"/>
              <w:rPr/>
            </w:pPr>
            <w:hyperlink w:anchor="Прил01_ТехТребования">
              <w:r>
                <w:rPr>
                  <w:rStyle w:val="Style7"/>
                  <w:rFonts w:eastAsia="Calibri" w:cs=""/>
                  <w:kern w:val="0"/>
                  <w:sz w:val="22"/>
                  <w:szCs w:val="22"/>
                  <w:lang w:val="ru-RU" w:eastAsia="en-US" w:bidi="ar-SA"/>
                </w:rPr>
                <w:t>Приложение № 1</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bl>
    <w:p>
      <w:pPr>
        <w:pStyle w:val="Style20"/>
        <w:spacing w:before="360" w:after="120"/>
        <w:rPr/>
      </w:pPr>
      <w:bookmarkStart w:id="380" w:name="__RefHeading___Toc192613_1558056896"/>
      <w:bookmarkStart w:id="381" w:name="_Hlk132891087"/>
      <w:bookmarkStart w:id="382" w:name="_Toc186224178"/>
      <w:bookmarkEnd w:id="380"/>
      <w:r>
        <w:rPr>
          <w:rStyle w:val="Style4"/>
          <w:i w:val="false"/>
          <w:iCs w:val="false"/>
          <w:sz w:val="22"/>
          <w:shd w:fill="auto" w:val="clear"/>
        </w:rPr>
        <w:t>Отборочные критерии рассмотрения вторых частей заявок</w:t>
      </w:r>
      <w:bookmarkEnd w:id="381"/>
      <w:bookmarkEnd w:id="382"/>
    </w:p>
    <w:tbl>
      <w:tblPr>
        <w:tblStyle w:val="afff3"/>
        <w:tblW w:w="1512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9303"/>
        <w:gridCol w:w="2321"/>
        <w:gridCol w:w="2085"/>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w:t>
              <w:br/>
              <w:t>критерия</w:t>
            </w:r>
          </w:p>
        </w:tc>
        <w:tc>
          <w:tcPr>
            <w:tcW w:w="9303"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Наименование</w:t>
              <w:br/>
              <w:t>отборочного критерия</w:t>
            </w:r>
          </w:p>
        </w:tc>
        <w:tc>
          <w:tcPr>
            <w:tcW w:w="2321"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 пункта</w:t>
              <w:br/>
              <w:t>Документации о закупке</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Направления</w:t>
              <w:br/>
              <w:t>оценки заявок*</w:t>
            </w:r>
          </w:p>
        </w:tc>
      </w:tr>
      <w:tr>
        <w:trPr/>
        <w:tc>
          <w:tcPr>
            <w:tcW w:w="10715" w:type="dxa"/>
            <w:gridSpan w:val="2"/>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Состав и правильность оформления второй части заявки, в том числе:</w:t>
            </w:r>
          </w:p>
        </w:tc>
        <w:tc>
          <w:tcPr>
            <w:tcW w:w="2321"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Наличие в составе второй части заявки всех обязательных к предоставлению (для целей рассмотрения вторых частей заявок в рамках отборочной стадии) документов в соответствии с требованиями </w:t>
            </w:r>
            <w:hyperlink w:anchor="Прил06_СоставЗаявки">
              <w:r>
                <w:rPr>
                  <w:rStyle w:val="Style7"/>
                  <w:rFonts w:eastAsia="Calibri" w:cs=""/>
                  <w:kern w:val="0"/>
                  <w:sz w:val="22"/>
                  <w:szCs w:val="22"/>
                  <w:lang w:val="ru-RU" w:eastAsia="en-US" w:bidi="ar-SA"/>
                </w:rPr>
                <w:t>Приложения № 6 «Состав заявки»</w:t>
              </w:r>
            </w:hyperlink>
            <w:r>
              <w:rPr>
                <w:rFonts w:eastAsia="Calibri" w:cs=""/>
                <w:kern w:val="0"/>
                <w:sz w:val="22"/>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_Ref125362119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4.6</w:t>
            </w:r>
            <w:r>
              <w:rPr>
                <w:sz w:val="22"/>
                <w:kern w:val="0"/>
                <w:szCs w:val="22"/>
                <w:rFonts w:eastAsia="Calibri" w:cs=""/>
                <w:lang w:val="ru-RU" w:eastAsia="en-US" w:bidi="ar-SA"/>
              </w:rPr>
              <w:fldChar w:fldCharType="end"/>
            </w:r>
            <w:r>
              <w:rPr>
                <w:rFonts w:eastAsia="Calibri" w:cs=""/>
                <w:kern w:val="0"/>
                <w:sz w:val="22"/>
                <w:szCs w:val="22"/>
                <w:lang w:val="ru-RU" w:eastAsia="en-US" w:bidi="ar-SA"/>
              </w:rPr>
              <w:t>,</w:t>
              <w:br/>
            </w:r>
            <w:hyperlink w:anchor="Прил06_СоставЗаявки">
              <w:r>
                <w:rPr>
                  <w:rStyle w:val="Style7"/>
                  <w:rFonts w:eastAsia="Calibri" w:cs=""/>
                  <w:kern w:val="0"/>
                  <w:sz w:val="22"/>
                  <w:szCs w:val="22"/>
                  <w:lang w:val="ru-RU" w:eastAsia="en-US" w:bidi="ar-SA"/>
                </w:rPr>
                <w:t>Приложение № 6</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 Тех,</w:t>
              <w:br/>
              <w:t>Юр</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bookmarkStart w:id="383" w:name="_Ref132890414"/>
            <w:bookmarkStart w:id="384" w:name="_Ref132890414"/>
            <w:bookmarkEnd w:id="384"/>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Наличие обеспечения обязательств Участника, связанного с подачей заявки, в виде независимой гарантии и ее соответствие установленным требованиям Документации о закупке – если подразделом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_Ref125359973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1.2</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внесение денежных средств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w:t>
            </w:r>
          </w:p>
        </w:tc>
        <w:tc>
          <w:tcPr>
            <w:tcW w:w="2321"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_Ref130455226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4.18</w:t>
            </w:r>
            <w:r>
              <w:rPr>
                <w:sz w:val="22"/>
                <w:kern w:val="0"/>
                <w:szCs w:val="22"/>
                <w:rFonts w:eastAsia="Calibri" w:cs=""/>
                <w:lang w:val="ru-RU" w:eastAsia="en-US" w:bidi="ar-SA"/>
              </w:rPr>
              <w:fldChar w:fldCharType="end"/>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 – в части наличия сведений в реестре,</w:t>
            </w:r>
          </w:p>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Фин – в части соответствия</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Отсутствие в материалах (документах) второй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2321"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 Тех,</w:t>
              <w:br/>
              <w:t>Юр</w:t>
            </w:r>
          </w:p>
        </w:tc>
      </w:tr>
      <w:tr>
        <w:trPr/>
        <w:tc>
          <w:tcPr>
            <w:tcW w:w="10715" w:type="dxa"/>
            <w:gridSpan w:val="2"/>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Соответствие Письма о подаче оферты:</w:t>
            </w:r>
          </w:p>
        </w:tc>
        <w:tc>
          <w:tcPr>
            <w:tcW w:w="2321"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срока действия заявки</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t>,</w:t>
              <w:br/>
            </w:r>
            <w:hyperlink w:anchor="Прил04_ФормыЗаявки">
              <w:r>
                <w:rPr>
                  <w:rStyle w:val="Style7"/>
                  <w:rFonts w:eastAsia="Calibri" w:cs=""/>
                  <w:kern w:val="0"/>
                  <w:sz w:val="22"/>
                  <w:szCs w:val="22"/>
                  <w:lang w:val="ru-RU" w:eastAsia="en-US" w:bidi="ar-SA"/>
                </w:rPr>
                <w:t>Приложение № 4</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w:t>
            </w:r>
          </w:p>
        </w:tc>
      </w:tr>
      <w:tr>
        <w:trPr/>
        <w:tc>
          <w:tcPr>
            <w:tcW w:w="10715" w:type="dxa"/>
            <w:gridSpan w:val="2"/>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Соответствие Участника установленным требованиям Документации о закупке, в том числе:</w:t>
            </w:r>
          </w:p>
        </w:tc>
        <w:tc>
          <w:tcPr>
            <w:tcW w:w="2321"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Участника пункту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_Ref125552433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1</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обязательных требований к Участникам</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_Ref138341423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5.2</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8.2</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 Юр</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Участника пункту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_Ref132893662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2</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обязательных требований к Участникам</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8.2</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Участника пункту 3 обязательных требований к Участникам</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8.2</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Участника пункту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_Ref186181914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обязательных требований к Участникам</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_Ref132816300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4.14</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8.2</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Участника пункту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_Ref186181918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5</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обязательных требований к Участникам</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_Ref132816300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4.14</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_Ref125361435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8.2</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Участника специальным требованиям к Участникам</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соответствующих требований)</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_Ref125361442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8.3</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Генерального подрядчика установленным в отношении его требованиям:</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проведения закупки, принять участие в которой можно от лица Генерального подрядчика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_Ref125359973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1.2</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 подраздел </w:t>
            </w:r>
            <w:r>
              <w:rPr>
                <w:rFonts w:eastAsia="Calibri" w:cs=""/>
                <w:i/>
                <w:iCs/>
                <w:kern w:val="0"/>
                <w:sz w:val="22"/>
                <w:szCs w:val="22"/>
                <w:lang w:val="ru-RU" w:eastAsia="en-US" w:bidi="ar-SA"/>
              </w:rPr>
              <w:fldChar w:fldCharType="begin"/>
            </w:r>
            <w:r>
              <w:rPr>
                <w:sz w:val="22"/>
                <w:i/>
                <w:kern w:val="0"/>
                <w:szCs w:val="22"/>
                <w:iCs/>
                <w:rFonts w:eastAsia="Calibri" w:cs=""/>
                <w:lang w:val="ru-RU" w:eastAsia="en-US" w:bidi="ar-SA"/>
              </w:rPr>
              <w:instrText xml:space="preserve"> REF _Ref125361702 \r \h </w:instrText>
            </w:r>
            <w:r>
              <w:rPr>
                <w:sz w:val="22"/>
                <w:i/>
                <w:kern w:val="0"/>
                <w:szCs w:val="22"/>
                <w:iCs/>
                <w:rFonts w:eastAsia="Calibri" w:cs=""/>
                <w:lang w:val="ru-RU" w:eastAsia="en-US" w:bidi="ar-SA"/>
              </w:rPr>
              <w:fldChar w:fldCharType="separate"/>
            </w:r>
            <w:r>
              <w:rPr>
                <w:sz w:val="22"/>
                <w:i/>
                <w:kern w:val="0"/>
                <w:szCs w:val="22"/>
                <w:iCs/>
                <w:rFonts w:eastAsia="Calibri" w:cs=""/>
                <w:lang w:val="ru-RU" w:eastAsia="en-US" w:bidi="ar-SA"/>
              </w:rPr>
              <w:t>3.2</w:t>
            </w:r>
            <w:r>
              <w:rPr>
                <w:sz w:val="22"/>
                <w:i/>
                <w:kern w:val="0"/>
                <w:szCs w:val="22"/>
                <w:iCs/>
                <w:rFonts w:eastAsia="Calibri" w:cs=""/>
                <w:lang w:val="ru-RU" w:eastAsia="en-US" w:bidi="ar-SA"/>
              </w:rPr>
              <w:fldChar w:fldCharType="end"/>
            </w:r>
            <w:r>
              <w:rPr>
                <w:rFonts w:eastAsia="Calibri" w:cs=""/>
                <w:i/>
                <w:iCs/>
                <w:kern w:val="0"/>
                <w:sz w:val="22"/>
                <w:szCs w:val="22"/>
                <w:lang w:val="ru-RU" w:eastAsia="en-US" w:bidi="ar-SA"/>
              </w:rPr>
              <w:t>) и заявка подана от его лица)</w:t>
            </w:r>
          </w:p>
        </w:tc>
        <w:tc>
          <w:tcPr>
            <w:tcW w:w="2321"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1"/>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numPr>
                <w:ilvl w:val="0"/>
                <w:numId w:val="8"/>
              </w:numPr>
              <w:suppressAutoHyphens w:val="true"/>
              <w:spacing w:before="60" w:after="60"/>
              <w:ind w:left="284" w:hanging="284"/>
              <w:rPr>
                <w:rFonts w:eastAsia="Calibri"/>
                <w:sz w:val="22"/>
              </w:rPr>
            </w:pPr>
            <w:r>
              <w:rPr>
                <w:rFonts w:eastAsia="Calibri" w:cs=""/>
                <w:kern w:val="0"/>
                <w:sz w:val="22"/>
                <w:szCs w:val="22"/>
                <w:lang w:val="ru-RU" w:eastAsia="en-US" w:bidi="ar-SA"/>
              </w:rPr>
              <w:t>в части требований пунктов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_Ref125370187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1</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_Ref125709777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8.4</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r>
        <w:trPr/>
        <w:tc>
          <w:tcPr>
            <w:tcW w:w="1412" w:type="dxa"/>
            <w:tcBorders/>
          </w:tcPr>
          <w:p>
            <w:pPr>
              <w:pStyle w:val="Style25"/>
              <w:widowControl w:val="false"/>
              <w:numPr>
                <w:ilvl w:val="1"/>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numPr>
                <w:ilvl w:val="0"/>
                <w:numId w:val="8"/>
              </w:numPr>
              <w:suppressAutoHyphens w:val="true"/>
              <w:spacing w:before="60" w:after="60"/>
              <w:ind w:left="284" w:hanging="284"/>
              <w:rPr>
                <w:rFonts w:eastAsia="Calibri"/>
                <w:sz w:val="22"/>
              </w:rPr>
            </w:pPr>
            <w:r>
              <w:rPr>
                <w:rFonts w:eastAsia="Calibri" w:cs=""/>
                <w:kern w:val="0"/>
                <w:sz w:val="22"/>
                <w:szCs w:val="22"/>
                <w:lang w:val="ru-RU" w:eastAsia="en-US" w:bidi="ar-SA"/>
              </w:rPr>
              <w:t>в части требований пункта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_Ref125370193 \w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2</w:t>
            </w:r>
            <w:r>
              <w:rPr>
                <w:sz w:val="22"/>
                <w:kern w:val="0"/>
                <w:szCs w:val="22"/>
                <w:rFonts w:eastAsia="Calibri" w:cs=""/>
                <w:lang w:val="ru-RU" w:eastAsia="en-US" w:bidi="ar-SA"/>
              </w:rPr>
              <w:fldChar w:fldCharType="end"/>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_Ref125709777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8.4</w:t>
            </w:r>
            <w:r>
              <w:rPr>
                <w:sz w:val="22"/>
                <w:kern w:val="0"/>
                <w:szCs w:val="22"/>
                <w:rFonts w:eastAsia="Calibri" w:cs=""/>
                <w:lang w:val="ru-RU" w:eastAsia="en-US" w:bidi="ar-SA"/>
              </w:rPr>
              <w:fldChar w:fldCharType="end"/>
            </w:r>
            <w:r>
              <w:rPr>
                <w:rFonts w:eastAsia="Calibri" w:cs=""/>
                <w:kern w:val="0"/>
                <w:sz w:val="22"/>
                <w:szCs w:val="22"/>
                <w:lang w:val="ru-RU" w:eastAsia="en-US" w:bidi="ar-SA"/>
              </w:rPr>
              <w:br/>
              <w:t>(</w:t>
            </w:r>
            <w:hyperlink w:anchor="Прил03_ТребованияУчастникам">
              <w:r>
                <w:rPr>
                  <w:rStyle w:val="Style7"/>
                  <w:rFonts w:eastAsia="Calibri" w:cs=""/>
                  <w:kern w:val="0"/>
                  <w:sz w:val="22"/>
                  <w:szCs w:val="22"/>
                  <w:lang w:val="ru-RU" w:eastAsia="en-US" w:bidi="ar-SA"/>
                </w:rPr>
                <w:t>Приложение № 3</w:t>
              </w:r>
            </w:hyperlink>
            <w:r>
              <w:rPr>
                <w:rFonts w:eastAsia="Calibri" w: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Орг, Тех</w:t>
            </w:r>
          </w:p>
        </w:tc>
      </w:tr>
      <w:tr>
        <w:trPr/>
        <w:tc>
          <w:tcPr>
            <w:tcW w:w="10715" w:type="dxa"/>
            <w:gridSpan w:val="2"/>
            <w:tcBorders/>
          </w:tcPr>
          <w:p>
            <w:pPr>
              <w:pStyle w:val="Style25"/>
              <w:keepNext w:val="true"/>
              <w:widowControl w:val="false"/>
              <w:suppressAutoHyphens w:val="true"/>
              <w:spacing w:before="60" w:after="60"/>
              <w:rPr/>
            </w:pPr>
            <w:r>
              <w:rPr>
                <w:rFonts w:eastAsia="Calibri" w:cs=""/>
                <w:b/>
                <w:bCs/>
                <w:kern w:val="0"/>
                <w:sz w:val="22"/>
                <w:szCs w:val="22"/>
                <w:lang w:val="ru-RU" w:eastAsia="en-US" w:bidi="ar-SA"/>
              </w:rPr>
              <w:t xml:space="preserve">Соответствие Технического предложения Участника </w:t>
            </w:r>
            <w:hyperlink w:anchor="Прил01_ТехТребования">
              <w:r>
                <w:rPr>
                  <w:rStyle w:val="Style7"/>
                  <w:rFonts w:eastAsia="Calibri" w:cs=""/>
                  <w:b/>
                  <w:bCs/>
                  <w:kern w:val="0"/>
                  <w:sz w:val="22"/>
                  <w:szCs w:val="22"/>
                  <w:lang w:val="ru-RU" w:eastAsia="en-US" w:bidi="ar-SA"/>
                </w:rPr>
                <w:t>Техническим требованиям (Приложение № 1)</w:t>
              </w:r>
            </w:hyperlink>
            <w:r>
              <w:rPr>
                <w:rFonts w:eastAsia="Calibri" w:cs=""/>
                <w:b/>
                <w:bCs/>
                <w:kern w:val="0"/>
                <w:sz w:val="22"/>
                <w:szCs w:val="22"/>
                <w:lang w:val="ru-RU" w:eastAsia="en-US" w:bidi="ar-SA"/>
              </w:rPr>
              <w:t>, в том числе:</w:t>
            </w:r>
          </w:p>
        </w:tc>
        <w:tc>
          <w:tcPr>
            <w:tcW w:w="2321"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10"/>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7"/>
                  <w:rFonts w:eastAsia="Calibri" w:cs=""/>
                  <w:kern w:val="0"/>
                  <w:sz w:val="22"/>
                  <w:szCs w:val="22"/>
                  <w:lang w:val="ru-RU" w:eastAsia="en-US" w:bidi="ar-SA"/>
                </w:rPr>
                <w:t>Технических требованиях (Приложение № 1)</w:t>
              </w:r>
            </w:hyperlink>
            <w:r>
              <w:rPr>
                <w:rFonts w:eastAsia="Calibri" w:cs=""/>
                <w:kern w:val="0"/>
                <w:sz w:val="22"/>
                <w:szCs w:val="22"/>
                <w:lang w:val="ru-RU" w:eastAsia="en-US" w:bidi="ar-SA"/>
              </w:rPr>
              <w:t>, с пр</w:t>
            </w:r>
            <w:bookmarkStart w:id="385" w:name="_GoBack"/>
            <w:bookmarkEnd w:id="385"/>
            <w:r>
              <w:rPr>
                <w:rFonts w:eastAsia="Calibri" w:cs=""/>
                <w:kern w:val="0"/>
                <w:sz w:val="22"/>
                <w:szCs w:val="22"/>
                <w:lang w:val="ru-RU" w:eastAsia="en-US" w:bidi="ar-SA"/>
              </w:rPr>
              <w:t>едоставлением требуемых подтверждающих документов</w:t>
            </w:r>
          </w:p>
          <w:p>
            <w:pPr>
              <w:pStyle w:val="Style25"/>
              <w:widowControl w:val="false"/>
              <w:suppressAutoHyphens w:val="true"/>
              <w:spacing w:before="60" w:after="60"/>
              <w:rPr>
                <w:rFonts w:eastAsia="Calibri"/>
                <w:sz w:val="22"/>
              </w:rPr>
            </w:pPr>
            <w:r>
              <w:rPr>
                <w:rFonts w:eastAsia="Calibri" w:cs=""/>
                <w:i/>
                <w:iCs/>
                <w:kern w:val="0"/>
                <w:sz w:val="22"/>
                <w:szCs w:val="22"/>
                <w:lang w:val="ru-RU" w:eastAsia="en-US" w:bidi="ar-SA"/>
              </w:rPr>
              <w:t>(пункт применяется только в случае установления соответствующих требований)</w:t>
            </w:r>
          </w:p>
        </w:tc>
        <w:tc>
          <w:tcPr>
            <w:tcW w:w="2321" w:type="dxa"/>
            <w:tcBorders/>
          </w:tcPr>
          <w:p>
            <w:pPr>
              <w:pStyle w:val="Style25"/>
              <w:widowControl w:val="false"/>
              <w:suppressAutoHyphens w:val="true"/>
              <w:spacing w:before="60" w:after="60"/>
              <w:jc w:val="center"/>
              <w:rPr/>
            </w:pPr>
            <w:hyperlink w:anchor="Прил01_ТехТребования">
              <w:r>
                <w:rPr>
                  <w:rStyle w:val="Style7"/>
                  <w:rFonts w:eastAsia="Calibri" w:cs=""/>
                  <w:kern w:val="0"/>
                  <w:sz w:val="22"/>
                  <w:szCs w:val="22"/>
                  <w:lang w:val="ru-RU" w:eastAsia="en-US" w:bidi="ar-SA"/>
                </w:rPr>
                <w:t>Приложение № 1</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Тех</w:t>
            </w:r>
          </w:p>
        </w:tc>
      </w:tr>
    </w:tbl>
    <w:p>
      <w:pPr>
        <w:pStyle w:val="Style20"/>
        <w:spacing w:before="360" w:after="120"/>
        <w:rPr/>
      </w:pPr>
      <w:bookmarkStart w:id="386" w:name="__RefHeading___Toc192615_1558056896"/>
      <w:bookmarkStart w:id="387" w:name="_Toc186224179"/>
      <w:bookmarkEnd w:id="386"/>
      <w:r>
        <w:rPr>
          <w:rStyle w:val="Style4"/>
          <w:i w:val="false"/>
          <w:iCs w:val="false"/>
          <w:sz w:val="22"/>
          <w:shd w:fill="auto" w:val="clear"/>
        </w:rPr>
        <w:t>Отборочные критерии рассмотрения ценовых предложений (дополнительных ценовых предложений)</w:t>
      </w:r>
      <w:bookmarkEnd w:id="387"/>
    </w:p>
    <w:tbl>
      <w:tblPr>
        <w:tblStyle w:val="afff3"/>
        <w:tblW w:w="1512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9303"/>
        <w:gridCol w:w="2321"/>
        <w:gridCol w:w="2085"/>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w:t>
              <w:br/>
              <w:t>критерия</w:t>
            </w:r>
          </w:p>
        </w:tc>
        <w:tc>
          <w:tcPr>
            <w:tcW w:w="9303"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Наименование</w:t>
              <w:br/>
              <w:t>отборочного критерия</w:t>
            </w:r>
          </w:p>
        </w:tc>
        <w:tc>
          <w:tcPr>
            <w:tcW w:w="2321"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 пункта</w:t>
              <w:br/>
              <w:t>Документации о закупке</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Направления</w:t>
              <w:br/>
              <w:t>оценки заявок*</w:t>
            </w:r>
          </w:p>
        </w:tc>
      </w:tr>
      <w:tr>
        <w:trPr/>
        <w:tc>
          <w:tcPr>
            <w:tcW w:w="10715" w:type="dxa"/>
            <w:gridSpan w:val="2"/>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Состав, содержание и правильность оформления ценового предложения, в том числе:</w:t>
            </w:r>
          </w:p>
        </w:tc>
        <w:tc>
          <w:tcPr>
            <w:tcW w:w="2321"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11"/>
              </w:numPr>
              <w:suppressAutoHyphens w:val="true"/>
              <w:spacing w:before="60" w:after="6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pPr>
            <w:r>
              <w:rPr>
                <w:rFonts w:eastAsia="Calibri" w:cs=""/>
                <w:kern w:val="0"/>
                <w:sz w:val="22"/>
                <w:szCs w:val="22"/>
                <w:lang w:val="ru-RU" w:eastAsia="en-US" w:bidi="ar-SA"/>
              </w:rPr>
              <w:t xml:space="preserve">Соответствие ценового предложения по составу требованиям </w:t>
            </w:r>
            <w:hyperlink w:anchor="Прил06_СоставЗаявки">
              <w:r>
                <w:rPr>
                  <w:rStyle w:val="Style7"/>
                  <w:rFonts w:eastAsia="Calibri" w:cs=""/>
                  <w:kern w:val="0"/>
                  <w:sz w:val="22"/>
                  <w:szCs w:val="22"/>
                  <w:lang w:val="ru-RU" w:eastAsia="en-US" w:bidi="ar-SA"/>
                </w:rPr>
                <w:t>Приложения № 6 «Состав заявки»</w:t>
              </w:r>
            </w:hyperlink>
            <w:r>
              <w:rPr>
                <w:rFonts w:eastAsia="Calibri" w:cs=""/>
                <w:kern w:val="0"/>
                <w:sz w:val="22"/>
                <w:szCs w:val="22"/>
                <w:lang w:val="ru-RU" w:eastAsia="en-US" w:bidi="ar-SA"/>
              </w:rPr>
              <w:t>, а также правильности оформления документов, входящих в его состав, в том числе установленной форме и иным и иным требованиям Документации о закупке (в т.ч. в части языка и валюты заявки)</w:t>
            </w:r>
          </w:p>
        </w:tc>
        <w:tc>
          <w:tcPr>
            <w:tcW w:w="2321"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t xml:space="preserve">,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_Ref125362119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4.6</w:t>
            </w:r>
            <w:r>
              <w:rPr>
                <w:sz w:val="22"/>
                <w:kern w:val="0"/>
                <w:szCs w:val="22"/>
                <w:rFonts w:eastAsia="Calibri" w:cs=""/>
                <w:lang w:val="ru-RU" w:eastAsia="en-US" w:bidi="ar-SA"/>
              </w:rPr>
              <w:fldChar w:fldCharType="end"/>
            </w:r>
            <w:r>
              <w:rPr>
                <w:rFonts w:eastAsia="Calibri" w:cs=""/>
                <w:kern w:val="0"/>
                <w:sz w:val="22"/>
                <w:szCs w:val="22"/>
                <w:lang w:val="ru-RU" w:eastAsia="en-US" w:bidi="ar-SA"/>
              </w:rPr>
              <w:t>,</w:t>
            </w:r>
          </w:p>
          <w:p>
            <w:pPr>
              <w:pStyle w:val="Style25"/>
              <w:widowControl w:val="false"/>
              <w:suppressAutoHyphens w:val="true"/>
              <w:spacing w:before="60" w:after="60"/>
              <w:jc w:val="center"/>
              <w:rPr/>
            </w:pPr>
            <w:hyperlink w:anchor="Прил06_СоставЗаявки">
              <w:r>
                <w:rPr>
                  <w:rStyle w:val="Style7"/>
                  <w:rFonts w:eastAsia="Calibri" w:cs=""/>
                  <w:kern w:val="0"/>
                  <w:sz w:val="22"/>
                  <w:szCs w:val="22"/>
                  <w:lang w:val="ru-RU" w:eastAsia="en-US" w:bidi="ar-SA"/>
                </w:rPr>
                <w:t>Приложение № 6</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Цена</w:t>
            </w:r>
          </w:p>
        </w:tc>
      </w:tr>
      <w:tr>
        <w:trPr/>
        <w:tc>
          <w:tcPr>
            <w:tcW w:w="1412" w:type="dxa"/>
            <w:tcBorders/>
          </w:tcPr>
          <w:p>
            <w:pPr>
              <w:pStyle w:val="Style25"/>
              <w:widowControl w:val="false"/>
              <w:numPr>
                <w:ilvl w:val="0"/>
                <w:numId w:val="11"/>
              </w:numPr>
              <w:suppressAutoHyphens w:val="true"/>
              <w:spacing w:before="60" w:after="6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Отсутствие в материалах (документов) ценового предложения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2321"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p>
          <w:p>
            <w:pPr>
              <w:pStyle w:val="Style25"/>
              <w:widowControl w:val="false"/>
              <w:suppressAutoHyphens w:val="true"/>
              <w:spacing w:before="60" w:after="60"/>
              <w:jc w:val="center"/>
              <w:rPr>
                <w:rFonts w:eastAsia="Calibri"/>
                <w:sz w:val="22"/>
              </w:rPr>
            </w:pPr>
            <w:r>
              <w:rPr>
                <w:rFonts w:eastAsia="Calibri"/>
                <w:sz w:val="22"/>
              </w:rPr>
            </w:r>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Цена</w:t>
            </w:r>
          </w:p>
        </w:tc>
      </w:tr>
      <w:tr>
        <w:trPr/>
        <w:tc>
          <w:tcPr>
            <w:tcW w:w="10715" w:type="dxa"/>
            <w:gridSpan w:val="2"/>
            <w:tcBorders/>
          </w:tcPr>
          <w:p>
            <w:pPr>
              <w:pStyle w:val="Style25"/>
              <w:keepNext w:val="true"/>
              <w:widowControl w:val="false"/>
              <w:suppressAutoHyphens w:val="true"/>
              <w:spacing w:before="60" w:after="60"/>
              <w:rPr>
                <w:rFonts w:eastAsia="Calibri"/>
                <w:sz w:val="22"/>
              </w:rPr>
            </w:pPr>
            <w:r>
              <w:rPr>
                <w:rFonts w:eastAsia="Calibri" w:cs=""/>
                <w:b/>
                <w:bCs/>
                <w:kern w:val="0"/>
                <w:sz w:val="22"/>
                <w:szCs w:val="22"/>
                <w:lang w:val="ru-RU" w:eastAsia="en-US" w:bidi="ar-SA"/>
              </w:rPr>
              <w:t>Соответствие Коммерческого предложения Участника требованиям Документации о закупке, в том числе:</w:t>
            </w:r>
          </w:p>
        </w:tc>
        <w:tc>
          <w:tcPr>
            <w:tcW w:w="2321"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bCs/>
                <w:kern w:val="0"/>
                <w:sz w:val="22"/>
                <w:szCs w:val="22"/>
                <w:lang w:val="ru-RU" w:eastAsia="en-US" w:bidi="ar-SA"/>
              </w:rPr>
              <w:t>–</w:t>
            </w:r>
          </w:p>
        </w:tc>
      </w:tr>
      <w:tr>
        <w:trPr/>
        <w:tc>
          <w:tcPr>
            <w:tcW w:w="1412" w:type="dxa"/>
            <w:tcBorders/>
          </w:tcPr>
          <w:p>
            <w:pPr>
              <w:pStyle w:val="Style25"/>
              <w:widowControl w:val="false"/>
              <w:numPr>
                <w:ilvl w:val="0"/>
                <w:numId w:val="11"/>
              </w:numPr>
              <w:suppressAutoHyphens w:val="true"/>
              <w:spacing w:before="60" w:after="6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Соответствие Коммерческого предложения</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подразделы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_Ref130394681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4.3</w:t>
            </w:r>
            <w:r>
              <w:rPr>
                <w:sz w:val="22"/>
                <w:kern w:val="0"/>
                <w:szCs w:val="22"/>
                <w:rFonts w:eastAsia="Calibri" w:cs=""/>
                <w:lang w:val="ru-RU" w:eastAsia="en-US" w:bidi="ar-SA"/>
              </w:rPr>
              <w:fldChar w:fldCharType="end"/>
            </w:r>
            <w:r>
              <w:rPr>
                <w:rFonts w:eastAsia="Calibri" w:cs=""/>
                <w:kern w:val="0"/>
                <w:sz w:val="22"/>
                <w:szCs w:val="22"/>
                <w:lang w:val="ru-RU" w:eastAsia="en-US" w:bidi="ar-SA"/>
              </w:rPr>
              <w:t>,</w:t>
              <w:br/>
            </w:r>
            <w:hyperlink w:anchor="Прил04_ФормыЗаявки">
              <w:r>
                <w:rPr>
                  <w:rStyle w:val="Style7"/>
                  <w:rFonts w:eastAsia="Calibri" w:cs=""/>
                  <w:kern w:val="0"/>
                  <w:sz w:val="22"/>
                  <w:szCs w:val="22"/>
                  <w:lang w:val="ru-RU" w:eastAsia="en-US" w:bidi="ar-SA"/>
                </w:rPr>
                <w:t>Приложение № 4</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Цена</w:t>
            </w:r>
          </w:p>
        </w:tc>
      </w:tr>
      <w:tr>
        <w:trPr/>
        <w:tc>
          <w:tcPr>
            <w:tcW w:w="1412" w:type="dxa"/>
            <w:tcBorders/>
          </w:tcPr>
          <w:p>
            <w:pPr>
              <w:pStyle w:val="Style25"/>
              <w:widowControl w:val="false"/>
              <w:numPr>
                <w:ilvl w:val="0"/>
                <w:numId w:val="11"/>
              </w:numPr>
              <w:suppressAutoHyphens w:val="true"/>
              <w:spacing w:before="60" w:after="60"/>
              <w:ind w:left="170" w:hanging="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pPr>
            <w:r>
              <w:rPr>
                <w:rFonts w:eastAsia="Calibri" w:cs=""/>
                <w:kern w:val="0"/>
                <w:sz w:val="22"/>
                <w:szCs w:val="22"/>
                <w:lang w:val="ru-RU" w:eastAsia="en-US" w:bidi="ar-SA"/>
              </w:rPr>
              <w:t>Соответствие подтверждающей документации, прилагаемой к</w:t>
            </w:r>
            <w:r>
              <w:rPr>
                <w:rFonts w:eastAsia="Calibri" w:cs=""/>
                <w:kern w:val="0"/>
                <w:sz w:val="22"/>
                <w:szCs w:val="22"/>
                <w:lang w:val="en-US" w:eastAsia="en-US" w:bidi="ar-SA"/>
              </w:rPr>
              <w:t> </w:t>
            </w:r>
            <w:r>
              <w:rPr>
                <w:rFonts w:eastAsia="Calibri" w:cs=""/>
                <w:kern w:val="0"/>
                <w:sz w:val="22"/>
                <w:szCs w:val="22"/>
                <w:lang w:val="ru-RU" w:eastAsia="en-US" w:bidi="ar-SA"/>
              </w:rPr>
              <w:t>Коммерческому приложению (форма 3) (</w:t>
            </w:r>
            <w:hyperlink w:anchor="Прил04_ФормыЗаявки">
              <w:r>
                <w:rPr>
                  <w:rStyle w:val="Style7"/>
                  <w:rFonts w:eastAsia="Calibri" w:cs=""/>
                  <w:kern w:val="0"/>
                  <w:sz w:val="22"/>
                  <w:szCs w:val="22"/>
                  <w:lang w:val="ru-RU" w:eastAsia="en-US" w:bidi="ar-SA"/>
                </w:rPr>
                <w:t>Приложение № 4</w:t>
              </w:r>
            </w:hyperlink>
            <w:r>
              <w:rPr>
                <w:rFonts w:eastAsia="Calibri" w:cs=""/>
                <w:kern w:val="0"/>
                <w:sz w:val="22"/>
                <w:szCs w:val="22"/>
                <w:lang w:val="ru-RU" w:eastAsia="en-US" w:bidi="ar-SA"/>
              </w:rPr>
              <w:t xml:space="preserve">) требованиям, указанным в </w:t>
            </w:r>
            <w:hyperlink w:anchor="Прил01_ТехТребования">
              <w:r>
                <w:rPr>
                  <w:rStyle w:val="Style7"/>
                  <w:rFonts w:eastAsia="Calibri" w:cs=""/>
                  <w:kern w:val="0"/>
                  <w:sz w:val="22"/>
                  <w:szCs w:val="22"/>
                  <w:lang w:val="ru-RU" w:eastAsia="en-US" w:bidi="ar-SA"/>
                </w:rPr>
                <w:t>Технических требованиях (Приложение № 1)</w:t>
              </w:r>
            </w:hyperlink>
          </w:p>
          <w:p>
            <w:pPr>
              <w:pStyle w:val="Style25"/>
              <w:widowControl w:val="false"/>
              <w:suppressAutoHyphens w:val="true"/>
              <w:spacing w:before="60" w:after="60"/>
              <w:rPr/>
            </w:pPr>
            <w:r>
              <w:rPr>
                <w:rFonts w:eastAsia="Calibri" w:cs=""/>
                <w:i/>
                <w:iCs/>
                <w:kern w:val="0"/>
                <w:sz w:val="22"/>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7"/>
                  <w:rFonts w:eastAsia="Calibri" w:cs=""/>
                  <w:i/>
                  <w:iCs/>
                  <w:kern w:val="0"/>
                  <w:sz w:val="22"/>
                  <w:szCs w:val="22"/>
                  <w:lang w:val="ru-RU" w:eastAsia="en-US" w:bidi="ar-SA"/>
                </w:rPr>
                <w:t>Технических требованиях (Приложение № 1)</w:t>
              </w:r>
            </w:hyperlink>
            <w:r>
              <w:rPr>
                <w:rFonts w:eastAsia="Calibri" w:cs=""/>
                <w:i/>
                <w:iCs/>
                <w:kern w:val="0"/>
                <w:sz w:val="22"/>
                <w:szCs w:val="22"/>
                <w:lang w:val="ru-RU" w:eastAsia="en-US" w:bidi="ar-SA"/>
              </w:rPr>
              <w:t>)</w:t>
            </w:r>
          </w:p>
        </w:tc>
        <w:tc>
          <w:tcPr>
            <w:tcW w:w="2321" w:type="dxa"/>
            <w:tcBorders/>
          </w:tcPr>
          <w:p>
            <w:pPr>
              <w:pStyle w:val="Style25"/>
              <w:widowControl w:val="false"/>
              <w:suppressAutoHyphens w:val="true"/>
              <w:spacing w:before="60" w:after="60"/>
              <w:jc w:val="center"/>
              <w:rPr/>
            </w:pPr>
            <w:hyperlink w:anchor="Прил01_ТехТребования">
              <w:r>
                <w:rPr>
                  <w:rStyle w:val="Style7"/>
                  <w:rFonts w:eastAsia="Calibri" w:cs=""/>
                  <w:kern w:val="0"/>
                  <w:sz w:val="22"/>
                  <w:szCs w:val="22"/>
                  <w:lang w:val="ru-RU" w:eastAsia="en-US" w:bidi="ar-SA"/>
                </w:rPr>
                <w:t>Приложение № 1</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Цена</w:t>
            </w:r>
          </w:p>
        </w:tc>
      </w:tr>
    </w:tbl>
    <w:p>
      <w:pPr>
        <w:pStyle w:val="Style20"/>
        <w:rPr/>
      </w:pPr>
      <w:bookmarkStart w:id="388" w:name="__RefHeading___Toc192617_1558056896"/>
      <w:bookmarkStart w:id="389" w:name="_Toc186224180"/>
      <w:bookmarkEnd w:id="388"/>
      <w:r>
        <w:rPr>
          <w:rStyle w:val="Style4"/>
          <w:i w:val="false"/>
          <w:iCs w:val="false"/>
          <w:sz w:val="22"/>
          <w:shd w:fill="auto" w:val="clear"/>
        </w:rPr>
        <w:t>Дополнительные критерии проверки заявок на соответствие условиям Документации о закупке</w:t>
      </w:r>
      <w:bookmarkEnd w:id="389"/>
    </w:p>
    <w:p>
      <w:pPr>
        <w:pStyle w:val="Style25"/>
        <w:keepNext w:val="true"/>
        <w:spacing w:before="120" w:after="120"/>
        <w:rPr>
          <w:sz w:val="22"/>
        </w:rPr>
      </w:pPr>
      <w:r>
        <w:rPr>
          <w:sz w:val="22"/>
        </w:rPr>
        <w:t>Несоответствие одному или всем дополнительным критериям не является основанием для отклонения заявки.</w:t>
      </w:r>
    </w:p>
    <w:tbl>
      <w:tblPr>
        <w:tblStyle w:val="afff3"/>
        <w:tblW w:w="15122" w:type="dxa"/>
        <w:jc w:val="left"/>
        <w:tblInd w:w="0" w:type="dxa"/>
        <w:tblLayout w:type="fixed"/>
        <w:tblCellMar>
          <w:top w:w="0" w:type="dxa"/>
          <w:left w:w="57" w:type="dxa"/>
          <w:bottom w:w="0" w:type="dxa"/>
          <w:right w:w="57" w:type="dxa"/>
        </w:tblCellMar>
        <w:tblLook w:val="04a0" w:noVBand="1" w:noHBand="0" w:lastColumn="0" w:firstColumn="1" w:lastRow="0" w:firstRow="1"/>
      </w:tblPr>
      <w:tblGrid>
        <w:gridCol w:w="1412"/>
        <w:gridCol w:w="9303"/>
        <w:gridCol w:w="2321"/>
        <w:gridCol w:w="2085"/>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w:t>
              <w:br/>
              <w:t>критерия</w:t>
            </w:r>
          </w:p>
        </w:tc>
        <w:tc>
          <w:tcPr>
            <w:tcW w:w="9303"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Наименование</w:t>
              <w:br/>
              <w:t>отборочного критерия</w:t>
            </w:r>
          </w:p>
        </w:tc>
        <w:tc>
          <w:tcPr>
            <w:tcW w:w="2321"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Номер пункта</w:t>
              <w:br/>
              <w:t>Документации о закупке</w:t>
            </w:r>
          </w:p>
        </w:tc>
        <w:tc>
          <w:tcPr>
            <w:tcW w:w="2085" w:type="dxa"/>
            <w:tcBorders/>
          </w:tcPr>
          <w:p>
            <w:pPr>
              <w:pStyle w:val="Style25"/>
              <w:keepNext w:val="true"/>
              <w:widowControl w:val="false"/>
              <w:suppressAutoHyphens w:val="true"/>
              <w:spacing w:before="60" w:after="60"/>
              <w:jc w:val="center"/>
              <w:rPr>
                <w:rFonts w:eastAsia="Calibri"/>
                <w:sz w:val="22"/>
              </w:rPr>
            </w:pPr>
            <w:r>
              <w:rPr>
                <w:rFonts w:eastAsia="Calibri" w:cs=""/>
                <w:b/>
                <w:kern w:val="0"/>
                <w:sz w:val="22"/>
                <w:szCs w:val="22"/>
                <w:lang w:val="ru-RU" w:eastAsia="en-US" w:bidi="ar-SA"/>
              </w:rPr>
              <w:t>Направления</w:t>
              <w:br/>
              <w:t>оценки заявок*</w:t>
            </w:r>
          </w:p>
        </w:tc>
      </w:tr>
      <w:tr>
        <w:trPr/>
        <w:tc>
          <w:tcPr>
            <w:tcW w:w="1412" w:type="dxa"/>
            <w:tcBorders/>
          </w:tcPr>
          <w:p>
            <w:pPr>
              <w:pStyle w:val="Style25"/>
              <w:widowControl w:val="false"/>
              <w:numPr>
                <w:ilvl w:val="0"/>
                <w:numId w:val="12"/>
              </w:numPr>
              <w:suppressAutoHyphens w:val="true"/>
              <w:spacing w:before="60" w:after="60"/>
              <w:jc w:val="center"/>
              <w:rPr>
                <w:rFonts w:eastAsia="Calibri"/>
                <w:sz w:val="22"/>
              </w:rPr>
            </w:pPr>
            <w:r>
              <w:rPr>
                <w:rFonts w:eastAsia="Calibri"/>
                <w:sz w:val="22"/>
              </w:rPr>
            </w:r>
          </w:p>
        </w:tc>
        <w:tc>
          <w:tcPr>
            <w:tcW w:w="9303" w:type="dxa"/>
            <w:tcBorders/>
          </w:tcPr>
          <w:p>
            <w:pPr>
              <w:pStyle w:val="Style25"/>
              <w:widowControl w:val="false"/>
              <w:suppressAutoHyphens w:val="true"/>
              <w:spacing w:before="60" w:after="60"/>
              <w:rPr>
                <w:rFonts w:eastAsia="Calibri"/>
                <w:sz w:val="22"/>
              </w:rPr>
            </w:pPr>
            <w:r>
              <w:rPr>
                <w:rFonts w:eastAsia="Calibri" w:cs=""/>
                <w:kern w:val="0"/>
                <w:sz w:val="22"/>
                <w:szCs w:val="22"/>
                <w:lang w:val="ru-RU" w:eastAsia="en-US" w:bidi="ar-SA"/>
              </w:rPr>
              <w:t>Наличие в заявке в форме Коммерческого предложения информации о стране происхождения товара</w:t>
            </w:r>
          </w:p>
        </w:tc>
        <w:tc>
          <w:tcPr>
            <w:tcW w:w="2321" w:type="dxa"/>
            <w:tcBorders/>
          </w:tcPr>
          <w:p>
            <w:pPr>
              <w:pStyle w:val="Style25"/>
              <w:widowControl w:val="false"/>
              <w:suppressAutoHyphens w:val="true"/>
              <w:spacing w:before="60" w:after="60"/>
              <w:jc w:val="center"/>
              <w:rPr/>
            </w:pPr>
            <w:r>
              <w:rPr>
                <w:rFonts w:eastAsia="Calibri" w:cs=""/>
                <w:kern w:val="0"/>
                <w:sz w:val="22"/>
                <w:szCs w:val="22"/>
                <w:lang w:val="ru-RU" w:eastAsia="en-US" w:bidi="ar-SA"/>
              </w:rPr>
              <w:t>подраздел </w:t>
            </w:r>
            <w:r>
              <w:rPr>
                <w:rFonts w:eastAsia="Calibri" w:cs=""/>
                <w:kern w:val="0"/>
                <w:sz w:val="22"/>
                <w:szCs w:val="22"/>
                <w:lang w:val="ru-RU" w:eastAsia="en-US" w:bidi="ar-SA"/>
              </w:rPr>
              <w:fldChar w:fldCharType="begin"/>
            </w:r>
            <w:r>
              <w:rPr>
                <w:sz w:val="22"/>
                <w:kern w:val="0"/>
                <w:szCs w:val="22"/>
                <w:rFonts w:eastAsia="Calibri" w:cs=""/>
                <w:lang w:val="ru-RU" w:eastAsia="en-US" w:bidi="ar-SA"/>
              </w:rPr>
              <w:instrText xml:space="preserve"> REF _Ref132816300 \r \h </w:instrText>
            </w:r>
            <w:r>
              <w:rPr>
                <w:sz w:val="22"/>
                <w:kern w:val="0"/>
                <w:szCs w:val="22"/>
                <w:rFonts w:eastAsia="Calibri" w:cs=""/>
                <w:lang w:val="ru-RU" w:eastAsia="en-US" w:bidi="ar-SA"/>
              </w:rPr>
              <w:fldChar w:fldCharType="separate"/>
            </w:r>
            <w:r>
              <w:rPr>
                <w:sz w:val="22"/>
                <w:kern w:val="0"/>
                <w:szCs w:val="22"/>
                <w:rFonts w:eastAsia="Calibri" w:cs=""/>
                <w:lang w:val="ru-RU" w:eastAsia="en-US" w:bidi="ar-SA"/>
              </w:rPr>
              <w:t>4.14</w:t>
            </w:r>
            <w:r>
              <w:rPr>
                <w:sz w:val="22"/>
                <w:kern w:val="0"/>
                <w:szCs w:val="22"/>
                <w:rFonts w:eastAsia="Calibri" w:cs=""/>
                <w:lang w:val="ru-RU" w:eastAsia="en-US" w:bidi="ar-SA"/>
              </w:rPr>
              <w:fldChar w:fldCharType="end"/>
            </w:r>
            <w:r>
              <w:rPr>
                <w:rFonts w:eastAsia="Calibri" w:cs=""/>
                <w:kern w:val="0"/>
                <w:sz w:val="22"/>
                <w:szCs w:val="22"/>
                <w:lang w:val="ru-RU" w:eastAsia="en-US" w:bidi="ar-SA"/>
              </w:rPr>
              <w:t>,</w:t>
              <w:br/>
            </w:r>
            <w:hyperlink w:anchor="Прил04_ФормыЗаявки">
              <w:r>
                <w:rPr>
                  <w:rStyle w:val="Style7"/>
                  <w:rFonts w:eastAsia="Calibri" w:cs=""/>
                  <w:kern w:val="0"/>
                  <w:sz w:val="22"/>
                  <w:szCs w:val="22"/>
                  <w:lang w:val="ru-RU" w:eastAsia="en-US" w:bidi="ar-SA"/>
                </w:rPr>
                <w:t>Приложение № 4</w:t>
              </w:r>
            </w:hyperlink>
          </w:p>
        </w:tc>
        <w:tc>
          <w:tcPr>
            <w:tcW w:w="2085" w:type="dxa"/>
            <w:tcBorders/>
          </w:tcPr>
          <w:p>
            <w:pPr>
              <w:pStyle w:val="Style25"/>
              <w:widowControl w:val="false"/>
              <w:suppressAutoHyphens w:val="true"/>
              <w:spacing w:before="60" w:after="60"/>
              <w:jc w:val="center"/>
              <w:rPr>
                <w:rFonts w:eastAsia="Calibri"/>
                <w:sz w:val="22"/>
              </w:rPr>
            </w:pPr>
            <w:r>
              <w:rPr>
                <w:rFonts w:eastAsia="Calibri" w:cs=""/>
                <w:kern w:val="0"/>
                <w:sz w:val="22"/>
                <w:szCs w:val="22"/>
                <w:lang w:val="ru-RU" w:eastAsia="en-US" w:bidi="ar-SA"/>
              </w:rPr>
              <w:t>Цена</w:t>
            </w:r>
          </w:p>
        </w:tc>
      </w:tr>
    </w:tbl>
    <w:p>
      <w:pPr>
        <w:pStyle w:val="Style25"/>
        <w:keepNext w:val="true"/>
        <w:tabs>
          <w:tab w:val="clear" w:pos="720"/>
          <w:tab w:val="left" w:pos="851" w:leader="none"/>
        </w:tabs>
        <w:spacing w:before="240" w:after="0"/>
        <w:rPr>
          <w:sz w:val="22"/>
        </w:rPr>
      </w:pPr>
      <w:r>
        <w:rPr>
          <w:b/>
          <w:bCs/>
          <w:sz w:val="22"/>
        </w:rPr>
        <w:t>* Направления оценки заявок:</w:t>
      </w:r>
    </w:p>
    <w:p>
      <w:pPr>
        <w:pStyle w:val="Style25"/>
        <w:tabs>
          <w:tab w:val="clear" w:pos="720"/>
          <w:tab w:val="left" w:pos="1134" w:leader="none"/>
        </w:tabs>
        <w:ind w:left="1701" w:hanging="1701"/>
        <w:rPr>
          <w:sz w:val="22"/>
        </w:rPr>
      </w:pPr>
      <w:r>
        <w:rPr>
          <w:b/>
          <w:bCs/>
          <w:sz w:val="22"/>
        </w:rPr>
        <w:t>Орг</w:t>
      </w:r>
      <w:r>
        <w:rPr>
          <w:sz w:val="22"/>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независимой гарантии (в том числе наличие сведений о ней в соответствующем реестре в ЕИС) – в случае отсутствия внесенных Участником денежных средств на специальный банковский счет </w:t>
      </w:r>
      <w:r>
        <w:rPr>
          <w:i/>
          <w:iCs/>
          <w:sz w:val="22"/>
        </w:rPr>
        <w:t>(последние применяется только в случае установления соответствующих требований)</w:t>
      </w:r>
      <w:r>
        <w:rPr>
          <w:sz w:val="22"/>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 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(https://npd.nalog.ru/check-status/);</w:t>
      </w:r>
    </w:p>
    <w:p>
      <w:pPr>
        <w:pStyle w:val="Style25"/>
        <w:tabs>
          <w:tab w:val="clear" w:pos="720"/>
          <w:tab w:val="left" w:pos="1134" w:leader="none"/>
        </w:tabs>
        <w:ind w:left="1701" w:hanging="1701"/>
        <w:rPr>
          <w:sz w:val="22"/>
        </w:rPr>
      </w:pPr>
      <w:r>
        <w:rPr>
          <w:b/>
          <w:bCs/>
          <w:sz w:val="22"/>
        </w:rPr>
        <w:t>Тех</w:t>
      </w:r>
      <w:r>
        <w:rPr>
          <w:sz w:val="22"/>
        </w:rPr>
        <w:tab/>
        <w:t>–</w:t>
        <w:tab/>
        <w:t>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специальным требованиям Документации о закупке; оценка квалификационных данных Участника (в рамках оценки заявок по соответствующим критериям оценки), 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p>
    <w:p>
      <w:pPr>
        <w:pStyle w:val="Style25"/>
        <w:tabs>
          <w:tab w:val="clear" w:pos="720"/>
          <w:tab w:val="left" w:pos="1134" w:leader="none"/>
        </w:tabs>
        <w:ind w:left="1701" w:hanging="1701"/>
        <w:rPr>
          <w:sz w:val="22"/>
        </w:rPr>
      </w:pPr>
      <w:r>
        <w:rPr>
          <w:b/>
          <w:bCs/>
          <w:sz w:val="22"/>
        </w:rPr>
        <w:t>Юр</w:t>
      </w:r>
      <w:r>
        <w:rPr>
          <w:sz w:val="22"/>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5"/>
        <w:keepNext w:val="true"/>
        <w:tabs>
          <w:tab w:val="clear" w:pos="720"/>
          <w:tab w:val="left" w:pos="1134" w:leader="none"/>
        </w:tabs>
        <w:ind w:left="1701" w:hanging="1701"/>
        <w:rPr>
          <w:sz w:val="22"/>
        </w:rPr>
      </w:pPr>
      <w:r>
        <w:rPr>
          <w:b/>
          <w:bCs/>
          <w:sz w:val="22"/>
        </w:rPr>
        <w:t>Цена</w:t>
      </w:r>
      <w:r>
        <w:rPr>
          <w:sz w:val="22"/>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25"/>
        <w:tabs>
          <w:tab w:val="clear" w:pos="720"/>
          <w:tab w:val="left" w:pos="1134" w:leader="none"/>
        </w:tabs>
        <w:ind w:left="1701" w:hanging="1701"/>
        <w:rPr>
          <w:sz w:val="22"/>
        </w:rPr>
      </w:pPr>
      <w:r>
        <w:rPr>
          <w:b/>
          <w:bCs/>
          <w:sz w:val="22"/>
        </w:rPr>
        <w:t>Фин</w:t>
      </w:r>
      <w:r>
        <w:rPr>
          <w:sz w:val="22"/>
        </w:rPr>
        <w:tab/>
        <w:t>–</w:t>
        <w:tab/>
        <w:t xml:space="preserve">оценка независимой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sz w:val="22"/>
        </w:rPr>
        <w:t>(финансовая экспертиза проводится по инициативе эксперта по направлениям Орг, в случае наличия в заявке независимой гарантии)</w:t>
      </w:r>
      <w:r>
        <w:rPr>
          <w:sz w:val="22"/>
        </w:rPr>
        <w:t>.</w:t>
      </w:r>
    </w:p>
    <w:p>
      <w:pPr>
        <w:sectPr>
          <w:headerReference w:type="default" r:id="rId35"/>
          <w:headerReference w:type="first" r:id="rId36"/>
          <w:footerReference w:type="default" r:id="rId37"/>
          <w:footerReference w:type="first" r:id="rId38"/>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5"/>
        <w:rPr>
          <w:sz w:val="22"/>
        </w:rPr>
      </w:pPr>
      <w:r>
        <w:rPr>
          <w:sz w:val="22"/>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19"/>
        <w:shd w:val="clear" w:fill="FFFFFF"/>
        <w:rPr>
          <w:rFonts w:eastAsia="Calibri" w:cs="" w:cstheme="minorBidi" w:eastAsiaTheme="minorHAnsi"/>
          <w:highlight w:val="none"/>
          <w:shd w:fill="FFFFFF" w:val="clear"/>
        </w:rPr>
      </w:pPr>
      <w:bookmarkStart w:id="390" w:name="__RefHeading___Toc192619_1558056896"/>
      <w:bookmarkStart w:id="391" w:name="_Toc186224181"/>
      <w:bookmarkStart w:id="392" w:name="_Ref125368165"/>
      <w:bookmarkStart w:id="393" w:name="_Ref125361648"/>
      <w:bookmarkStart w:id="394" w:name="_Ref125361951"/>
      <w:bookmarkStart w:id="395" w:name="_Ref125368331"/>
      <w:bookmarkStart w:id="396" w:name="_Ref125366013"/>
      <w:bookmarkStart w:id="397" w:name="_Ref125366280"/>
      <w:bookmarkStart w:id="398" w:name="_Ref125366285"/>
      <w:bookmarkStart w:id="399" w:name="_Ref125368140"/>
      <w:bookmarkStart w:id="400" w:name="_Ref125369438"/>
      <w:bookmarkStart w:id="401" w:name="_Ref125369021"/>
      <w:bookmarkStart w:id="402" w:name="_Ref125368313"/>
      <w:bookmarkStart w:id="403" w:name="_Ref125368302"/>
      <w:bookmarkStart w:id="404" w:name="_Ref125368291"/>
      <w:bookmarkStart w:id="405" w:name="_Ref125368283"/>
      <w:bookmarkStart w:id="406" w:name="_Ref125368172"/>
      <w:bookmarkStart w:id="407" w:name="_Ref125368184"/>
      <w:bookmarkStart w:id="408" w:name="_Ref125368150"/>
      <w:bookmarkStart w:id="409" w:name="Прил08_ПорядокОценки"/>
      <w:bookmarkEnd w:id="390"/>
      <w:bookmarkEnd w:id="409"/>
      <w:r>
        <w:rPr>
          <w:rFonts w:eastAsia="Calibri" w:cs="" w:cstheme="minorBidi" w:eastAsiaTheme="minorHAnsi"/>
          <w:shd w:fill="FFFFFF" w:val="clear"/>
        </w:rPr>
        <w:t>Приложение № 8 – Порядок и критерии оценки и сопоставления заявок</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pStyle w:val="Style20"/>
        <w:rPr/>
      </w:pPr>
      <w:bookmarkStart w:id="410" w:name="__RefHeading___Toc192621_1558056896"/>
      <w:bookmarkStart w:id="411" w:name="_Toc186224182"/>
      <w:bookmarkEnd w:id="410"/>
      <w:r>
        <w:rPr/>
        <w:t>Порядок и критерии оценки и сопоставления заявок</w:t>
      </w:r>
      <w:bookmarkEnd w:id="411"/>
    </w:p>
    <w:p>
      <w:pPr>
        <w:pStyle w:val="Style21"/>
        <w:rPr/>
      </w:pPr>
      <w:r>
        <w:rPr/>
        <w:t>Расчет итоговой оценки предпочтительности каждой заявки, успешно прошедшей отборочную стадию: рассмотрение вторых частей заявок и ценовых предложений, рассмотрение дополнительных ценовых предложений – если проводилась переторжка, осуществляется по следующим критериям оценки и в соответствии со следующим порядком оценки предпочтительности и сопоставления заявок:</w:t>
      </w:r>
    </w:p>
    <w:tbl>
      <w:tblPr>
        <w:tblW w:w="14269" w:type="dxa"/>
        <w:jc w:val="left"/>
        <w:tblInd w:w="902" w:type="dxa"/>
        <w:tblLayout w:type="fixed"/>
        <w:tblCellMar>
          <w:top w:w="55" w:type="dxa"/>
          <w:left w:w="57" w:type="dxa"/>
          <w:bottom w:w="55" w:type="dxa"/>
          <w:right w:w="57" w:type="dxa"/>
        </w:tblCellMar>
        <w:tblLook w:val="04a0" w:noVBand="1" w:noHBand="0" w:lastColumn="0" w:firstColumn="1" w:lastRow="0" w:firstRow="1"/>
      </w:tblPr>
      <w:tblGrid>
        <w:gridCol w:w="787"/>
        <w:gridCol w:w="2240"/>
        <w:gridCol w:w="1594"/>
        <w:gridCol w:w="1558"/>
        <w:gridCol w:w="1482"/>
        <w:gridCol w:w="2033"/>
        <w:gridCol w:w="4574"/>
      </w:tblGrid>
      <w:tr>
        <w:trPr/>
        <w:tc>
          <w:tcPr>
            <w:tcW w:w="787" w:type="dxa"/>
            <w:vMerge w:val="restart"/>
            <w:tcBorders>
              <w:top w:val="single" w:sz="4" w:space="0" w:color="000000"/>
              <w:left w:val="single" w:sz="4" w:space="0" w:color="000000"/>
              <w:bottom w:val="single" w:sz="4" w:space="0" w:color="000000"/>
            </w:tcBorders>
          </w:tcPr>
          <w:p>
            <w:pPr>
              <w:pStyle w:val="Style25"/>
              <w:keepNext w:val="true"/>
              <w:widowControl w:val="false"/>
              <w:spacing w:before="120" w:after="0"/>
              <w:jc w:val="center"/>
              <w:rPr/>
            </w:pPr>
            <w:r>
              <w:rPr>
                <w:rFonts w:eastAsia="Calibri"/>
                <w:b/>
                <w:sz w:val="20"/>
                <w:szCs w:val="20"/>
              </w:rPr>
              <w:t>Номер критерия оценки в</w:t>
            </w:r>
            <w:r>
              <w:rPr>
                <w:rFonts w:eastAsia="Calibri"/>
                <w:b/>
                <w:sz w:val="20"/>
                <w:szCs w:val="20"/>
                <w:lang w:val="en-US"/>
              </w:rPr>
              <w:t> </w:t>
            </w:r>
            <w:r>
              <w:rPr>
                <w:rFonts w:eastAsia="Calibri"/>
                <w:b/>
                <w:sz w:val="20"/>
                <w:szCs w:val="20"/>
              </w:rPr>
              <w:t>структуре</w:t>
            </w:r>
          </w:p>
        </w:tc>
        <w:tc>
          <w:tcPr>
            <w:tcW w:w="2240" w:type="dxa"/>
            <w:vMerge w:val="restart"/>
            <w:tcBorders>
              <w:top w:val="single" w:sz="4" w:space="0" w:color="000000"/>
              <w:left w:val="single" w:sz="4" w:space="0" w:color="000000"/>
              <w:bottom w:val="single" w:sz="4" w:space="0" w:color="000000"/>
            </w:tcBorders>
          </w:tcPr>
          <w:p>
            <w:pPr>
              <w:pStyle w:val="Style25"/>
              <w:keepNext w:val="true"/>
              <w:widowControl w:val="false"/>
              <w:spacing w:before="120" w:after="0"/>
              <w:jc w:val="center"/>
              <w:rPr>
                <w:rFonts w:eastAsia="Calibri"/>
                <w:b/>
                <w:sz w:val="20"/>
                <w:szCs w:val="20"/>
              </w:rPr>
            </w:pPr>
            <w:r>
              <w:rPr>
                <w:rFonts w:eastAsia="Calibri"/>
                <w:b/>
                <w:sz w:val="20"/>
                <w:szCs w:val="20"/>
              </w:rPr>
              <w:t>Вид критерия оценки / направление оценки заявок</w:t>
            </w:r>
          </w:p>
        </w:tc>
        <w:tc>
          <w:tcPr>
            <w:tcW w:w="3152" w:type="dxa"/>
            <w:gridSpan w:val="2"/>
            <w:tcBorders>
              <w:top w:val="single" w:sz="4" w:space="0" w:color="000000"/>
              <w:left w:val="single" w:sz="4" w:space="0" w:color="000000"/>
              <w:bottom w:val="single" w:sz="4" w:space="0" w:color="000000"/>
            </w:tcBorders>
          </w:tcPr>
          <w:p>
            <w:pPr>
              <w:pStyle w:val="Style25"/>
              <w:keepNext w:val="true"/>
              <w:widowControl w:val="false"/>
              <w:spacing w:before="120" w:after="0"/>
              <w:jc w:val="center"/>
              <w:rPr>
                <w:rFonts w:eastAsia="Calibri"/>
                <w:b/>
                <w:sz w:val="20"/>
                <w:szCs w:val="20"/>
              </w:rPr>
            </w:pPr>
            <w:r>
              <w:rPr>
                <w:rFonts w:eastAsia="Calibri"/>
                <w:b/>
                <w:sz w:val="20"/>
                <w:szCs w:val="20"/>
              </w:rPr>
              <w:t>Наименование критерия оценки</w:t>
            </w:r>
          </w:p>
        </w:tc>
        <w:tc>
          <w:tcPr>
            <w:tcW w:w="1482" w:type="dxa"/>
            <w:vMerge w:val="restart"/>
            <w:tcBorders>
              <w:top w:val="single" w:sz="4" w:space="0" w:color="000000"/>
              <w:left w:val="single" w:sz="4" w:space="0" w:color="000000"/>
              <w:bottom w:val="single" w:sz="4" w:space="0" w:color="000000"/>
            </w:tcBorders>
          </w:tcPr>
          <w:p>
            <w:pPr>
              <w:pStyle w:val="Style25"/>
              <w:keepNext w:val="true"/>
              <w:widowControl w:val="false"/>
              <w:spacing w:before="120" w:after="0"/>
              <w:jc w:val="center"/>
              <w:rPr>
                <w:rFonts w:eastAsia="Calibri"/>
                <w:b/>
                <w:sz w:val="20"/>
                <w:szCs w:val="20"/>
              </w:rPr>
            </w:pPr>
            <w:r>
              <w:rPr>
                <w:rFonts w:eastAsia="Calibri"/>
                <w:b/>
                <w:sz w:val="20"/>
                <w:szCs w:val="20"/>
              </w:rPr>
              <w:t>Значимость</w:t>
              <w:br/>
              <w:t>критерия оценки</w:t>
            </w:r>
          </w:p>
        </w:tc>
        <w:tc>
          <w:tcPr>
            <w:tcW w:w="2033" w:type="dxa"/>
            <w:vMerge w:val="restart"/>
            <w:tcBorders>
              <w:top w:val="single" w:sz="4" w:space="0" w:color="000000"/>
              <w:left w:val="single" w:sz="4" w:space="0" w:color="000000"/>
              <w:bottom w:val="single" w:sz="4" w:space="0" w:color="000000"/>
            </w:tcBorders>
          </w:tcPr>
          <w:p>
            <w:pPr>
              <w:pStyle w:val="Style25"/>
              <w:keepNext w:val="true"/>
              <w:widowControl w:val="false"/>
              <w:spacing w:before="120" w:after="0"/>
              <w:jc w:val="center"/>
              <w:rPr>
                <w:rFonts w:eastAsia="Calibri"/>
                <w:b/>
                <w:sz w:val="20"/>
                <w:szCs w:val="20"/>
              </w:rPr>
            </w:pPr>
            <w:r>
              <w:rPr>
                <w:rFonts w:eastAsia="Calibri"/>
                <w:b/>
                <w:sz w:val="20"/>
                <w:szCs w:val="20"/>
              </w:rPr>
              <w:t>Содержание частного критерия оценки</w:t>
            </w:r>
          </w:p>
        </w:tc>
        <w:tc>
          <w:tcPr>
            <w:tcW w:w="4574" w:type="dxa"/>
            <w:vMerge w:val="restart"/>
            <w:tcBorders>
              <w:top w:val="single" w:sz="4" w:space="0" w:color="000000"/>
              <w:left w:val="single" w:sz="4" w:space="0" w:color="000000"/>
              <w:bottom w:val="single" w:sz="4" w:space="0" w:color="000000"/>
              <w:right w:val="single" w:sz="4" w:space="0" w:color="000000"/>
            </w:tcBorders>
          </w:tcPr>
          <w:p>
            <w:pPr>
              <w:pStyle w:val="Style25"/>
              <w:keepNext w:val="true"/>
              <w:widowControl w:val="false"/>
              <w:spacing w:before="120" w:after="0"/>
              <w:jc w:val="center"/>
              <w:rPr>
                <w:rFonts w:eastAsia="Calibri"/>
                <w:b/>
                <w:sz w:val="20"/>
                <w:szCs w:val="20"/>
              </w:rPr>
            </w:pPr>
            <w:r>
              <w:rPr>
                <w:rFonts w:eastAsia="Calibri"/>
                <w:b/>
                <w:sz w:val="20"/>
                <w:szCs w:val="20"/>
              </w:rPr>
              <w:t>Расчет оценки предпочтительности заявки</w:t>
            </w:r>
          </w:p>
        </w:tc>
      </w:tr>
      <w:tr>
        <w:trPr/>
        <w:tc>
          <w:tcPr>
            <w:tcW w:w="787" w:type="dxa"/>
            <w:vMerge w:val="continue"/>
            <w:tcBorders>
              <w:left w:val="single" w:sz="4" w:space="0" w:color="000000"/>
              <w:bottom w:val="single" w:sz="4" w:space="0" w:color="000000"/>
            </w:tcBorders>
          </w:tcPr>
          <w:p>
            <w:pPr>
              <w:pStyle w:val="Style25"/>
              <w:widowControl w:val="false"/>
              <w:spacing w:before="40" w:after="40"/>
              <w:jc w:val="center"/>
              <w:rPr>
                <w:sz w:val="18"/>
                <w:szCs w:val="18"/>
              </w:rPr>
            </w:pPr>
            <w:r>
              <w:rPr>
                <w:sz w:val="18"/>
                <w:szCs w:val="18"/>
              </w:rPr>
            </w:r>
          </w:p>
        </w:tc>
        <w:tc>
          <w:tcPr>
            <w:tcW w:w="2240" w:type="dxa"/>
            <w:vMerge w:val="continue"/>
            <w:tcBorders>
              <w:left w:val="single" w:sz="4" w:space="0" w:color="000000"/>
              <w:bottom w:val="single" w:sz="4" w:space="0" w:color="000000"/>
            </w:tcBorders>
          </w:tcPr>
          <w:p>
            <w:pPr>
              <w:pStyle w:val="Style25"/>
              <w:widowControl w:val="false"/>
              <w:spacing w:before="40" w:after="40"/>
              <w:jc w:val="center"/>
              <w:rPr>
                <w:sz w:val="18"/>
                <w:szCs w:val="18"/>
              </w:rPr>
            </w:pPr>
            <w:r>
              <w:rPr>
                <w:sz w:val="18"/>
                <w:szCs w:val="18"/>
              </w:rPr>
            </w:r>
          </w:p>
        </w:tc>
        <w:tc>
          <w:tcPr>
            <w:tcW w:w="1594" w:type="dxa"/>
            <w:tcBorders>
              <w:left w:val="single" w:sz="4" w:space="0" w:color="000000"/>
              <w:bottom w:val="single" w:sz="4" w:space="0" w:color="000000"/>
            </w:tcBorders>
          </w:tcPr>
          <w:p>
            <w:pPr>
              <w:pStyle w:val="Style25"/>
              <w:widowControl w:val="false"/>
              <w:spacing w:before="120" w:after="0"/>
              <w:jc w:val="center"/>
              <w:rPr>
                <w:rFonts w:eastAsia="Calibri"/>
                <w:b/>
                <w:bCs/>
                <w:sz w:val="20"/>
                <w:szCs w:val="20"/>
              </w:rPr>
            </w:pPr>
            <w:r>
              <w:rPr>
                <w:rFonts w:eastAsia="Calibri"/>
                <w:b/>
                <w:bCs/>
                <w:sz w:val="20"/>
                <w:szCs w:val="20"/>
              </w:rPr>
              <w:t>критерий оценки первого уровня</w:t>
            </w:r>
          </w:p>
        </w:tc>
        <w:tc>
          <w:tcPr>
            <w:tcW w:w="1558" w:type="dxa"/>
            <w:tcBorders>
              <w:left w:val="single" w:sz="4" w:space="0" w:color="000000"/>
              <w:bottom w:val="single" w:sz="4" w:space="0" w:color="000000"/>
            </w:tcBorders>
          </w:tcPr>
          <w:p>
            <w:pPr>
              <w:pStyle w:val="Style25"/>
              <w:widowControl w:val="false"/>
              <w:spacing w:before="120" w:after="0"/>
              <w:jc w:val="center"/>
              <w:rPr>
                <w:rFonts w:eastAsia="Calibri"/>
                <w:b/>
                <w:bCs/>
                <w:sz w:val="20"/>
                <w:szCs w:val="20"/>
              </w:rPr>
            </w:pPr>
            <w:r>
              <w:rPr>
                <w:rFonts w:eastAsia="Calibri"/>
                <w:b/>
                <w:bCs/>
                <w:sz w:val="20"/>
                <w:szCs w:val="20"/>
              </w:rPr>
              <w:t>критерий оценки второго уровня</w:t>
            </w:r>
          </w:p>
        </w:tc>
        <w:tc>
          <w:tcPr>
            <w:tcW w:w="1482" w:type="dxa"/>
            <w:vMerge w:val="continue"/>
            <w:tcBorders>
              <w:left w:val="single" w:sz="4" w:space="0" w:color="000000"/>
              <w:bottom w:val="single" w:sz="4" w:space="0" w:color="000000"/>
            </w:tcBorders>
          </w:tcPr>
          <w:p>
            <w:pPr>
              <w:pStyle w:val="Style25"/>
              <w:widowControl w:val="false"/>
              <w:spacing w:before="40" w:after="40"/>
              <w:jc w:val="center"/>
              <w:rPr>
                <w:sz w:val="18"/>
                <w:szCs w:val="18"/>
              </w:rPr>
            </w:pPr>
            <w:r>
              <w:rPr>
                <w:sz w:val="18"/>
                <w:szCs w:val="18"/>
              </w:rPr>
            </w:r>
          </w:p>
        </w:tc>
        <w:tc>
          <w:tcPr>
            <w:tcW w:w="2033" w:type="dxa"/>
            <w:vMerge w:val="continue"/>
            <w:tcBorders>
              <w:left w:val="single" w:sz="4" w:space="0" w:color="000000"/>
              <w:bottom w:val="single" w:sz="4" w:space="0" w:color="000000"/>
            </w:tcBorders>
          </w:tcPr>
          <w:p>
            <w:pPr>
              <w:pStyle w:val="Style25"/>
              <w:widowControl w:val="false"/>
              <w:spacing w:before="40" w:after="40"/>
              <w:jc w:val="center"/>
              <w:rPr>
                <w:sz w:val="18"/>
                <w:szCs w:val="18"/>
              </w:rPr>
            </w:pPr>
            <w:r>
              <w:rPr>
                <w:sz w:val="18"/>
                <w:szCs w:val="18"/>
              </w:rPr>
            </w:r>
          </w:p>
        </w:tc>
        <w:tc>
          <w:tcPr>
            <w:tcW w:w="4574" w:type="dxa"/>
            <w:vMerge w:val="continue"/>
            <w:tcBorders>
              <w:left w:val="single" w:sz="4" w:space="0" w:color="000000"/>
              <w:bottom w:val="single" w:sz="4" w:space="0" w:color="000000"/>
              <w:right w:val="single" w:sz="4" w:space="0" w:color="000000"/>
            </w:tcBorders>
          </w:tcPr>
          <w:p>
            <w:pPr>
              <w:pStyle w:val="Style25"/>
              <w:widowControl w:val="false"/>
              <w:spacing w:before="40" w:after="40"/>
              <w:jc w:val="center"/>
              <w:rPr>
                <w:sz w:val="18"/>
                <w:szCs w:val="18"/>
              </w:rPr>
            </w:pPr>
            <w:r>
              <w:rPr>
                <w:sz w:val="18"/>
                <w:szCs w:val="18"/>
              </w:rPr>
            </w:r>
          </w:p>
        </w:tc>
      </w:tr>
      <w:tr>
        <w:trPr/>
        <w:tc>
          <w:tcPr>
            <w:tcW w:w="787" w:type="dxa"/>
            <w:tcBorders>
              <w:left w:val="single" w:sz="4" w:space="0" w:color="000000"/>
              <w:bottom w:val="single" w:sz="4" w:space="0" w:color="000000"/>
            </w:tcBorders>
          </w:tcPr>
          <w:p>
            <w:pPr>
              <w:pStyle w:val="Normal"/>
              <w:widowControl w:val="false"/>
              <w:spacing w:before="120" w:after="0"/>
              <w:rPr>
                <w:rFonts w:eastAsia="Calibri"/>
                <w:i/>
                <w:i/>
                <w:iCs/>
                <w:sz w:val="20"/>
                <w:szCs w:val="20"/>
              </w:rPr>
            </w:pPr>
            <w:r>
              <w:rPr>
                <w:rFonts w:eastAsia="Calibri"/>
                <w:i/>
                <w:iCs/>
                <w:sz w:val="20"/>
                <w:szCs w:val="20"/>
              </w:rPr>
              <w:t>1.</w:t>
            </w:r>
          </w:p>
        </w:tc>
        <w:tc>
          <w:tcPr>
            <w:tcW w:w="2240" w:type="dxa"/>
            <w:tcBorders>
              <w:left w:val="single" w:sz="4" w:space="0" w:color="000000"/>
              <w:bottom w:val="single" w:sz="4" w:space="0" w:color="000000"/>
            </w:tcBorders>
          </w:tcPr>
          <w:p>
            <w:pPr>
              <w:pStyle w:val="Normal"/>
              <w:widowControl w:val="false"/>
              <w:spacing w:before="120" w:after="0"/>
              <w:rPr/>
            </w:pPr>
            <w:r>
              <w:rPr>
                <w:rFonts w:eastAsia="Calibri"/>
                <w:i/>
                <w:sz w:val="20"/>
                <w:szCs w:val="20"/>
              </w:rPr>
              <w:t>Ценовой (стоимостный) частный критерий оценки первого уровня»/</w:t>
            </w:r>
            <w:r>
              <w:rPr>
                <w:rStyle w:val="Annotationreference"/>
                <w:rFonts w:eastAsia="Calibri" w:cs="Mangal"/>
                <w:i/>
              </w:rPr>
              <w:t>ЦЕНА</w:t>
            </w:r>
          </w:p>
        </w:tc>
        <w:tc>
          <w:tcPr>
            <w:tcW w:w="1594" w:type="dxa"/>
            <w:tcBorders>
              <w:left w:val="single" w:sz="4" w:space="0" w:color="000000"/>
              <w:bottom w:val="single" w:sz="4" w:space="0" w:color="000000"/>
            </w:tcBorders>
          </w:tcPr>
          <w:p>
            <w:pPr>
              <w:pStyle w:val="Style25"/>
              <w:widowControl w:val="false"/>
              <w:spacing w:before="120" w:after="0"/>
              <w:jc w:val="center"/>
              <w:rPr/>
            </w:pPr>
            <w:r>
              <w:rPr>
                <w:rStyle w:val="Style4"/>
                <w:rFonts w:eastAsia="Calibri" w:ascii="Liberation Serif" w:hAnsi="Liberation Serif"/>
                <w:sz w:val="20"/>
                <w:szCs w:val="20"/>
                <w:shd w:fill="auto" w:val="clear"/>
              </w:rPr>
              <w:t>Цена договора</w:t>
            </w:r>
            <w:r>
              <w:rPr>
                <w:rStyle w:val="Annotationreference"/>
                <w:rFonts w:cs="Mangal"/>
              </w:rPr>
              <w:t xml:space="preserve"> </w:t>
            </w:r>
            <w:r>
              <w:rPr>
                <w:rStyle w:val="Annotationreference"/>
                <w:rFonts w:cs="Mangal" w:ascii="Liberation Serif" w:hAnsi="Liberation Serif"/>
                <w:i/>
                <w:iCs/>
                <w:sz w:val="20"/>
                <w:szCs w:val="20"/>
              </w:rPr>
              <w:t>(заявки)</w:t>
            </w:r>
          </w:p>
        </w:tc>
        <w:tc>
          <w:tcPr>
            <w:tcW w:w="1558" w:type="dxa"/>
            <w:tcBorders>
              <w:left w:val="single" w:sz="4" w:space="0" w:color="000000"/>
              <w:bottom w:val="single" w:sz="4" w:space="0" w:color="000000"/>
            </w:tcBorders>
          </w:tcPr>
          <w:p>
            <w:pPr>
              <w:pStyle w:val="Style25"/>
              <w:widowControl w:val="false"/>
              <w:spacing w:before="120" w:after="0"/>
              <w:jc w:val="center"/>
              <w:rPr/>
            </w:pPr>
            <w:r>
              <w:rPr>
                <w:rStyle w:val="Style4"/>
                <w:rFonts w:eastAsia="Calibri"/>
                <w:sz w:val="20"/>
                <w:szCs w:val="20"/>
                <w:shd w:fill="auto" w:val="clear"/>
              </w:rPr>
              <w:t>отсутствует</w:t>
            </w:r>
          </w:p>
        </w:tc>
        <w:tc>
          <w:tcPr>
            <w:tcW w:w="1482" w:type="dxa"/>
            <w:tcBorders>
              <w:left w:val="single" w:sz="4" w:space="0" w:color="000000"/>
              <w:bottom w:val="single" w:sz="4" w:space="0" w:color="000000"/>
            </w:tcBorders>
          </w:tcPr>
          <w:p>
            <w:pPr>
              <w:pStyle w:val="Normal"/>
              <w:widowControl w:val="false"/>
              <w:spacing w:before="40" w:after="40"/>
              <w:jc w:val="center"/>
              <w:rPr>
                <w:sz w:val="18"/>
                <w:szCs w:val="18"/>
              </w:rPr>
            </w:pPr>
            <w:r>
              <w:rPr>
                <w:sz w:val="18"/>
                <w:szCs w:val="18"/>
              </w:rPr>
              <w:t>85%</w:t>
              <w:br/>
              <w:t>(В</w:t>
            </w:r>
            <w:r>
              <w:rPr>
                <w:sz w:val="18"/>
                <w:szCs w:val="18"/>
                <w:vertAlign w:val="subscript"/>
              </w:rPr>
              <w:t>1</w:t>
            </w:r>
            <w:r>
              <w:rPr>
                <w:sz w:val="18"/>
                <w:szCs w:val="18"/>
              </w:rPr>
              <w:t xml:space="preserve"> = 0,85)</w:t>
            </w:r>
          </w:p>
          <w:p>
            <w:pPr>
              <w:pStyle w:val="Style25"/>
              <w:widowControl w:val="false"/>
              <w:spacing w:before="40" w:after="40"/>
              <w:jc w:val="center"/>
              <w:rPr/>
            </w:pPr>
            <w:r>
              <w:rPr>
                <w:rStyle w:val="Style4"/>
                <w:rFonts w:eastAsia="Calibri"/>
                <w:kern w:val="0"/>
                <w:sz w:val="18"/>
                <w:szCs w:val="18"/>
                <w:shd w:fill="auto" w:val="clear"/>
                <w:lang w:eastAsia="en-US" w:bidi="ar-SA"/>
              </w:rPr>
              <w:t xml:space="preserve">где </w:t>
            </w:r>
            <w:r>
              <w:rPr/>
            </w:r>
            <m:oMath xmlns:m="http://schemas.openxmlformats.org/officeDocument/2006/math">
              <m:sSub>
                <m:e>
                  <m:r>
                    <w:rPr>
                      <w:rFonts w:ascii="Cambria Math" w:hAnsi="Cambria Math"/>
                    </w:rPr>
                    <m:t xml:space="preserve">В</m:t>
                  </m:r>
                </m:e>
                <m:sub>
                  <m:r>
                    <w:rPr>
                      <w:rFonts w:ascii="Cambria Math" w:hAnsi="Cambria Math"/>
                    </w:rPr>
                    <m:t xml:space="preserve">i</m:t>
                  </m:r>
                </m:sub>
              </m:sSub>
            </m:oMath>
            <w:r>
              <w:rPr>
                <w:rStyle w:val="Style4"/>
                <w:rFonts w:eastAsia="Calibri"/>
                <w:kern w:val="0"/>
                <w:sz w:val="18"/>
                <w:szCs w:val="18"/>
                <w:shd w:fill="auto" w:val="clear"/>
                <w:lang w:eastAsia="en-US" w:bidi="ar-SA"/>
              </w:rPr>
              <w:t xml:space="preserve"> – значимость (вес) критерия оценки</w:t>
            </w:r>
          </w:p>
        </w:tc>
        <w:tc>
          <w:tcPr>
            <w:tcW w:w="2033" w:type="dxa"/>
            <w:tcBorders>
              <w:left w:val="single" w:sz="4" w:space="0" w:color="000000"/>
              <w:bottom w:val="single" w:sz="4" w:space="0" w:color="000000"/>
            </w:tcBorders>
          </w:tcPr>
          <w:p>
            <w:pPr>
              <w:pStyle w:val="Style25"/>
              <w:widowControl w:val="false"/>
              <w:spacing w:before="120" w:after="0"/>
              <w:jc w:val="left"/>
              <w:rPr/>
            </w:pPr>
            <w:r>
              <w:rPr>
                <w:rStyle w:val="Style4"/>
                <w:rFonts w:eastAsia="Calibri"/>
                <w:sz w:val="20"/>
                <w:szCs w:val="20"/>
                <w:shd w:fill="auto" w:val="clear"/>
              </w:rPr>
              <w:t>Чем меньше стоимость заявки Участника, тем выше предпочтительность</w:t>
            </w:r>
          </w:p>
        </w:tc>
        <w:tc>
          <w:tcPr>
            <w:tcW w:w="4574" w:type="dxa"/>
            <w:tcBorders>
              <w:left w:val="single" w:sz="4" w:space="0" w:color="000000"/>
              <w:bottom w:val="single" w:sz="4" w:space="0" w:color="000000"/>
              <w:right w:val="single" w:sz="4" w:space="0" w:color="000000"/>
            </w:tcBorders>
          </w:tcPr>
          <w:p>
            <w:pPr>
              <w:pStyle w:val="Style25"/>
              <w:widowControl w:val="false"/>
              <w:spacing w:before="120" w:after="0"/>
              <w:jc w:val="left"/>
              <w:rPr/>
            </w:pPr>
            <w:r>
              <w:rPr>
                <w:rStyle w:val="Style4"/>
                <w:rFonts w:eastAsia="Calibri"/>
                <w:sz w:val="20"/>
                <w:szCs w:val="20"/>
                <w:shd w:fill="auto" w:val="clear"/>
              </w:rPr>
              <w:t>Расчет оценки предпочтительности по частному критерию по методу «Математическая формула, задающая «функцию ценности»»:</w:t>
            </w:r>
          </w:p>
          <w:p>
            <w:pPr>
              <w:pStyle w:val="Style25"/>
              <w:widowControl w:val="false"/>
              <w:jc w:val="center"/>
              <w:rPr>
                <w:sz w:val="20"/>
                <w:szCs w:val="20"/>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Style25"/>
              <w:widowControl w:val="false"/>
              <w:jc w:val="left"/>
              <w:rPr/>
            </w:pPr>
            <w:r>
              <w:rPr>
                <w:rStyle w:val="Style4"/>
                <w:rFonts w:eastAsia="Calibri"/>
                <w:sz w:val="20"/>
                <w:szCs w:val="20"/>
                <w:shd w:fill="auto" w:val="clear"/>
              </w:rPr>
              <w:t>где:</w:t>
            </w:r>
          </w:p>
          <w:p>
            <w:pPr>
              <w:pStyle w:val="Style25"/>
              <w:widowControl w:val="false"/>
              <w:jc w:val="left"/>
              <w:rPr/>
            </w:pPr>
            <w:r>
              <w:rPr/>
            </w:r>
            <m:oMath xmlns:m="http://schemas.openxmlformats.org/officeDocument/2006/math">
              <m:sSub>
                <m:e>
                  <m:r>
                    <w:rPr>
                      <w:rFonts w:ascii="Cambria Math" w:hAnsi="Cambria Math"/>
                    </w:rPr>
                    <m:t xml:space="preserve">Б</m:t>
                  </m:r>
                </m:e>
                <m:sub>
                  <m:r>
                    <w:rPr>
                      <w:rFonts w:ascii="Cambria Math" w:hAnsi="Cambria Math"/>
                    </w:rPr>
                    <m:t xml:space="preserve">1</m:t>
                  </m:r>
                </m:sub>
              </m:sSub>
            </m:oMath>
            <w:r>
              <w:rPr>
                <w:rStyle w:val="Style4"/>
                <w:rFonts w:eastAsia="Calibri"/>
                <w:sz w:val="20"/>
                <w:szCs w:val="20"/>
                <w:shd w:fill="auto" w:val="clear"/>
              </w:rPr>
              <w:t xml:space="preserve"> – </w:t>
            </w:r>
            <w:r>
              <w:rPr>
                <w:rStyle w:val="Style4"/>
                <w:rFonts w:eastAsia="Calibri"/>
                <w:sz w:val="20"/>
                <w:szCs w:val="20"/>
                <w:shd w:fill="auto" w:val="clear"/>
              </w:rPr>
              <w:t>рассчитанная оценка предпочтительности по данному частному критерию оценки в баллах;</w:t>
            </w:r>
          </w:p>
          <w:p>
            <w:pPr>
              <w:pStyle w:val="Style25"/>
              <w:widowControl w:val="false"/>
              <w:jc w:val="left"/>
              <w:rPr/>
            </w:pPr>
            <w:r>
              <w:rPr/>
            </w:r>
            <m:oMath xmlns:m="http://schemas.openxmlformats.org/officeDocument/2006/math">
              <m:sSub>
                <m:e>
                  <m:r>
                    <w:rPr>
                      <w:rFonts w:ascii="Cambria Math" w:hAnsi="Cambria Math"/>
                    </w:rPr>
                    <m:t xml:space="preserve">ЦЕНА</m:t>
                  </m:r>
                </m:e>
                <m:sub>
                  <m:r>
                    <w:rPr>
                      <w:rFonts w:ascii="Cambria Math" w:hAnsi="Cambria Math"/>
                    </w:rPr>
                    <m:t xml:space="preserve">i</m:t>
                  </m:r>
                </m:sub>
              </m:sSub>
            </m:oMath>
            <w:r>
              <w:rPr>
                <w:rStyle w:val="Style4"/>
                <w:rFonts w:eastAsia="Calibri"/>
                <w:sz w:val="20"/>
                <w:szCs w:val="20"/>
                <w:shd w:fill="auto" w:val="clear"/>
              </w:rPr>
              <w:t xml:space="preserve"> – </w:t>
            </w:r>
            <w:r>
              <w:rPr>
                <w:rStyle w:val="Style4"/>
                <w:rFonts w:eastAsia="Calibri"/>
                <w:sz w:val="20"/>
                <w:szCs w:val="20"/>
                <w:shd w:fill="auto" w:val="clear"/>
              </w:rPr>
              <w:t>цена договора (стоимость заявки), указанная в i-той заявке (в Коммерческом предложении по установленной в Документации о закупке форме);</w:t>
            </w:r>
          </w:p>
          <w:p>
            <w:pPr>
              <w:pStyle w:val="Style25"/>
              <w:widowControl w:val="false"/>
              <w:jc w:val="left"/>
              <w:rPr/>
            </w:pPr>
            <w:r>
              <w:rPr/>
            </w:r>
            <m:oMath xmlns:m="http://schemas.openxmlformats.org/officeDocument/2006/math">
              <m:sSub>
                <m:e>
                  <m:r>
                    <w:rPr>
                      <w:rFonts w:ascii="Cambria Math" w:hAnsi="Cambria Math"/>
                    </w:rPr>
                    <m:t xml:space="preserve">ЦЕНА</m:t>
                  </m:r>
                </m:e>
                <m:sub>
                  <m:r>
                    <w:rPr>
                      <w:rFonts w:ascii="Cambria Math" w:hAnsi="Cambria Math"/>
                    </w:rPr>
                    <m:t xml:space="preserve">min</m:t>
                  </m:r>
                </m:sub>
              </m:sSub>
            </m:oMath>
            <w:r>
              <w:rPr>
                <w:rStyle w:val="Style4"/>
                <w:rFonts w:eastAsia="Calibri"/>
                <w:sz w:val="20"/>
                <w:szCs w:val="20"/>
                <w:shd w:fill="auto" w:val="clear"/>
              </w:rPr>
              <w:t xml:space="preserve"> – </w:t>
            </w:r>
            <w:r>
              <w:rPr>
                <w:rStyle w:val="Style4"/>
                <w:rFonts w:eastAsia="Calibri"/>
                <w:sz w:val="20"/>
                <w:szCs w:val="20"/>
                <w:shd w:fill="auto" w:val="clear"/>
              </w:rPr>
              <w:t>минимальная цена договора (стоимость заявки) среди всех допущенных заявок участников, руб. без учета НДС;</w:t>
            </w:r>
          </w:p>
          <w:p>
            <w:pPr>
              <w:pStyle w:val="Style25"/>
              <w:widowControl w:val="false"/>
              <w:jc w:val="left"/>
              <w:rPr/>
            </w:pPr>
            <w:r>
              <w:rPr/>
            </w:r>
            <m:oMath xmlns:m="http://schemas.openxmlformats.org/officeDocument/2006/math">
              <m:r>
                <w:rPr>
                  <w:rFonts w:ascii="Cambria Math" w:hAnsi="Cambria Math"/>
                </w:rPr>
                <m:t xml:space="preserve">Ш</m:t>
              </m:r>
            </m:oMath>
            <w:r>
              <w:rPr>
                <w:rStyle w:val="Style4"/>
                <w:rFonts w:eastAsia="Calibri"/>
                <w:sz w:val="20"/>
                <w:szCs w:val="20"/>
                <w:shd w:fill="auto" w:val="clear"/>
              </w:rPr>
              <w:t xml:space="preserve"> – </w:t>
            </w:r>
            <w:r>
              <w:rPr>
                <w:rStyle w:val="Style4"/>
                <w:rFonts w:eastAsia="Calibri"/>
                <w:sz w:val="20"/>
                <w:szCs w:val="20"/>
                <w:shd w:fill="auto" w:val="clear"/>
              </w:rPr>
              <w:t>максимально возможный балл (максимальная возможная оценка предпочтительности) по шкале оценок(</w:t>
            </w:r>
            <w:r>
              <w:rPr/>
            </w:r>
            <m:oMath xmlns:m="http://schemas.openxmlformats.org/officeDocument/2006/math">
              <m:r>
                <w:rPr>
                  <w:rFonts w:ascii="Cambria Math" w:hAnsi="Cambria Math"/>
                </w:rPr>
                <m:t xml:space="preserve">Ш</m:t>
              </m:r>
              <m:r>
                <w:rPr>
                  <w:rFonts w:ascii="Cambria Math" w:hAnsi="Cambria Math"/>
                </w:rPr>
                <m:t xml:space="preserve">=</m:t>
              </m:r>
              <m:r>
                <w:rPr>
                  <w:rFonts w:ascii="Cambria Math" w:hAnsi="Cambria Math"/>
                </w:rPr>
                <m:t xml:space="preserve">5</m:t>
              </m:r>
            </m:oMath>
            <w:r>
              <w:rPr>
                <w:rStyle w:val="Style4"/>
                <w:rFonts w:eastAsia="Calibri"/>
                <w:sz w:val="20"/>
                <w:szCs w:val="20"/>
                <w:shd w:fill="auto" w:val="clear"/>
              </w:rPr>
              <w:t>)</w:t>
            </w:r>
            <w:r>
              <w:rPr>
                <w:rFonts w:eastAsia="Calibri"/>
                <w:sz w:val="20"/>
                <w:szCs w:val="20"/>
              </w:rPr>
              <w:t>.</w:t>
            </w:r>
          </w:p>
          <w:p>
            <w:pPr>
              <w:pStyle w:val="Style25"/>
              <w:widowControl w:val="false"/>
              <w:jc w:val="left"/>
              <w:rPr/>
            </w:pPr>
            <w:r>
              <w:rPr>
                <w:rStyle w:val="Style4"/>
                <w:rFonts w:eastAsia="Calibri"/>
                <w:sz w:val="20"/>
                <w:szCs w:val="20"/>
                <w:shd w:fill="auto" w:val="clear"/>
              </w:rPr>
              <w:t>Оценка предпочтительности заявок осуществляется в едином базисе сопоставления ценовых (стоимостных) предложений,</w:t>
            </w:r>
            <w:r>
              <w:rPr>
                <w:sz w:val="20"/>
                <w:szCs w:val="20"/>
                <w:lang w:eastAsia="ru-RU"/>
              </w:rPr>
              <w:t xml:space="preserve"> </w:t>
            </w:r>
            <w:r>
              <w:rPr>
                <w:rStyle w:val="Style4"/>
                <w:rFonts w:eastAsia="Calibri"/>
                <w:sz w:val="20"/>
                <w:szCs w:val="20"/>
                <w:shd w:fill="auto" w:val="clear"/>
              </w:rPr>
              <w:t>установленном в документации о закупке: без учета НДС.</w:t>
            </w:r>
          </w:p>
          <w:p>
            <w:pPr>
              <w:pStyle w:val="Style25"/>
              <w:widowControl w:val="false"/>
              <w:jc w:val="left"/>
              <w:rPr>
                <w:sz w:val="20"/>
                <w:szCs w:val="20"/>
              </w:rPr>
            </w:pPr>
            <w:r>
              <w:rPr>
                <w:rFonts w:eastAsia="Calibri"/>
                <w:sz w:val="20"/>
                <w:szCs w:val="20"/>
              </w:rPr>
              <w:t>Шкала оценок от 0 до 5 баллов.</w:t>
            </w:r>
          </w:p>
        </w:tc>
      </w:tr>
      <w:tr>
        <w:trPr/>
        <w:tc>
          <w:tcPr>
            <w:tcW w:w="787" w:type="dxa"/>
            <w:tcBorders>
              <w:left w:val="single" w:sz="4" w:space="0" w:color="000000"/>
              <w:bottom w:val="single" w:sz="4" w:space="0" w:color="000000"/>
            </w:tcBorders>
          </w:tcPr>
          <w:p>
            <w:pPr>
              <w:pStyle w:val="Style25"/>
              <w:widowControl w:val="false"/>
              <w:spacing w:before="120" w:after="0"/>
              <w:jc w:val="center"/>
              <w:rPr>
                <w:rFonts w:eastAsia="Calibri"/>
                <w:sz w:val="20"/>
                <w:szCs w:val="20"/>
              </w:rPr>
            </w:pPr>
            <w:r>
              <w:rPr>
                <w:rFonts w:eastAsia="Calibri"/>
                <w:sz w:val="20"/>
                <w:szCs w:val="20"/>
              </w:rPr>
              <w:t>2.</w:t>
            </w:r>
          </w:p>
        </w:tc>
        <w:tc>
          <w:tcPr>
            <w:tcW w:w="2240" w:type="dxa"/>
            <w:tcBorders>
              <w:left w:val="single" w:sz="4" w:space="0" w:color="000000"/>
              <w:bottom w:val="single" w:sz="4" w:space="0" w:color="000000"/>
            </w:tcBorders>
          </w:tcPr>
          <w:p>
            <w:pPr>
              <w:pStyle w:val="Normal"/>
              <w:widowControl w:val="false"/>
              <w:spacing w:before="120" w:after="0"/>
              <w:jc w:val="center"/>
              <w:rPr>
                <w:rFonts w:eastAsia="Calibri"/>
                <w:i/>
                <w:i/>
                <w:iCs/>
                <w:sz w:val="20"/>
                <w:szCs w:val="20"/>
              </w:rPr>
            </w:pPr>
            <w:r>
              <w:rPr>
                <w:rFonts w:eastAsia="Calibri"/>
                <w:i/>
                <w:iCs/>
                <w:sz w:val="20"/>
                <w:szCs w:val="20"/>
              </w:rPr>
              <w:t>«Неценовой критерий оценки первого уровня;</w:t>
              <w:br/>
              <w:t>Тех</w:t>
            </w:r>
          </w:p>
        </w:tc>
        <w:tc>
          <w:tcPr>
            <w:tcW w:w="1594" w:type="dxa"/>
            <w:tcBorders>
              <w:left w:val="single" w:sz="4" w:space="0" w:color="000000"/>
              <w:bottom w:val="single" w:sz="4" w:space="0" w:color="000000"/>
            </w:tcBorders>
          </w:tcPr>
          <w:p>
            <w:pPr>
              <w:pStyle w:val="Normal"/>
              <w:widowControl w:val="false"/>
              <w:spacing w:before="120" w:after="0"/>
              <w:jc w:val="center"/>
              <w:rPr/>
            </w:pPr>
            <w:r>
              <w:rPr>
                <w:rFonts w:eastAsia="Calibri"/>
                <w:i/>
                <w:sz w:val="20"/>
                <w:szCs w:val="20"/>
              </w:rPr>
              <w:t>Квалификация (предпочтительность) Участника</w:t>
            </w:r>
          </w:p>
        </w:tc>
        <w:tc>
          <w:tcPr>
            <w:tcW w:w="1558" w:type="dxa"/>
            <w:tcBorders>
              <w:left w:val="single" w:sz="4" w:space="0" w:color="000000"/>
              <w:bottom w:val="single" w:sz="4" w:space="0" w:color="000000"/>
            </w:tcBorders>
          </w:tcPr>
          <w:p>
            <w:pPr>
              <w:pStyle w:val="Style25"/>
              <w:widowControl w:val="false"/>
              <w:spacing w:before="120" w:after="0"/>
              <w:jc w:val="center"/>
              <w:rPr>
                <w:rFonts w:eastAsia="Calibri"/>
                <w:i/>
                <w:i/>
                <w:sz w:val="20"/>
                <w:szCs w:val="20"/>
              </w:rPr>
            </w:pPr>
            <w:r>
              <w:rPr>
                <w:rFonts w:eastAsia="Calibri"/>
                <w:i/>
                <w:sz w:val="20"/>
                <w:szCs w:val="20"/>
              </w:rPr>
              <w:t>отсутствует</w:t>
            </w:r>
          </w:p>
        </w:tc>
        <w:tc>
          <w:tcPr>
            <w:tcW w:w="1482" w:type="dxa"/>
            <w:tcBorders>
              <w:left w:val="single" w:sz="4" w:space="0" w:color="000000"/>
              <w:bottom w:val="single" w:sz="4" w:space="0" w:color="000000"/>
            </w:tcBorders>
          </w:tcPr>
          <w:p>
            <w:pPr>
              <w:pStyle w:val="Normal"/>
              <w:widowControl w:val="false"/>
              <w:spacing w:before="40" w:after="40"/>
              <w:jc w:val="center"/>
              <w:rPr>
                <w:sz w:val="18"/>
                <w:szCs w:val="18"/>
              </w:rPr>
            </w:pPr>
            <w:r>
              <w:rPr>
                <w:sz w:val="18"/>
                <w:szCs w:val="18"/>
              </w:rPr>
              <w:t>10%</w:t>
              <w:br/>
              <w:t>(В</w:t>
            </w:r>
            <w:r>
              <w:rPr>
                <w:sz w:val="18"/>
                <w:szCs w:val="18"/>
                <w:vertAlign w:val="subscript"/>
              </w:rPr>
              <w:t>2</w:t>
            </w:r>
            <w:r>
              <w:rPr>
                <w:sz w:val="18"/>
                <w:szCs w:val="18"/>
              </w:rPr>
              <w:t xml:space="preserve"> = 0,10)</w:t>
            </w:r>
          </w:p>
          <w:p>
            <w:pPr>
              <w:pStyle w:val="Style25"/>
              <w:widowControl w:val="false"/>
              <w:jc w:val="center"/>
              <w:rPr/>
            </w:pPr>
            <w:r>
              <w:rPr>
                <w:rFonts w:eastAsia="Calibri"/>
                <w:i/>
                <w:iCs/>
                <w:kern w:val="0"/>
                <w:sz w:val="18"/>
                <w:szCs w:val="18"/>
                <w:lang w:eastAsia="en-US" w:bidi="ar-SA"/>
              </w:rPr>
              <w:t xml:space="preserve">где </w:t>
            </w:r>
            <w:r>
              <w:rPr/>
            </w:r>
            <m:oMath xmlns:m="http://schemas.openxmlformats.org/officeDocument/2006/math">
              <m:sSub>
                <m:e>
                  <m:r>
                    <w:rPr>
                      <w:rFonts w:ascii="Cambria Math" w:hAnsi="Cambria Math"/>
                    </w:rPr>
                    <m:t xml:space="preserve">B</m:t>
                  </m:r>
                </m:e>
                <m:sub>
                  <m:r>
                    <w:rPr>
                      <w:rFonts w:ascii="Cambria Math" w:hAnsi="Cambria Math"/>
                    </w:rPr>
                    <m:t xml:space="preserve">2</m:t>
                  </m:r>
                </m:sub>
              </m:sSub>
            </m:oMath>
            <w:r>
              <w:rPr>
                <w:rFonts w:eastAsia="Calibri"/>
                <w:i/>
                <w:iCs/>
                <w:kern w:val="0"/>
                <w:sz w:val="18"/>
                <w:szCs w:val="18"/>
                <w:lang w:eastAsia="en-US" w:bidi="ar-SA"/>
              </w:rPr>
              <w:t xml:space="preserve"> – значимость (вес) критерия оценки</w:t>
            </w:r>
          </w:p>
        </w:tc>
        <w:tc>
          <w:tcPr>
            <w:tcW w:w="2033" w:type="dxa"/>
            <w:tcBorders>
              <w:left w:val="single" w:sz="4" w:space="0" w:color="000000"/>
              <w:bottom w:val="single" w:sz="4" w:space="0" w:color="000000"/>
            </w:tcBorders>
          </w:tcPr>
          <w:p>
            <w:pPr>
              <w:pStyle w:val="Standard"/>
              <w:widowControl w:val="false"/>
              <w:jc w:val="center"/>
              <w:rPr/>
            </w:pPr>
            <w:r>
              <w:rPr>
                <w:rStyle w:val="Style15"/>
                <w:rFonts w:eastAsia="Calibri" w:cs="Times New Roman" w:ascii="Times New Roman" w:hAnsi="Times New Roman"/>
                <w:i/>
                <w:kern w:val="0"/>
                <w:sz w:val="20"/>
                <w:szCs w:val="20"/>
                <w:lang w:eastAsia="en-US" w:bidi="ar-SA"/>
              </w:rPr>
              <w:t xml:space="preserve">Чем больше опыт работ по чистке просек </w:t>
            </w:r>
            <w:r>
              <w:rPr>
                <w:rStyle w:val="Style15"/>
                <w:rFonts w:eastAsia="Calibri" w:cs="Times New Roman" w:ascii="Times New Roman" w:hAnsi="Times New Roman"/>
                <w:i/>
                <w:spacing w:val="-2"/>
                <w:kern w:val="0"/>
                <w:sz w:val="20"/>
                <w:szCs w:val="20"/>
                <w:lang w:eastAsia="en-US" w:bidi="ar-SA"/>
              </w:rPr>
              <w:t xml:space="preserve"> ЛЭП , </w:t>
            </w:r>
            <w:r>
              <w:rPr>
                <w:rStyle w:val="Style15"/>
                <w:rFonts w:eastAsia="Calibri" w:cs="Times New Roman" w:ascii="Times New Roman" w:hAnsi="Times New Roman"/>
                <w:i/>
                <w:kern w:val="0"/>
                <w:sz w:val="20"/>
                <w:szCs w:val="20"/>
                <w:lang w:eastAsia="en-US" w:bidi="ar-SA"/>
              </w:rPr>
              <w:t xml:space="preserve"> тем  выше предпочтительность</w:t>
            </w:r>
          </w:p>
        </w:tc>
        <w:tc>
          <w:tcPr>
            <w:tcW w:w="4574" w:type="dxa"/>
            <w:tcBorders>
              <w:left w:val="single" w:sz="4" w:space="0" w:color="000000"/>
              <w:bottom w:val="single" w:sz="4" w:space="0" w:color="000000"/>
              <w:right w:val="single" w:sz="4" w:space="0" w:color="000000"/>
            </w:tcBorders>
          </w:tcPr>
          <w:p>
            <w:pPr>
              <w:pStyle w:val="Standard"/>
              <w:widowControl w:val="false"/>
              <w:ind w:left="57" w:right="57" w:hanging="0"/>
              <w:jc w:val="both"/>
              <w:rPr>
                <w:rFonts w:eastAsia="Calibri" w:cs="Times New Roman"/>
                <w:kern w:val="0"/>
                <w:sz w:val="18"/>
                <w:szCs w:val="18"/>
                <w:lang w:eastAsia="en-US" w:bidi="ar-SA"/>
              </w:rPr>
            </w:pPr>
            <w:r>
              <w:rPr>
                <w:rFonts w:eastAsia="Calibri" w:cs="Times New Roman"/>
                <w:kern w:val="0"/>
                <w:sz w:val="18"/>
                <w:szCs w:val="18"/>
                <w:lang w:eastAsia="en-US" w:bidi="ar-SA"/>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Standard"/>
              <w:widowControl w:val="false"/>
              <w:ind w:left="57" w:right="57" w:hanging="0"/>
              <w:jc w:val="both"/>
              <w:rPr/>
            </w:pPr>
            <w:r>
              <w:rPr>
                <w:rFonts w:eastAsia="Calibri" w:cs="Times New Roman"/>
                <w:kern w:val="0"/>
                <w:sz w:val="18"/>
                <w:szCs w:val="18"/>
                <w:lang w:eastAsia="en-US" w:bidi="ar-SA"/>
              </w:rPr>
              <w:t xml:space="preserve">Порядок осуществления оценки (значение оцениваемого параметра), в зависимости от предоставленных в i-ой заявке сведений о ранее выполненных договорах в рамках одного или нескольких договоров </w:t>
            </w:r>
            <w:r>
              <w:rPr>
                <w:rFonts w:eastAsia="Calibri" w:cs="Times New Roman" w:ascii="Times New Roman" w:hAnsi="Times New Roman"/>
                <w:b/>
                <w:bCs/>
                <w:color w:val="1D0AF4"/>
                <w:spacing w:val="-2"/>
                <w:kern w:val="0"/>
                <w:sz w:val="18"/>
                <w:szCs w:val="18"/>
                <w:lang w:eastAsia="en-US" w:bidi="ar-SA"/>
              </w:rPr>
              <w:t>по</w:t>
            </w:r>
            <w:r>
              <w:rPr>
                <w:rFonts w:eastAsia="Calibri" w:cs="Times New Roman" w:ascii="Times New Roman" w:hAnsi="Times New Roman"/>
                <w:spacing w:val="-2"/>
                <w:kern w:val="0"/>
                <w:sz w:val="18"/>
                <w:szCs w:val="18"/>
                <w:lang w:eastAsia="en-US" w:bidi="ar-SA"/>
              </w:rPr>
              <w:t xml:space="preserve"> </w:t>
            </w:r>
            <w:r>
              <w:rPr>
                <w:rFonts w:eastAsia="Calibri" w:cs="Times New Roman" w:ascii="Times New Roman" w:hAnsi="Times New Roman"/>
                <w:b/>
                <w:bCs/>
                <w:color w:val="1D0AF4"/>
                <w:spacing w:val="-2"/>
                <w:kern w:val="0"/>
                <w:sz w:val="18"/>
                <w:szCs w:val="18"/>
                <w:lang w:eastAsia="en-US" w:bidi="ar-SA"/>
              </w:rPr>
              <w:t>расчистке просек  ЛЭП до  110 кВ</w:t>
            </w:r>
            <w:r>
              <w:rPr>
                <w:rFonts w:eastAsia="Calibri" w:cs="Times New Roman" w:ascii="Times New Roman" w:hAnsi="Times New Roman"/>
                <w:color w:val="1D0AF4"/>
                <w:spacing w:val="-2"/>
                <w:kern w:val="0"/>
                <w:sz w:val="18"/>
                <w:szCs w:val="18"/>
                <w:lang w:eastAsia="en-US" w:bidi="ar-SA"/>
              </w:rPr>
              <w:t xml:space="preserve"> </w:t>
            </w:r>
            <w:r>
              <w:rPr>
                <w:rFonts w:eastAsia="Calibri" w:cs="Times New Roman" w:ascii="Times New Roman" w:hAnsi="Times New Roman"/>
                <w:b/>
                <w:bCs/>
                <w:color w:val="1D0AF4"/>
                <w:spacing w:val="-2"/>
                <w:kern w:val="0"/>
                <w:sz w:val="18"/>
                <w:szCs w:val="18"/>
                <w:lang w:eastAsia="en-US" w:bidi="ar-SA"/>
              </w:rPr>
              <w:t>включительно и выше</w:t>
            </w:r>
            <w:r>
              <w:rPr>
                <w:rFonts w:eastAsia="Calibri" w:cs="Times New Roman"/>
                <w:color w:val="1D0AF4"/>
                <w:kern w:val="0"/>
                <w:sz w:val="18"/>
                <w:szCs w:val="18"/>
                <w:lang w:eastAsia="en-US" w:bidi="ar-SA"/>
              </w:rPr>
              <w:t xml:space="preserve"> </w:t>
            </w:r>
            <w:bookmarkStart w:id="412" w:name="_GoBack_Копия_2"/>
            <w:bookmarkEnd w:id="412"/>
            <w:r>
              <w:rPr>
                <w:rFonts w:eastAsia="Calibri" w:cs="Times New Roman"/>
                <w:kern w:val="0"/>
                <w:sz w:val="18"/>
                <w:szCs w:val="18"/>
                <w:lang w:eastAsia="en-US" w:bidi="ar-SA"/>
              </w:rPr>
              <w:t xml:space="preserve">за последние 5 (пять) лет, </w:t>
            </w:r>
            <w:r>
              <w:rPr>
                <w:rFonts w:eastAsia="Calibri" w:ascii="Times New Roman" w:hAnsi="Times New Roman"/>
                <w:spacing w:val="-2"/>
                <w:kern w:val="0"/>
                <w:sz w:val="18"/>
                <w:szCs w:val="18"/>
                <w:lang w:eastAsia="en-US" w:bidi="ar-SA"/>
              </w:rPr>
              <w:t>предшествующие дате подачи заявки, по форме «Справка об опыте участника», приведенной в Документации о закупке, на общую сумму:</w:t>
            </w:r>
          </w:p>
          <w:p>
            <w:pPr>
              <w:pStyle w:val="Standard"/>
              <w:widowControl w:val="false"/>
              <w:ind w:left="57" w:right="57" w:hanging="0"/>
              <w:jc w:val="both"/>
              <w:rPr>
                <w:rFonts w:ascii="Times New Roman" w:hAnsi="Times New Roman" w:eastAsia="Calibri"/>
                <w:spacing w:val="-2"/>
                <w:kern w:val="0"/>
                <w:sz w:val="18"/>
                <w:szCs w:val="18"/>
                <w:lang w:eastAsia="en-US" w:bidi="ar-SA"/>
              </w:rPr>
            </w:pPr>
            <w:r>
              <w:rPr>
                <w:rFonts w:eastAsia="Calibri" w:ascii="Times New Roman" w:hAnsi="Times New Roman"/>
                <w:spacing w:val="-2"/>
                <w:kern w:val="0"/>
                <w:sz w:val="18"/>
                <w:szCs w:val="18"/>
                <w:lang w:eastAsia="en-US" w:bidi="ar-SA"/>
              </w:rPr>
            </w:r>
          </w:p>
          <w:tbl>
            <w:tblPr>
              <w:tblW w:w="5832" w:type="dxa"/>
              <w:jc w:val="left"/>
              <w:tblInd w:w="0" w:type="dxa"/>
              <w:tblLayout w:type="fixed"/>
              <w:tblCellMar>
                <w:top w:w="55" w:type="dxa"/>
                <w:left w:w="93" w:type="dxa"/>
                <w:bottom w:w="55" w:type="dxa"/>
                <w:right w:w="108" w:type="dxa"/>
              </w:tblCellMar>
              <w:tblLook w:val="04a0" w:noVBand="1" w:noHBand="0" w:lastColumn="0" w:firstColumn="1" w:lastRow="0" w:firstRow="1"/>
            </w:tblPr>
            <w:tblGrid>
              <w:gridCol w:w="884"/>
              <w:gridCol w:w="4947"/>
            </w:tblGrid>
            <w:tr>
              <w:trPr>
                <w:cantSplit w:val="true"/>
              </w:trPr>
              <w:tc>
                <w:tcPr>
                  <w:tcW w:w="884" w:type="dxa"/>
                  <w:tcBorders>
                    <w:top w:val="single" w:sz="4" w:space="0" w:color="000001"/>
                    <w:left w:val="single" w:sz="4" w:space="0" w:color="000001"/>
                    <w:bottom w:val="single" w:sz="4" w:space="0" w:color="000001"/>
                  </w:tcBorders>
                  <w:shd w:fill="auto" w:val="clear"/>
                </w:tcPr>
                <w:p>
                  <w:pPr>
                    <w:pStyle w:val="31"/>
                    <w:widowControl w:val="false"/>
                    <w:numPr>
                      <w:ilvl w:val="0"/>
                      <w:numId w:val="0"/>
                    </w:numPr>
                    <w:spacing w:lineRule="auto" w:line="240" w:before="40" w:after="40"/>
                    <w:ind w:left="0" w:hanging="0"/>
                    <w:contextualSpacing/>
                    <w:jc w:val="center"/>
                    <w:rPr>
                      <w:sz w:val="18"/>
                      <w:szCs w:val="18"/>
                    </w:rPr>
                  </w:pPr>
                  <w:r>
                    <w:rPr>
                      <w:sz w:val="18"/>
                      <w:szCs w:val="18"/>
                      <w:lang w:eastAsia="ru-RU"/>
                    </w:rPr>
                    <w:t>Б</w:t>
                  </w:r>
                  <w:r>
                    <w:rPr>
                      <w:sz w:val="18"/>
                      <w:szCs w:val="18"/>
                      <w:vertAlign w:val="subscript"/>
                      <w:lang w:eastAsia="ru-RU"/>
                    </w:rPr>
                    <w:t>2</w:t>
                  </w:r>
                  <w:r>
                    <w:rPr>
                      <w:sz w:val="18"/>
                      <w:szCs w:val="18"/>
                      <w:lang w:eastAsia="ru-RU"/>
                    </w:rPr>
                    <w:t xml:space="preserve"> = 0</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
                    <w:widowControl w:val="false"/>
                    <w:numPr>
                      <w:ilvl w:val="0"/>
                      <w:numId w:val="0"/>
                    </w:numPr>
                    <w:spacing w:lineRule="auto" w:line="240" w:before="0" w:after="0"/>
                    <w:ind w:left="28" w:right="0" w:hanging="0"/>
                    <w:contextualSpacing/>
                    <w:jc w:val="left"/>
                    <w:rPr/>
                  </w:pPr>
                  <w:r>
                    <w:rPr>
                      <w:rStyle w:val="Style15"/>
                      <w:rFonts w:cs="Times New Roman" w:ascii="Times New Roman" w:hAnsi="Times New Roman"/>
                      <w:sz w:val="18"/>
                      <w:szCs w:val="18"/>
                    </w:rPr>
                    <w:t>До 30% НМЦ без учета НДС (включительно);</w:t>
                  </w:r>
                </w:p>
              </w:tc>
            </w:tr>
            <w:tr>
              <w:trPr>
                <w:cantSplit w:val="true"/>
              </w:trPr>
              <w:tc>
                <w:tcPr>
                  <w:tcW w:w="884" w:type="dxa"/>
                  <w:tcBorders>
                    <w:top w:val="single" w:sz="4" w:space="0" w:color="000001"/>
                    <w:left w:val="single" w:sz="4" w:space="0" w:color="000001"/>
                    <w:bottom w:val="single" w:sz="4" w:space="0" w:color="000001"/>
                  </w:tcBorders>
                  <w:shd w:fill="auto" w:val="clear"/>
                </w:tcPr>
                <w:p>
                  <w:pPr>
                    <w:pStyle w:val="31"/>
                    <w:widowControl w:val="false"/>
                    <w:numPr>
                      <w:ilvl w:val="0"/>
                      <w:numId w:val="0"/>
                    </w:numPr>
                    <w:spacing w:lineRule="auto" w:line="240" w:before="40" w:after="40"/>
                    <w:ind w:left="0" w:hanging="0"/>
                    <w:contextualSpacing/>
                    <w:jc w:val="center"/>
                    <w:rPr>
                      <w:sz w:val="18"/>
                      <w:szCs w:val="18"/>
                    </w:rPr>
                  </w:pPr>
                  <w:r>
                    <w:rPr>
                      <w:sz w:val="18"/>
                      <w:szCs w:val="18"/>
                      <w:lang w:eastAsia="ru-RU"/>
                    </w:rPr>
                    <w:t>Б</w:t>
                  </w:r>
                  <w:r>
                    <w:rPr>
                      <w:sz w:val="18"/>
                      <w:szCs w:val="18"/>
                      <w:vertAlign w:val="subscript"/>
                      <w:lang w:eastAsia="ru-RU"/>
                    </w:rPr>
                    <w:t>2</w:t>
                  </w:r>
                  <w:r>
                    <w:rPr>
                      <w:sz w:val="18"/>
                      <w:szCs w:val="18"/>
                      <w:lang w:eastAsia="ru-RU"/>
                    </w:rPr>
                    <w:t xml:space="preserve"> = 1</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
                    <w:widowControl w:val="false"/>
                    <w:numPr>
                      <w:ilvl w:val="0"/>
                      <w:numId w:val="0"/>
                    </w:numPr>
                    <w:suppressAutoHyphens w:val="true"/>
                    <w:bidi w:val="0"/>
                    <w:spacing w:lineRule="auto" w:line="240" w:before="40" w:after="40"/>
                    <w:ind w:left="113" w:right="964" w:hanging="0"/>
                    <w:contextualSpacing/>
                    <w:jc w:val="left"/>
                    <w:rPr/>
                  </w:pPr>
                  <w:r>
                    <w:rPr>
                      <w:rStyle w:val="Style15"/>
                      <w:rFonts w:cs="Times New Roman" w:ascii="Times New Roman" w:hAnsi="Times New Roman"/>
                      <w:sz w:val="18"/>
                      <w:szCs w:val="18"/>
                    </w:rPr>
                    <w:t>более 30% НМЦ «без учета НДС», но менее 40% НМЦ  без учета НДС (включительно);</w:t>
                  </w:r>
                </w:p>
              </w:tc>
            </w:tr>
            <w:tr>
              <w:trPr>
                <w:cantSplit w:val="true"/>
              </w:trPr>
              <w:tc>
                <w:tcPr>
                  <w:tcW w:w="884" w:type="dxa"/>
                  <w:tcBorders>
                    <w:top w:val="single" w:sz="4" w:space="0" w:color="000001"/>
                    <w:left w:val="single" w:sz="4" w:space="0" w:color="000001"/>
                    <w:bottom w:val="single" w:sz="4" w:space="0" w:color="000001"/>
                  </w:tcBorders>
                  <w:shd w:fill="auto" w:val="clear"/>
                </w:tcPr>
                <w:p>
                  <w:pPr>
                    <w:pStyle w:val="31"/>
                    <w:widowControl w:val="false"/>
                    <w:numPr>
                      <w:ilvl w:val="0"/>
                      <w:numId w:val="0"/>
                    </w:numPr>
                    <w:spacing w:lineRule="auto" w:line="240" w:before="40" w:after="40"/>
                    <w:ind w:left="0" w:hanging="0"/>
                    <w:contextualSpacing/>
                    <w:jc w:val="center"/>
                    <w:rPr>
                      <w:sz w:val="18"/>
                      <w:szCs w:val="18"/>
                    </w:rPr>
                  </w:pPr>
                  <w:r>
                    <w:rPr>
                      <w:sz w:val="18"/>
                      <w:szCs w:val="18"/>
                      <w:lang w:eastAsia="ru-RU"/>
                    </w:rPr>
                    <w:t>Б</w:t>
                  </w:r>
                  <w:r>
                    <w:rPr>
                      <w:sz w:val="18"/>
                      <w:szCs w:val="18"/>
                      <w:vertAlign w:val="subscript"/>
                      <w:lang w:eastAsia="ru-RU"/>
                    </w:rPr>
                    <w:t>2</w:t>
                  </w:r>
                  <w:r>
                    <w:rPr>
                      <w:sz w:val="18"/>
                      <w:szCs w:val="18"/>
                      <w:lang w:eastAsia="ru-RU"/>
                    </w:rPr>
                    <w:t xml:space="preserve"> = 2</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
                    <w:widowControl w:val="false"/>
                    <w:numPr>
                      <w:ilvl w:val="0"/>
                      <w:numId w:val="0"/>
                    </w:numPr>
                    <w:suppressAutoHyphens w:val="true"/>
                    <w:bidi w:val="0"/>
                    <w:spacing w:lineRule="auto" w:line="240" w:before="40" w:after="40"/>
                    <w:ind w:left="113" w:right="850" w:hanging="0"/>
                    <w:contextualSpacing/>
                    <w:jc w:val="left"/>
                    <w:rPr/>
                  </w:pPr>
                  <w:r>
                    <w:rPr>
                      <w:rStyle w:val="Style15"/>
                      <w:rFonts w:cs="Times New Roman" w:ascii="Times New Roman" w:hAnsi="Times New Roman"/>
                      <w:sz w:val="18"/>
                      <w:szCs w:val="18"/>
                    </w:rPr>
                    <w:t>более 40% НМЦ «без учета НДС», но менее 50% НМЦ  без учета НДС (включительно);</w:t>
                  </w:r>
                </w:p>
              </w:tc>
            </w:tr>
            <w:tr>
              <w:trPr>
                <w:cantSplit w:val="true"/>
              </w:trPr>
              <w:tc>
                <w:tcPr>
                  <w:tcW w:w="884" w:type="dxa"/>
                  <w:tcBorders>
                    <w:top w:val="single" w:sz="4" w:space="0" w:color="000001"/>
                    <w:left w:val="single" w:sz="4" w:space="0" w:color="000001"/>
                    <w:bottom w:val="single" w:sz="4" w:space="0" w:color="000001"/>
                  </w:tcBorders>
                  <w:shd w:fill="auto" w:val="clear"/>
                </w:tcPr>
                <w:p>
                  <w:pPr>
                    <w:pStyle w:val="31"/>
                    <w:widowControl w:val="false"/>
                    <w:numPr>
                      <w:ilvl w:val="0"/>
                      <w:numId w:val="0"/>
                    </w:numPr>
                    <w:spacing w:lineRule="auto" w:line="240" w:before="40" w:after="40"/>
                    <w:ind w:left="0" w:hanging="0"/>
                    <w:contextualSpacing/>
                    <w:jc w:val="center"/>
                    <w:rPr>
                      <w:sz w:val="18"/>
                      <w:szCs w:val="18"/>
                    </w:rPr>
                  </w:pPr>
                  <w:r>
                    <w:rPr>
                      <w:sz w:val="18"/>
                      <w:szCs w:val="18"/>
                      <w:lang w:eastAsia="ru-RU"/>
                    </w:rPr>
                    <w:t>Б</w:t>
                  </w:r>
                  <w:r>
                    <w:rPr>
                      <w:sz w:val="18"/>
                      <w:szCs w:val="18"/>
                      <w:vertAlign w:val="subscript"/>
                      <w:lang w:eastAsia="ru-RU"/>
                    </w:rPr>
                    <w:t>2</w:t>
                  </w:r>
                  <w:r>
                    <w:rPr>
                      <w:sz w:val="18"/>
                      <w:szCs w:val="18"/>
                      <w:lang w:eastAsia="ru-RU"/>
                    </w:rPr>
                    <w:t xml:space="preserve"> = 3</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
                    <w:widowControl w:val="false"/>
                    <w:numPr>
                      <w:ilvl w:val="0"/>
                      <w:numId w:val="0"/>
                    </w:numPr>
                    <w:suppressAutoHyphens w:val="true"/>
                    <w:bidi w:val="0"/>
                    <w:spacing w:lineRule="auto" w:line="240" w:before="40" w:after="40"/>
                    <w:ind w:left="113" w:right="907" w:hanging="0"/>
                    <w:contextualSpacing/>
                    <w:jc w:val="left"/>
                    <w:rPr/>
                  </w:pPr>
                  <w:r>
                    <w:rPr>
                      <w:rStyle w:val="Style15"/>
                      <w:rFonts w:cs="Times New Roman" w:ascii="Times New Roman" w:hAnsi="Times New Roman"/>
                      <w:sz w:val="18"/>
                      <w:szCs w:val="18"/>
                    </w:rPr>
                    <w:t>более 50% НМЦ «без учета НДС», но менее 60% НМЦ  без учета НДС (включительно);</w:t>
                  </w:r>
                </w:p>
              </w:tc>
            </w:tr>
            <w:tr>
              <w:trPr>
                <w:cantSplit w:val="true"/>
              </w:trPr>
              <w:tc>
                <w:tcPr>
                  <w:tcW w:w="884" w:type="dxa"/>
                  <w:tcBorders>
                    <w:top w:val="single" w:sz="4" w:space="0" w:color="000001"/>
                    <w:left w:val="single" w:sz="4" w:space="0" w:color="000001"/>
                    <w:bottom w:val="single" w:sz="4" w:space="0" w:color="000001"/>
                  </w:tcBorders>
                  <w:shd w:fill="auto" w:val="clear"/>
                </w:tcPr>
                <w:p>
                  <w:pPr>
                    <w:pStyle w:val="31"/>
                    <w:widowControl w:val="false"/>
                    <w:numPr>
                      <w:ilvl w:val="0"/>
                      <w:numId w:val="0"/>
                    </w:numPr>
                    <w:spacing w:lineRule="auto" w:line="240" w:before="40" w:after="40"/>
                    <w:ind w:left="0" w:hanging="0"/>
                    <w:contextualSpacing/>
                    <w:jc w:val="center"/>
                    <w:rPr>
                      <w:sz w:val="18"/>
                      <w:szCs w:val="18"/>
                    </w:rPr>
                  </w:pPr>
                  <w:r>
                    <w:rPr>
                      <w:sz w:val="18"/>
                      <w:szCs w:val="18"/>
                      <w:lang w:eastAsia="ru-RU"/>
                    </w:rPr>
                    <w:t>Б</w:t>
                  </w:r>
                  <w:r>
                    <w:rPr>
                      <w:sz w:val="18"/>
                      <w:szCs w:val="18"/>
                      <w:vertAlign w:val="subscript"/>
                      <w:lang w:eastAsia="ru-RU"/>
                    </w:rPr>
                    <w:t>2</w:t>
                  </w:r>
                  <w:r>
                    <w:rPr>
                      <w:sz w:val="18"/>
                      <w:szCs w:val="18"/>
                      <w:lang w:eastAsia="ru-RU"/>
                    </w:rPr>
                    <w:t xml:space="preserve"> = 4</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
                    <w:widowControl w:val="false"/>
                    <w:numPr>
                      <w:ilvl w:val="0"/>
                      <w:numId w:val="0"/>
                    </w:numPr>
                    <w:suppressAutoHyphens w:val="true"/>
                    <w:bidi w:val="0"/>
                    <w:spacing w:lineRule="auto" w:line="240" w:before="40" w:after="40"/>
                    <w:ind w:left="113" w:right="850" w:hanging="0"/>
                    <w:contextualSpacing/>
                    <w:jc w:val="left"/>
                    <w:rPr/>
                  </w:pPr>
                  <w:r>
                    <w:rPr>
                      <w:rStyle w:val="Style15"/>
                      <w:rFonts w:cs="Times New Roman" w:ascii="Times New Roman" w:hAnsi="Times New Roman"/>
                      <w:sz w:val="18"/>
                      <w:szCs w:val="18"/>
                    </w:rPr>
                    <w:t>более 60% НМЦ «без учета НДС», но менее 70% НМЦ  без учета НДС (включительно);</w:t>
                  </w:r>
                </w:p>
              </w:tc>
            </w:tr>
            <w:tr>
              <w:trPr>
                <w:cantSplit w:val="true"/>
              </w:trPr>
              <w:tc>
                <w:tcPr>
                  <w:tcW w:w="884" w:type="dxa"/>
                  <w:tcBorders>
                    <w:top w:val="single" w:sz="4" w:space="0" w:color="000001"/>
                    <w:left w:val="single" w:sz="4" w:space="0" w:color="000001"/>
                    <w:bottom w:val="single" w:sz="4" w:space="0" w:color="000001"/>
                  </w:tcBorders>
                  <w:shd w:fill="auto" w:val="clear"/>
                </w:tcPr>
                <w:p>
                  <w:pPr>
                    <w:pStyle w:val="31"/>
                    <w:widowControl w:val="false"/>
                    <w:numPr>
                      <w:ilvl w:val="0"/>
                      <w:numId w:val="0"/>
                    </w:numPr>
                    <w:spacing w:lineRule="auto" w:line="240" w:before="40" w:after="40"/>
                    <w:ind w:left="0" w:hanging="0"/>
                    <w:contextualSpacing/>
                    <w:jc w:val="center"/>
                    <w:rPr>
                      <w:sz w:val="18"/>
                      <w:szCs w:val="18"/>
                    </w:rPr>
                  </w:pPr>
                  <w:r>
                    <w:rPr>
                      <w:sz w:val="18"/>
                      <w:szCs w:val="18"/>
                      <w:lang w:eastAsia="ru-RU"/>
                    </w:rPr>
                    <w:t>Б</w:t>
                  </w:r>
                  <w:r>
                    <w:rPr>
                      <w:sz w:val="18"/>
                      <w:szCs w:val="18"/>
                      <w:vertAlign w:val="subscript"/>
                      <w:lang w:eastAsia="ru-RU"/>
                    </w:rPr>
                    <w:t>2</w:t>
                  </w:r>
                  <w:r>
                    <w:rPr>
                      <w:sz w:val="18"/>
                      <w:szCs w:val="18"/>
                      <w:lang w:eastAsia="ru-RU"/>
                    </w:rPr>
                    <w:t xml:space="preserve"> = 5</w:t>
                  </w:r>
                </w:p>
              </w:tc>
              <w:tc>
                <w:tcPr>
                  <w:tcW w:w="4947" w:type="dxa"/>
                  <w:tcBorders>
                    <w:top w:val="single" w:sz="4" w:space="0" w:color="000001"/>
                    <w:left w:val="single" w:sz="4" w:space="0" w:color="000001"/>
                    <w:bottom w:val="single" w:sz="4" w:space="0" w:color="000001"/>
                    <w:right w:val="single" w:sz="4" w:space="0" w:color="000001"/>
                  </w:tcBorders>
                  <w:shd w:fill="auto" w:val="clear"/>
                </w:tcPr>
                <w:p>
                  <w:pPr>
                    <w:pStyle w:val="-"/>
                    <w:widowControl w:val="false"/>
                    <w:numPr>
                      <w:ilvl w:val="0"/>
                      <w:numId w:val="0"/>
                    </w:numPr>
                    <w:spacing w:lineRule="auto" w:line="240" w:before="0" w:after="0"/>
                    <w:ind w:left="28" w:right="0" w:hanging="0"/>
                    <w:contextualSpacing/>
                    <w:jc w:val="left"/>
                    <w:rPr/>
                  </w:pPr>
                  <w:r>
                    <w:rPr>
                      <w:rStyle w:val="Style15"/>
                      <w:rFonts w:eastAsia="Arial Unicode MS" w:cs="Times New Roman" w:ascii="Times New Roman" w:hAnsi="Times New Roman"/>
                      <w:sz w:val="18"/>
                      <w:szCs w:val="18"/>
                    </w:rPr>
                    <w:t>с</w:t>
                  </w:r>
                  <w:r>
                    <w:rPr>
                      <w:rStyle w:val="Style16"/>
                      <w:rFonts w:eastAsia="Arial Unicode MS" w:cs="Times New Roman" w:ascii="Times New Roman" w:hAnsi="Times New Roman"/>
                      <w:sz w:val="18"/>
                      <w:szCs w:val="18"/>
                    </w:rPr>
                    <w:t>выше 70% НМЦ без учета НДС;</w:t>
                  </w:r>
                </w:p>
              </w:tc>
            </w:tr>
          </w:tbl>
          <w:p>
            <w:pPr>
              <w:pStyle w:val="22"/>
              <w:keepNext w:val="true"/>
              <w:widowControl w:val="false"/>
              <w:spacing w:lineRule="auto" w:line="240"/>
              <w:ind w:left="720" w:hanging="0"/>
              <w:jc w:val="left"/>
              <w:rPr>
                <w:rFonts w:ascii="Times New Roman" w:hAnsi="Times New Roman" w:cs="Times New Roman"/>
                <w:sz w:val="18"/>
                <w:szCs w:val="18"/>
              </w:rPr>
            </w:pPr>
            <w:r>
              <w:rPr>
                <w:rFonts w:cs="Times New Roman" w:ascii="Times New Roman" w:hAnsi="Times New Roman"/>
                <w:sz w:val="18"/>
                <w:szCs w:val="18"/>
              </w:rPr>
              <w:t>где:</w:t>
            </w:r>
          </w:p>
          <w:p>
            <w:pPr>
              <w:pStyle w:val="Textbody"/>
              <w:widowControl w:val="false"/>
              <w:spacing w:lineRule="auto" w:line="240" w:before="0" w:after="0"/>
              <w:ind w:left="57" w:right="57" w:hanging="0"/>
              <w:jc w:val="both"/>
              <w:rPr/>
            </w:pPr>
            <w:r>
              <w:rPr>
                <w:rFonts w:eastAsia="Calibri" w:cs="Times New Roman"/>
                <w:spacing w:val="-2"/>
                <w:kern w:val="0"/>
                <w:sz w:val="18"/>
                <w:szCs w:val="18"/>
                <w:lang w:eastAsia="en-US" w:bidi="ar-SA"/>
              </w:rPr>
              <w:t>Б</w:t>
            </w:r>
            <w:r>
              <w:rPr>
                <w:rFonts w:eastAsia="Calibri" w:cs="Times New Roman"/>
                <w:spacing w:val="-2"/>
                <w:kern w:val="0"/>
                <w:sz w:val="18"/>
                <w:szCs w:val="18"/>
                <w:vertAlign w:val="subscript"/>
                <w:lang w:eastAsia="en-US" w:bidi="ar-SA"/>
              </w:rPr>
              <w:t>2</w:t>
            </w:r>
            <w:r>
              <w:rPr>
                <w:rFonts w:eastAsia="Calibri" w:cs="Times New Roman"/>
                <w:spacing w:val="-2"/>
                <w:kern w:val="0"/>
                <w:sz w:val="18"/>
                <w:szCs w:val="18"/>
                <w:lang w:eastAsia="en-US" w:bidi="ar-SA"/>
              </w:rPr>
              <w:t>  - рассчитанная оценка предпочтительности по данному частному критерию оценки в баллах.</w:t>
            </w:r>
          </w:p>
          <w:p>
            <w:pPr>
              <w:pStyle w:val="Textbody"/>
              <w:widowControl w:val="false"/>
              <w:spacing w:lineRule="auto" w:line="240" w:before="0" w:after="0"/>
              <w:ind w:left="57" w:right="57" w:hanging="0"/>
              <w:jc w:val="both"/>
              <w:rPr>
                <w:rFonts w:ascii="Times New Roman" w:hAnsi="Times New Roman" w:eastAsia="Calibri" w:cs="Times New Roman"/>
                <w:spacing w:val="-2"/>
                <w:kern w:val="0"/>
                <w:sz w:val="18"/>
                <w:szCs w:val="18"/>
                <w:lang w:eastAsia="en-US" w:bidi="ar-SA"/>
              </w:rPr>
            </w:pPr>
            <w:r>
              <w:rPr>
                <w:rFonts w:eastAsia="Calibri" w:cs="Times New Roman" w:ascii="Times New Roman" w:hAnsi="Times New Roman"/>
                <w:spacing w:val="-2"/>
                <w:kern w:val="0"/>
                <w:sz w:val="18"/>
                <w:szCs w:val="18"/>
                <w:lang w:eastAsia="en-US" w:bidi="ar-SA"/>
              </w:rPr>
              <w:t>В составе заявки Участник должен представить сведения о ранее выполненных договорах по форме «Справка об опыте Участника», приведенной в Документации о закупке, с обязательным представлением подтверждающих наличие требуемого опыта документов, а именно:</w:t>
            </w:r>
          </w:p>
          <w:p>
            <w:pPr>
              <w:pStyle w:val="Textbody"/>
              <w:widowControl w:val="false"/>
              <w:spacing w:lineRule="auto" w:line="240" w:before="0" w:after="0"/>
              <w:ind w:left="57" w:right="57" w:hanging="0"/>
              <w:jc w:val="both"/>
              <w:rPr>
                <w:rFonts w:ascii="Times New Roman" w:hAnsi="Times New Roman" w:eastAsia="Calibri" w:cs="Times New Roman"/>
                <w:spacing w:val="-2"/>
                <w:kern w:val="0"/>
                <w:sz w:val="18"/>
                <w:szCs w:val="18"/>
                <w:lang w:eastAsia="en-US" w:bidi="ar-SA"/>
              </w:rPr>
            </w:pPr>
            <w:r>
              <w:rPr>
                <w:rFonts w:eastAsia="Calibri" w:cs="Times New Roman" w:ascii="Times New Roman" w:hAnsi="Times New Roman"/>
                <w:spacing w:val="-2"/>
                <w:kern w:val="0"/>
                <w:sz w:val="18"/>
                <w:szCs w:val="18"/>
                <w:lang w:eastAsia="en-US" w:bidi="ar-SA"/>
              </w:rPr>
              <w:t xml:space="preserve"> </w:t>
            </w:r>
            <w:r>
              <w:rPr>
                <w:rFonts w:eastAsia="Calibri" w:cs="Times New Roman" w:ascii="Times New Roman" w:hAnsi="Times New Roman"/>
                <w:spacing w:val="-2"/>
                <w:kern w:val="0"/>
                <w:sz w:val="18"/>
                <w:szCs w:val="18"/>
                <w:lang w:eastAsia="en-US" w:bidi="ar-SA"/>
              </w:rPr>
              <w:t>- копии договоров, подписанных с обеих сторон;</w:t>
            </w:r>
          </w:p>
          <w:p>
            <w:pPr>
              <w:pStyle w:val="Textbody"/>
              <w:widowControl w:val="false"/>
              <w:spacing w:lineRule="auto" w:line="240" w:before="0" w:after="0"/>
              <w:ind w:left="57" w:right="57" w:hanging="0"/>
              <w:jc w:val="both"/>
              <w:rPr>
                <w:rFonts w:ascii="Times New Roman" w:hAnsi="Times New Roman" w:eastAsia="Calibri" w:cs="Times New Roman"/>
                <w:spacing w:val="-2"/>
                <w:kern w:val="0"/>
                <w:sz w:val="18"/>
                <w:szCs w:val="18"/>
                <w:lang w:eastAsia="en-US" w:bidi="ar-SA"/>
              </w:rPr>
            </w:pPr>
            <w:r>
              <w:rPr>
                <w:rFonts w:eastAsia="Calibri" w:cs="Times New Roman" w:ascii="Times New Roman" w:hAnsi="Times New Roman"/>
                <w:spacing w:val="-2"/>
                <w:kern w:val="0"/>
                <w:sz w:val="18"/>
                <w:szCs w:val="18"/>
                <w:lang w:eastAsia="en-US" w:bidi="ar-SA"/>
              </w:rPr>
              <w:t>- копии Актов выполненных работ к договорам (формы КС-2 и/или КС-3), подписанных с обеих сторон, с указанием стоимости и наименования выполненных работ, аналогичных предмету закупки;</w:t>
            </w:r>
          </w:p>
          <w:p>
            <w:pPr>
              <w:pStyle w:val="Textbody"/>
              <w:widowControl w:val="false"/>
              <w:spacing w:lineRule="auto" w:line="240" w:before="0" w:after="0"/>
              <w:ind w:left="57" w:right="57" w:hanging="0"/>
              <w:jc w:val="both"/>
              <w:rPr>
                <w:rFonts w:ascii="Times New Roman" w:hAnsi="Times New Roman" w:eastAsia="Calibri" w:cs="Times New Roman"/>
                <w:spacing w:val="-2"/>
                <w:kern w:val="0"/>
                <w:sz w:val="18"/>
                <w:szCs w:val="18"/>
                <w:lang w:eastAsia="en-US" w:bidi="ar-SA"/>
              </w:rPr>
            </w:pPr>
            <w:r>
              <w:rPr>
                <w:rFonts w:eastAsia="Calibri" w:cs="Times New Roman" w:ascii="Times New Roman" w:hAnsi="Times New Roman"/>
                <w:spacing w:val="-2"/>
                <w:kern w:val="0"/>
                <w:sz w:val="18"/>
                <w:szCs w:val="18"/>
                <w:lang w:eastAsia="en-US" w:bidi="ar-SA"/>
              </w:rPr>
              <w:t>- и/или копии иных документов, предусмотренных требованиями договора, подтверждающих факт его исполнения, с указанием стоимости и наименования выполненных работ/ услуг, подписанных с обеих сторон.</w:t>
            </w:r>
          </w:p>
          <w:p>
            <w:pPr>
              <w:pStyle w:val="Textbody"/>
              <w:widowControl w:val="false"/>
              <w:spacing w:lineRule="auto" w:line="240" w:before="0" w:after="0"/>
              <w:ind w:left="57" w:right="57" w:hanging="0"/>
              <w:jc w:val="both"/>
              <w:rPr>
                <w:rFonts w:ascii="Times New Roman" w:hAnsi="Times New Roman" w:eastAsia="Calibri" w:cs="Times New Roman"/>
                <w:spacing w:val="-2"/>
                <w:kern w:val="0"/>
                <w:sz w:val="18"/>
                <w:szCs w:val="18"/>
                <w:lang w:eastAsia="en-US" w:bidi="ar-SA"/>
              </w:rPr>
            </w:pPr>
            <w:r>
              <w:rPr>
                <w:rFonts w:eastAsia="Calibri" w:cs="Times New Roman" w:ascii="Times New Roman" w:hAnsi="Times New Roman"/>
                <w:spacing w:val="-2"/>
                <w:kern w:val="0"/>
                <w:sz w:val="18"/>
                <w:szCs w:val="18"/>
                <w:lang w:eastAsia="en-US" w:bidi="ar-SA"/>
              </w:rPr>
              <w:t>К оценке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p>
          <w:p>
            <w:pPr>
              <w:pStyle w:val="22"/>
              <w:widowControl w:val="false"/>
              <w:spacing w:lineRule="auto" w:line="240"/>
              <w:ind w:left="0" w:hanging="0"/>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Опыт, несоответствующий установленным в Документации о закупке требованиям не оценивается.</w:t>
            </w:r>
          </w:p>
          <w:p>
            <w:pPr>
              <w:pStyle w:val="22"/>
              <w:widowControl w:val="false"/>
              <w:spacing w:lineRule="auto" w:line="240"/>
              <w:ind w:left="0" w:hanging="0"/>
              <w:rPr>
                <w:rFonts w:ascii="Times New Roman" w:hAnsi="Times New Roman" w:cs="Times New Roman"/>
                <w:sz w:val="18"/>
                <w:szCs w:val="18"/>
              </w:rPr>
            </w:pPr>
            <w:r>
              <w:rPr>
                <w:rFonts w:cs="Times New Roman" w:ascii="Times New Roman" w:hAnsi="Times New Roman"/>
                <w:sz w:val="18"/>
                <w:szCs w:val="18"/>
              </w:rPr>
              <w:t>Шкала оценок от 0 до 5 баллов.</w:t>
            </w:r>
          </w:p>
        </w:tc>
      </w:tr>
      <w:tr>
        <w:trPr/>
        <w:tc>
          <w:tcPr>
            <w:tcW w:w="787" w:type="dxa"/>
            <w:tcBorders>
              <w:left w:val="single" w:sz="4" w:space="0" w:color="000000"/>
              <w:bottom w:val="single" w:sz="4" w:space="0" w:color="000000"/>
            </w:tcBorders>
          </w:tcPr>
          <w:p>
            <w:pPr>
              <w:pStyle w:val="Style25"/>
              <w:widowControl w:val="false"/>
              <w:spacing w:before="120" w:after="0"/>
              <w:jc w:val="center"/>
              <w:rPr>
                <w:rFonts w:eastAsia="Calibri"/>
                <w:sz w:val="20"/>
                <w:szCs w:val="20"/>
              </w:rPr>
            </w:pPr>
            <w:r>
              <w:rPr>
                <w:rFonts w:eastAsia="Calibri"/>
                <w:sz w:val="20"/>
                <w:szCs w:val="20"/>
              </w:rPr>
              <w:t>3.</w:t>
            </w:r>
          </w:p>
        </w:tc>
        <w:tc>
          <w:tcPr>
            <w:tcW w:w="2240" w:type="dxa"/>
            <w:tcBorders>
              <w:left w:val="single" w:sz="4" w:space="0" w:color="000000"/>
              <w:bottom w:val="single" w:sz="4" w:space="0" w:color="000000"/>
            </w:tcBorders>
          </w:tcPr>
          <w:p>
            <w:pPr>
              <w:pStyle w:val="Style25"/>
              <w:widowControl w:val="false"/>
              <w:spacing w:before="120" w:after="0"/>
              <w:jc w:val="center"/>
              <w:rPr/>
            </w:pPr>
            <w:r>
              <w:rPr>
                <w:rFonts w:eastAsia="Calibri"/>
                <w:i/>
                <w:iCs/>
                <w:sz w:val="20"/>
                <w:szCs w:val="20"/>
              </w:rPr>
              <w:t>«Неценовой критерий оценки первого уровня;</w:t>
              <w:br/>
              <w:t>Орг»</w:t>
            </w:r>
          </w:p>
        </w:tc>
        <w:tc>
          <w:tcPr>
            <w:tcW w:w="1594" w:type="dxa"/>
            <w:tcBorders>
              <w:left w:val="single" w:sz="4" w:space="0" w:color="000000"/>
              <w:bottom w:val="single" w:sz="4" w:space="0" w:color="000000"/>
            </w:tcBorders>
          </w:tcPr>
          <w:p>
            <w:pPr>
              <w:pStyle w:val="Style25"/>
              <w:widowControl w:val="false"/>
              <w:spacing w:before="120" w:after="0"/>
              <w:jc w:val="center"/>
              <w:rPr>
                <w:rFonts w:eastAsia="Calibri"/>
                <w:sz w:val="20"/>
                <w:szCs w:val="20"/>
              </w:rPr>
            </w:pPr>
            <w:r>
              <w:rPr>
                <w:rFonts w:eastAsia="Calibri"/>
                <w:sz w:val="20"/>
                <w:szCs w:val="20"/>
              </w:rPr>
              <w:t>Финансовое состояние (устойчивость) Участника</w:t>
            </w:r>
          </w:p>
        </w:tc>
        <w:tc>
          <w:tcPr>
            <w:tcW w:w="1558" w:type="dxa"/>
            <w:tcBorders>
              <w:left w:val="single" w:sz="4" w:space="0" w:color="000000"/>
              <w:bottom w:val="single" w:sz="4" w:space="0" w:color="000000"/>
            </w:tcBorders>
          </w:tcPr>
          <w:p>
            <w:pPr>
              <w:pStyle w:val="Style25"/>
              <w:widowControl w:val="false"/>
              <w:spacing w:before="120" w:after="0"/>
              <w:jc w:val="center"/>
              <w:rPr>
                <w:rFonts w:eastAsia="Calibri"/>
                <w:i/>
                <w:i/>
                <w:iCs/>
                <w:sz w:val="20"/>
                <w:szCs w:val="20"/>
              </w:rPr>
            </w:pPr>
            <w:r>
              <w:rPr>
                <w:rFonts w:eastAsia="Calibri"/>
                <w:i/>
                <w:iCs/>
                <w:sz w:val="20"/>
                <w:szCs w:val="20"/>
              </w:rPr>
              <w:t>отсутствует</w:t>
            </w:r>
          </w:p>
        </w:tc>
        <w:tc>
          <w:tcPr>
            <w:tcW w:w="1482" w:type="dxa"/>
            <w:tcBorders>
              <w:left w:val="single" w:sz="4" w:space="0" w:color="000000"/>
              <w:bottom w:val="single" w:sz="4" w:space="0" w:color="000000"/>
            </w:tcBorders>
          </w:tcPr>
          <w:p>
            <w:pPr>
              <w:pStyle w:val="Normal"/>
              <w:widowControl w:val="false"/>
              <w:spacing w:before="40" w:after="40"/>
              <w:jc w:val="center"/>
              <w:rPr>
                <w:sz w:val="18"/>
                <w:szCs w:val="18"/>
              </w:rPr>
            </w:pPr>
            <w:r>
              <w:rPr>
                <w:rFonts w:eastAsia="Calibri"/>
                <w:sz w:val="18"/>
                <w:szCs w:val="18"/>
              </w:rPr>
              <w:t>5%</w:t>
              <w:br/>
              <w:t>(В</w:t>
            </w:r>
            <w:r>
              <w:rPr>
                <w:rFonts w:eastAsia="Calibri"/>
                <w:sz w:val="18"/>
                <w:szCs w:val="18"/>
                <w:vertAlign w:val="subscript"/>
              </w:rPr>
              <w:t>3</w:t>
            </w:r>
            <w:r>
              <w:rPr>
                <w:rFonts w:eastAsia="Calibri"/>
                <w:sz w:val="18"/>
                <w:szCs w:val="18"/>
              </w:rPr>
              <w:t xml:space="preserve"> = 0,05)</w:t>
            </w:r>
          </w:p>
          <w:p>
            <w:pPr>
              <w:pStyle w:val="Style25"/>
              <w:widowControl w:val="false"/>
              <w:jc w:val="center"/>
              <w:rPr/>
            </w:pPr>
            <w:r>
              <w:rPr>
                <w:rFonts w:eastAsia="Calibri"/>
                <w:kern w:val="0"/>
                <w:sz w:val="18"/>
                <w:szCs w:val="18"/>
                <w:lang w:eastAsia="en-US" w:bidi="ar-SA"/>
              </w:rPr>
              <w:t xml:space="preserve">где </w:t>
            </w:r>
            <w:r>
              <w:rPr/>
            </w:r>
            <m:oMath xmlns:m="http://schemas.openxmlformats.org/officeDocument/2006/math">
              <m:sSub>
                <m:e>
                  <m:r>
                    <w:rPr>
                      <w:rFonts w:ascii="Cambria Math" w:hAnsi="Cambria Math"/>
                    </w:rPr>
                    <m:t xml:space="preserve">B</m:t>
                  </m:r>
                </m:e>
                <m:sub>
                  <m:r>
                    <w:rPr>
                      <w:rFonts w:ascii="Cambria Math" w:hAnsi="Cambria Math"/>
                    </w:rPr>
                    <m:t xml:space="preserve">3</m:t>
                  </m:r>
                </m:sub>
              </m:sSub>
            </m:oMath>
            <w:r>
              <w:rPr>
                <w:rFonts w:eastAsia="Calibri"/>
                <w:kern w:val="0"/>
                <w:sz w:val="18"/>
                <w:szCs w:val="18"/>
                <w:lang w:eastAsia="en-US" w:bidi="ar-SA"/>
              </w:rPr>
              <w:t xml:space="preserve"> – значимость (вес) критерия оценки</w:t>
            </w:r>
          </w:p>
        </w:tc>
        <w:tc>
          <w:tcPr>
            <w:tcW w:w="2033" w:type="dxa"/>
            <w:tcBorders>
              <w:left w:val="single" w:sz="4" w:space="0" w:color="000000"/>
              <w:bottom w:val="single" w:sz="4" w:space="0" w:color="000000"/>
            </w:tcBorders>
          </w:tcPr>
          <w:p>
            <w:pPr>
              <w:pStyle w:val="Normal"/>
              <w:widowControl w:val="false"/>
              <w:spacing w:before="120" w:after="0"/>
              <w:jc w:val="center"/>
              <w:rPr>
                <w:sz w:val="20"/>
                <w:szCs w:val="20"/>
              </w:rPr>
            </w:pPr>
            <w:r>
              <w:rPr>
                <w:rFonts w:cs="Times New Roman"/>
                <w:color w:val="000000"/>
                <w:sz w:val="20"/>
                <w:szCs w:val="20"/>
                <w:lang w:eastAsia="ru-RU"/>
              </w:rPr>
              <w:t>Чем выше результат оценки финансового состояния (устойчивости) Участника, тем выше предпочтительность</w:t>
            </w:r>
          </w:p>
        </w:tc>
        <w:tc>
          <w:tcPr>
            <w:tcW w:w="4574" w:type="dxa"/>
            <w:tcBorders>
              <w:left w:val="single" w:sz="4" w:space="0" w:color="000000"/>
              <w:bottom w:val="single" w:sz="4" w:space="0" w:color="000000"/>
              <w:right w:val="single" w:sz="4" w:space="0" w:color="000000"/>
            </w:tcBorders>
          </w:tcPr>
          <w:p>
            <w:pPr>
              <w:pStyle w:val="Style25"/>
              <w:widowControl w:val="false"/>
              <w:spacing w:before="120" w:after="0"/>
              <w:jc w:val="left"/>
              <w:rPr>
                <w:rFonts w:eastAsia="Calibri"/>
                <w:kern w:val="0"/>
                <w:sz w:val="18"/>
                <w:szCs w:val="18"/>
                <w:lang w:eastAsia="en-US" w:bidi="ar-SA"/>
              </w:rPr>
            </w:pPr>
            <w:r>
              <w:rPr>
                <w:rFonts w:eastAsia="Calibri"/>
                <w:kern w:val="0"/>
                <w:sz w:val="18"/>
                <w:szCs w:val="18"/>
                <w:lang w:eastAsia="en-US" w:bidi="ar-SA"/>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Style25"/>
              <w:widowControl w:val="false"/>
              <w:jc w:val="left"/>
              <w:rPr/>
            </w:pPr>
            <w:r>
              <w:rPr>
                <w:rFonts w:eastAsia="Calibri"/>
                <w:kern w:val="0"/>
                <w:sz w:val="18"/>
                <w:szCs w:val="18"/>
                <w:lang w:eastAsia="en-US" w:bidi="ar-SA"/>
              </w:rPr>
              <w:t xml:space="preserve">Порядок осуществления оценки (значение оцениваемого параметра), в зависимости от полученного Участником (с </w:t>
            </w:r>
            <w:r>
              <w:rPr/>
            </w:r>
            <m:oMath xmlns:m="http://schemas.openxmlformats.org/officeDocument/2006/math">
              <m:r>
                <w:rPr>
                  <w:rFonts w:ascii="Cambria Math" w:hAnsi="Cambria Math"/>
                </w:rPr>
                <m:t xml:space="preserve">i</m:t>
              </m:r>
            </m:oMath>
            <w:r>
              <w:rPr>
                <w:rFonts w:eastAsia="Calibri"/>
                <w:kern w:val="0"/>
                <w:sz w:val="18"/>
                <w:szCs w:val="18"/>
                <w:lang w:eastAsia="en-US" w:bidi="ar-SA"/>
              </w:rPr>
              <w:t>-ой заявкой)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Style25"/>
              <w:keepNext w:val="true"/>
              <w:widowControl w:val="false"/>
              <w:numPr>
                <w:ilvl w:val="0"/>
                <w:numId w:val="0"/>
              </w:numPr>
              <w:ind w:left="720" w:hanging="0"/>
              <w:jc w:val="left"/>
              <w:rPr/>
            </w:pPr>
            <w:r>
              <w:rPr>
                <w:rFonts w:eastAsia="Calibri"/>
                <w:kern w:val="0"/>
                <w:sz w:val="18"/>
                <w:szCs w:val="18"/>
                <w:lang w:eastAsia="en-US" w:bidi="ar-SA"/>
              </w:rPr>
              <w:t>порядок проведения оценки финансового состояния (устойчивости) Участника установлен в Приложении 5 к Положению об аккредитации</w:t>
            </w:r>
            <w:r>
              <w:rPr>
                <w:rStyle w:val="FootnoteReference"/>
                <w:rFonts w:eastAsia="Calibri"/>
                <w:kern w:val="0"/>
                <w:sz w:val="18"/>
                <w:szCs w:val="18"/>
                <w:lang w:eastAsia="en-US" w:bidi="ar-SA"/>
              </w:rPr>
              <w:footnoteReference w:id="14"/>
            </w:r>
            <w:r>
              <w:rPr>
                <w:rFonts w:eastAsia="Calibri"/>
                <w:kern w:val="0"/>
                <w:sz w:val="18"/>
                <w:szCs w:val="18"/>
                <w:lang w:eastAsia="en-US" w:bidi="ar-SA"/>
              </w:rPr>
              <w:t>;</w:t>
            </w:r>
          </w:p>
          <w:p>
            <w:pPr>
              <w:pStyle w:val="Style25"/>
              <w:keepNext w:val="true"/>
              <w:widowControl w:val="false"/>
              <w:numPr>
                <w:ilvl w:val="0"/>
                <w:numId w:val="0"/>
              </w:numPr>
              <w:ind w:left="720" w:hanging="0"/>
              <w:jc w:val="left"/>
              <w:rPr>
                <w:rFonts w:eastAsia="Calibri"/>
                <w:kern w:val="0"/>
                <w:sz w:val="18"/>
                <w:szCs w:val="18"/>
                <w:lang w:eastAsia="en-US" w:bidi="ar-SA"/>
              </w:rPr>
            </w:pPr>
            <w:r>
              <w:rPr>
                <w:rFonts w:eastAsia="Calibri"/>
                <w:kern w:val="0"/>
                <w:sz w:val="18"/>
                <w:szCs w:val="18"/>
                <w:lang w:eastAsia="en-US" w:bidi="ar-SA"/>
              </w:rPr>
              <w:t>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(https://bo.nalog.ru) за предыдущий отчетный период (год).</w:t>
            </w:r>
          </w:p>
          <w:p>
            <w:pPr>
              <w:pStyle w:val="Style25"/>
              <w:keepNext w:val="true"/>
              <w:widowControl w:val="false"/>
              <w:ind w:left="142" w:hanging="0"/>
              <w:jc w:val="left"/>
              <w:rPr>
                <w:rFonts w:eastAsia="Calibri"/>
                <w:kern w:val="0"/>
                <w:sz w:val="18"/>
                <w:szCs w:val="18"/>
                <w:lang w:eastAsia="en-US" w:bidi="ar-SA"/>
              </w:rPr>
            </w:pPr>
            <w:r>
              <w:rPr>
                <w:rFonts w:eastAsia="Calibri"/>
                <w:kern w:val="0"/>
                <w:sz w:val="18"/>
                <w:szCs w:val="18"/>
                <w:lang w:eastAsia="en-US" w:bidi="ar-SA"/>
              </w:rPr>
              <w:t>Если Участник в соответствии с законодательством не размещает сведения о своей бухгалтерской (финансовой) отчетности в упомянутом государственном информационном ресурсе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Style25"/>
              <w:keepNext w:val="true"/>
              <w:widowControl w:val="false"/>
              <w:jc w:val="left"/>
              <w:rPr>
                <w:rFonts w:eastAsia="Calibri"/>
                <w:kern w:val="0"/>
                <w:sz w:val="18"/>
                <w:szCs w:val="18"/>
                <w:lang w:eastAsia="en-US" w:bidi="ar-SA"/>
              </w:rPr>
            </w:pPr>
            <w:r>
              <w:rPr>
                <w:rFonts w:eastAsia="Calibri"/>
                <w:kern w:val="0"/>
                <w:sz w:val="18"/>
                <w:szCs w:val="18"/>
                <w:lang w:eastAsia="en-US" w:bidi="ar-SA"/>
              </w:rPr>
              <w:t>Оценка предпочтительности по частному критерию осуществляется в соответствии со следующей шкалой:</w:t>
            </w:r>
          </w:p>
          <w:tbl>
            <w:tblPr>
              <w:tblW w:w="4480" w:type="dxa"/>
              <w:jc w:val="left"/>
              <w:tblInd w:w="0" w:type="dxa"/>
              <w:tblLayout w:type="fixed"/>
              <w:tblCellMar>
                <w:top w:w="0" w:type="dxa"/>
                <w:left w:w="57" w:type="dxa"/>
                <w:bottom w:w="0" w:type="dxa"/>
                <w:right w:w="57" w:type="dxa"/>
              </w:tblCellMar>
              <w:tblLook w:val="0000" w:noVBand="0" w:noHBand="0" w:lastColumn="0" w:firstColumn="0" w:lastRow="0" w:firstRow="0"/>
            </w:tblPr>
            <w:tblGrid>
              <w:gridCol w:w="908"/>
              <w:gridCol w:w="3571"/>
            </w:tblGrid>
            <w:tr>
              <w:trPr/>
              <w:tc>
                <w:tcPr>
                  <w:tcW w:w="908" w:type="dxa"/>
                  <w:tcBorders/>
                  <w:shd w:color="auto" w:fill="auto" w:val="clear"/>
                </w:tcPr>
                <w:p>
                  <w:pPr>
                    <w:pStyle w:val="Style25"/>
                    <w:widowControl w:val="false"/>
                    <w:spacing w:before="120" w:after="0"/>
                    <w:jc w:val="left"/>
                    <w:rPr/>
                  </w:pPr>
                  <w:r>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3</m:t>
                          </m:r>
                        </m:sub>
                      </m:sSub>
                      <m:r>
                        <w:rPr>
                          <w:rFonts w:ascii="Cambria Math" w:hAnsi="Cambria Math"/>
                        </w:rPr>
                        <m:t xml:space="preserve">=</m:t>
                      </m:r>
                      <m:r>
                        <w:rPr>
                          <w:rFonts w:ascii="Cambria Math" w:hAnsi="Cambria Math"/>
                        </w:rPr>
                        <m:t xml:space="preserve">0</m:t>
                      </m:r>
                    </m:oMath>
                  </m:oMathPara>
                </w:p>
              </w:tc>
              <w:tc>
                <w:tcPr>
                  <w:tcW w:w="3571" w:type="dxa"/>
                  <w:tcBorders/>
                  <w:shd w:color="auto" w:fill="auto" w:val="clear"/>
                </w:tcPr>
                <w:p>
                  <w:pPr>
                    <w:pStyle w:val="Style25"/>
                    <w:keepNext w:val="true"/>
                    <w:widowControl w:val="false"/>
                    <w:tabs>
                      <w:tab w:val="clear" w:pos="720"/>
                      <w:tab w:val="left" w:pos="60" w:leader="none"/>
                      <w:tab w:val="left" w:pos="3450" w:leader="none"/>
                    </w:tabs>
                    <w:suppressAutoHyphens w:val="true"/>
                    <w:bidi w:val="0"/>
                    <w:spacing w:before="120" w:after="0"/>
                    <w:ind w:left="170" w:right="113" w:hanging="170"/>
                    <w:jc w:val="left"/>
                    <w:rPr/>
                  </w:pPr>
                  <w:r>
                    <w:rPr>
                      <w:rFonts w:eastAsia="Calibri"/>
                      <w:kern w:val="0"/>
                      <w:sz w:val="18"/>
                      <w:szCs w:val="18"/>
                      <w:lang w:eastAsia="en-US" w:bidi="ar-SA"/>
                    </w:rPr>
                    <w:t xml:space="preserve">   </w:t>
                  </w:r>
                  <w:r>
                    <w:rPr>
                      <w:rFonts w:eastAsia="Calibri"/>
                      <w:kern w:val="0"/>
                      <w:sz w:val="18"/>
                      <w:szCs w:val="18"/>
                      <w:lang w:eastAsia="en-US" w:bidi="ar-SA"/>
                    </w:rPr>
                    <w:t>результат оценки финансового состояния (устойчивости): менее 0,45 баллов – Кризисное финансовое состояние</w:t>
                  </w:r>
                </w:p>
                <w:p>
                  <w:pPr>
                    <w:pStyle w:val="Style25"/>
                    <w:keepNext w:val="true"/>
                    <w:widowControl w:val="false"/>
                    <w:jc w:val="left"/>
                    <w:rPr>
                      <w:rFonts w:eastAsia="Calibri"/>
                      <w:i/>
                      <w:i/>
                      <w:iCs/>
                      <w:kern w:val="0"/>
                      <w:sz w:val="18"/>
                      <w:szCs w:val="18"/>
                      <w:lang w:eastAsia="en-US" w:bidi="ar-SA"/>
                    </w:rPr>
                  </w:pPr>
                  <w:r>
                    <w:rPr>
                      <w:rFonts w:eastAsia="Calibri"/>
                      <w:i/>
                      <w:iCs/>
                      <w:kern w:val="0"/>
                      <w:sz w:val="18"/>
                      <w:szCs w:val="18"/>
                      <w:lang w:eastAsia="en-US" w:bidi="ar-SA"/>
                    </w:rPr>
                    <w:t>или</w:t>
                  </w:r>
                </w:p>
                <w:p>
                  <w:pPr>
                    <w:pStyle w:val="Style25"/>
                    <w:keepNext w:val="true"/>
                    <w:widowControl w:val="false"/>
                    <w:jc w:val="left"/>
                    <w:rPr>
                      <w:rFonts w:eastAsia="Calibri"/>
                      <w:kern w:val="0"/>
                      <w:sz w:val="18"/>
                      <w:szCs w:val="18"/>
                      <w:lang w:eastAsia="en-US" w:bidi="ar-SA"/>
                    </w:rPr>
                  </w:pPr>
                  <w:r>
                    <w:rPr>
                      <w:rFonts w:eastAsia="Calibri"/>
                      <w:kern w:val="0"/>
                      <w:sz w:val="18"/>
                      <w:szCs w:val="18"/>
                      <w:lang w:eastAsia="en-US" w:bidi="ar-SA"/>
                    </w:rPr>
                    <w:t>в случае отсутствия исходных данных для оценки финансового состояния Участника, в том числе если он является:</w:t>
                  </w:r>
                </w:p>
                <w:p>
                  <w:pPr>
                    <w:pStyle w:val="Style25"/>
                    <w:keepNext w:val="true"/>
                    <w:widowControl w:val="false"/>
                    <w:numPr>
                      <w:ilvl w:val="0"/>
                      <w:numId w:val="0"/>
                    </w:numPr>
                    <w:suppressAutoHyphens w:val="true"/>
                    <w:bidi w:val="0"/>
                    <w:spacing w:before="120" w:after="0"/>
                    <w:ind w:left="0" w:right="57" w:hanging="0"/>
                    <w:jc w:val="left"/>
                    <w:rPr>
                      <w:rFonts w:eastAsia="Calibri"/>
                      <w:kern w:val="0"/>
                      <w:sz w:val="18"/>
                      <w:szCs w:val="18"/>
                      <w:lang w:eastAsia="en-US" w:bidi="ar-SA"/>
                    </w:rPr>
                  </w:pPr>
                  <w:r>
                    <w:rPr>
                      <w:rFonts w:eastAsia="Calibri"/>
                      <w:kern w:val="0"/>
                      <w:sz w:val="18"/>
                      <w:szCs w:val="18"/>
                      <w:lang w:eastAsia="en-US" w:bidi="ar-SA"/>
                    </w:rPr>
                    <w:t>-     вновь созданным юридическим лицом, которое на дату подачи заявки на участие в закупке в соответствии с законодательством не предоставил в налоговые органы бухгалтерскую (финансовую) отчетность за завершенный финансовый год;</w:t>
                  </w:r>
                </w:p>
                <w:p>
                  <w:pPr>
                    <w:pStyle w:val="Style25"/>
                    <w:widowControl w:val="false"/>
                    <w:numPr>
                      <w:ilvl w:val="0"/>
                      <w:numId w:val="0"/>
                    </w:numPr>
                    <w:suppressAutoHyphens w:val="true"/>
                    <w:bidi w:val="0"/>
                    <w:spacing w:before="120" w:after="0"/>
                    <w:ind w:left="0" w:right="57" w:hanging="0"/>
                    <w:jc w:val="left"/>
                    <w:rPr>
                      <w:rFonts w:eastAsia="Calibri"/>
                      <w:kern w:val="0"/>
                      <w:sz w:val="18"/>
                      <w:szCs w:val="18"/>
                      <w:lang w:eastAsia="en-US" w:bidi="ar-SA"/>
                    </w:rPr>
                  </w:pPr>
                  <w:r>
                    <w:rPr>
                      <w:rFonts w:eastAsia="Calibri"/>
                      <w:kern w:val="0"/>
                      <w:sz w:val="18"/>
                      <w:szCs w:val="18"/>
                      <w:lang w:eastAsia="en-US" w:bidi="ar-SA"/>
                    </w:rPr>
                    <w:t>-    физическим лицом (индивидуальным предпринимателем и (или) применяющим специальный налоговый режим «Налог на профессиональный доход»), не ведущим бухгалтерскую (финансовую) отчетность;</w:t>
                  </w:r>
                </w:p>
              </w:tc>
            </w:tr>
            <w:tr>
              <w:trPr/>
              <w:tc>
                <w:tcPr>
                  <w:tcW w:w="908" w:type="dxa"/>
                  <w:tcBorders/>
                  <w:shd w:color="auto" w:fill="auto" w:val="clear"/>
                </w:tcPr>
                <w:p>
                  <w:pPr>
                    <w:pStyle w:val="Style25"/>
                    <w:widowControl w:val="false"/>
                    <w:spacing w:before="120" w:after="0"/>
                    <w:jc w:val="left"/>
                    <w:rPr/>
                  </w:pPr>
                  <w:r>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3</m:t>
                          </m:r>
                        </m:sub>
                      </m:sSub>
                      <m:r>
                        <w:rPr>
                          <w:rFonts w:ascii="Cambria Math" w:hAnsi="Cambria Math"/>
                        </w:rPr>
                        <m:t xml:space="preserve">=</m:t>
                      </m:r>
                      <m:r>
                        <w:rPr>
                          <w:rFonts w:ascii="Cambria Math" w:hAnsi="Cambria Math"/>
                        </w:rPr>
                        <m:t xml:space="preserve">3</m:t>
                      </m:r>
                    </m:oMath>
                  </m:oMathPara>
                </w:p>
              </w:tc>
              <w:tc>
                <w:tcPr>
                  <w:tcW w:w="3571" w:type="dxa"/>
                  <w:tcBorders/>
                  <w:shd w:color="auto" w:fill="auto" w:val="clear"/>
                </w:tcPr>
                <w:p>
                  <w:pPr>
                    <w:pStyle w:val="Style25"/>
                    <w:widowControl w:val="false"/>
                    <w:spacing w:before="120" w:after="0"/>
                    <w:jc w:val="left"/>
                    <w:rPr>
                      <w:rFonts w:eastAsia="Calibri"/>
                      <w:kern w:val="0"/>
                      <w:sz w:val="18"/>
                      <w:szCs w:val="18"/>
                      <w:lang w:eastAsia="en-US" w:bidi="ar-SA"/>
                    </w:rPr>
                  </w:pPr>
                  <w:r>
                    <w:rPr>
                      <w:rFonts w:eastAsia="Calibri"/>
                      <w:kern w:val="0"/>
                      <w:sz w:val="18"/>
                      <w:szCs w:val="18"/>
                      <w:lang w:eastAsia="en-US" w:bidi="ar-SA"/>
                    </w:rPr>
                    <w:t>результат оценки финансового состояния (устойчивости): от 0,45 баллов включительно до 0,90 баллов включительно – Неустойчивое финансовое состояние;</w:t>
                  </w:r>
                </w:p>
              </w:tc>
            </w:tr>
            <w:tr>
              <w:trPr/>
              <w:tc>
                <w:tcPr>
                  <w:tcW w:w="908" w:type="dxa"/>
                  <w:tcBorders/>
                  <w:shd w:color="auto" w:fill="auto" w:val="clear"/>
                </w:tcPr>
                <w:p>
                  <w:pPr>
                    <w:pStyle w:val="Style25"/>
                    <w:widowControl w:val="false"/>
                    <w:spacing w:before="120" w:after="0"/>
                    <w:jc w:val="left"/>
                    <w:rPr/>
                  </w:pPr>
                  <w:r>
                    <w:rPr/>
                  </w:r>
                  <m:oMathPara xmlns:m="http://schemas.openxmlformats.org/officeDocument/2006/math">
                    <m:oMathParaPr>
                      <m:jc m:val="left"/>
                    </m:oMathParaPr>
                    <m:oMath>
                      <m:sSub>
                        <m:e>
                          <m:r>
                            <w:rPr>
                              <w:rFonts w:ascii="Cambria Math" w:hAnsi="Cambria Math"/>
                            </w:rPr>
                            <m:t xml:space="preserve">Б</m:t>
                          </m:r>
                        </m:e>
                        <m:sub>
                          <m:r>
                            <w:rPr>
                              <w:rFonts w:ascii="Cambria Math" w:hAnsi="Cambria Math"/>
                            </w:rPr>
                            <m:t xml:space="preserve">3</m:t>
                          </m:r>
                        </m:sub>
                      </m:sSub>
                      <m:r>
                        <w:rPr>
                          <w:rFonts w:ascii="Cambria Math" w:hAnsi="Cambria Math"/>
                        </w:rPr>
                        <m:t xml:space="preserve">=</m:t>
                      </m:r>
                      <m:r>
                        <w:rPr>
                          <w:rFonts w:ascii="Cambria Math" w:hAnsi="Cambria Math"/>
                        </w:rPr>
                        <m:t xml:space="preserve">5</m:t>
                      </m:r>
                    </m:oMath>
                  </m:oMathPara>
                </w:p>
              </w:tc>
              <w:tc>
                <w:tcPr>
                  <w:tcW w:w="3571" w:type="dxa"/>
                  <w:tcBorders/>
                  <w:shd w:color="auto" w:fill="auto" w:val="clear"/>
                </w:tcPr>
                <w:p>
                  <w:pPr>
                    <w:pStyle w:val="Style25"/>
                    <w:widowControl w:val="false"/>
                    <w:spacing w:before="120" w:after="0"/>
                    <w:jc w:val="left"/>
                    <w:rPr>
                      <w:rFonts w:eastAsia="Calibri"/>
                      <w:kern w:val="0"/>
                      <w:sz w:val="18"/>
                      <w:szCs w:val="18"/>
                      <w:lang w:eastAsia="en-US" w:bidi="ar-SA"/>
                    </w:rPr>
                  </w:pPr>
                  <w:r>
                    <w:rPr>
                      <w:rFonts w:eastAsia="Calibri"/>
                      <w:kern w:val="0"/>
                      <w:sz w:val="18"/>
                      <w:szCs w:val="18"/>
                      <w:lang w:eastAsia="en-US" w:bidi="ar-SA"/>
                    </w:rPr>
                    <w:t>результат оценки финансового состояния (устойчивости): более 0,90 баллов – Удовлетворительное финансовое состояние,</w:t>
                  </w:r>
                </w:p>
              </w:tc>
            </w:tr>
          </w:tbl>
          <w:p>
            <w:pPr>
              <w:pStyle w:val="Style25"/>
              <w:widowControl w:val="false"/>
              <w:jc w:val="left"/>
              <w:rPr>
                <w:rFonts w:eastAsia="Calibri"/>
                <w:kern w:val="0"/>
                <w:sz w:val="18"/>
                <w:szCs w:val="18"/>
                <w:lang w:eastAsia="en-US" w:bidi="ar-SA"/>
              </w:rPr>
            </w:pPr>
            <w:r>
              <w:rPr>
                <w:rFonts w:eastAsia="Calibri"/>
                <w:kern w:val="0"/>
                <w:sz w:val="18"/>
                <w:szCs w:val="18"/>
                <w:lang w:eastAsia="en-US" w:bidi="ar-SA"/>
              </w:rPr>
              <w:t>где:</w:t>
            </w:r>
          </w:p>
          <w:p>
            <w:pPr>
              <w:pStyle w:val="Style25"/>
              <w:widowControl w:val="false"/>
              <w:jc w:val="left"/>
              <w:rPr/>
            </w:pPr>
            <w:r>
              <w:rPr/>
            </w:r>
            <m:oMath xmlns:m="http://schemas.openxmlformats.org/officeDocument/2006/math">
              <m:sSub>
                <m:e>
                  <m:r>
                    <w:rPr>
                      <w:rFonts w:ascii="Cambria Math" w:hAnsi="Cambria Math"/>
                    </w:rPr>
                    <m:t xml:space="preserve">Б</m:t>
                  </m:r>
                </m:e>
                <m:sub>
                  <m:r>
                    <w:rPr>
                      <w:rFonts w:ascii="Cambria Math" w:hAnsi="Cambria Math"/>
                    </w:rPr>
                    <m:t xml:space="preserve">i</m:t>
                  </m:r>
                </m:sub>
              </m:sSub>
            </m:oMath>
            <w:r>
              <w:rPr>
                <w:rFonts w:eastAsia="Calibri"/>
                <w:kern w:val="0"/>
                <w:sz w:val="18"/>
                <w:szCs w:val="18"/>
                <w:lang w:eastAsia="en-US" w:bidi="ar-SA"/>
              </w:rPr>
              <w:t xml:space="preserve"> – </w:t>
            </w:r>
            <w:r>
              <w:rPr>
                <w:rFonts w:eastAsia="Calibri"/>
                <w:kern w:val="0"/>
                <w:sz w:val="18"/>
                <w:szCs w:val="18"/>
                <w:lang w:eastAsia="en-US" w:bidi="ar-SA"/>
              </w:rPr>
              <w:t>рассчитанная оценка предпочтительности по частному критерию оценки в баллах.</w:t>
            </w:r>
          </w:p>
          <w:p>
            <w:pPr>
              <w:pStyle w:val="Style25"/>
              <w:widowControl w:val="false"/>
              <w:jc w:val="left"/>
              <w:rPr>
                <w:rFonts w:eastAsia="Calibri"/>
                <w:kern w:val="0"/>
                <w:sz w:val="18"/>
                <w:szCs w:val="18"/>
                <w:lang w:eastAsia="en-US" w:bidi="ar-SA"/>
              </w:rPr>
            </w:pPr>
            <w:r>
              <w:rPr>
                <w:rFonts w:eastAsia="Calibri"/>
                <w:kern w:val="0"/>
                <w:sz w:val="18"/>
                <w:szCs w:val="18"/>
                <w:lang w:eastAsia="en-US" w:bidi="ar-SA"/>
              </w:rPr>
              <w:t>Шкала оценок от 0 до 5 баллов.</w:t>
            </w:r>
          </w:p>
          <w:p>
            <w:pPr>
              <w:pStyle w:val="Style25"/>
              <w:widowControl w:val="false"/>
              <w:jc w:val="left"/>
              <w:rPr>
                <w:rFonts w:eastAsia="Calibri"/>
                <w:i/>
                <w:i/>
                <w:iCs/>
                <w:kern w:val="0"/>
                <w:sz w:val="18"/>
                <w:szCs w:val="18"/>
                <w:lang w:eastAsia="en-US" w:bidi="ar-SA"/>
              </w:rPr>
            </w:pPr>
            <w:r>
              <w:rPr>
                <w:rFonts w:eastAsia="Calibri"/>
                <w:i/>
                <w:iCs/>
                <w:kern w:val="0"/>
                <w:sz w:val="18"/>
                <w:szCs w:val="18"/>
                <w:lang w:eastAsia="en-US" w:bidi="ar-SA"/>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pPr>
              <w:pStyle w:val="Style25"/>
              <w:widowControl w:val="false"/>
              <w:jc w:val="left"/>
              <w:rPr>
                <w:rFonts w:eastAsia="Calibri"/>
                <w:sz w:val="20"/>
                <w:szCs w:val="20"/>
              </w:rPr>
            </w:pPr>
            <w:r>
              <w:rPr>
                <w:rFonts w:eastAsia="Calibri"/>
                <w:i/>
                <w:iCs/>
                <w:kern w:val="0"/>
                <w:sz w:val="18"/>
                <w:szCs w:val="18"/>
                <w:lang w:eastAsia="en-US" w:bidi="ar-SA"/>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поставляемой им продукции согласно Плану распределения объемов поставки продукции (форма 4) (</w:t>
            </w:r>
            <w:hyperlink w:anchor="Прил04_ФормыЗаявки">
              <w:r>
                <w:rPr>
                  <w:rFonts w:eastAsia="Calibri"/>
                  <w:i/>
                  <w:iCs/>
                  <w:kern w:val="0"/>
                  <w:sz w:val="18"/>
                  <w:szCs w:val="18"/>
                  <w:lang w:eastAsia="en-US" w:bidi="ar-SA"/>
                </w:rPr>
                <w:t>Приложение № 4</w:t>
              </w:r>
            </w:hyperlink>
            <w:r>
              <w:rPr>
                <w:rFonts w:eastAsia="Calibri"/>
                <w:i/>
                <w:iCs/>
                <w:kern w:val="0"/>
                <w:sz w:val="18"/>
                <w:szCs w:val="18"/>
                <w:lang w:eastAsia="en-US" w:bidi="ar-SA"/>
              </w:rPr>
              <w:t>), представленному в заявке такого Коллективного участника на участие в закупке.)</w:t>
            </w:r>
          </w:p>
        </w:tc>
      </w:tr>
      <w:tr>
        <w:trPr/>
        <w:tc>
          <w:tcPr>
            <w:tcW w:w="6179" w:type="dxa"/>
            <w:gridSpan w:val="4"/>
            <w:tcBorders>
              <w:left w:val="single" w:sz="4" w:space="0" w:color="000000"/>
              <w:bottom w:val="single" w:sz="4" w:space="0" w:color="000000"/>
            </w:tcBorders>
          </w:tcPr>
          <w:p>
            <w:pPr>
              <w:pStyle w:val="Style25"/>
              <w:widowControl w:val="false"/>
              <w:spacing w:before="120" w:after="0"/>
              <w:jc w:val="left"/>
              <w:rPr>
                <w:rFonts w:eastAsia="Calibri"/>
                <w:sz w:val="20"/>
                <w:szCs w:val="20"/>
              </w:rPr>
            </w:pPr>
            <w:r>
              <w:rPr>
                <w:rFonts w:eastAsia="Calibri"/>
                <w:sz w:val="20"/>
                <w:szCs w:val="20"/>
              </w:rPr>
              <w:t>Итоговая оценка предпочтительности заявки:</w:t>
            </w:r>
          </w:p>
        </w:tc>
        <w:tc>
          <w:tcPr>
            <w:tcW w:w="8089" w:type="dxa"/>
            <w:gridSpan w:val="3"/>
            <w:tcBorders>
              <w:left w:val="single" w:sz="4" w:space="0" w:color="000000"/>
              <w:bottom w:val="single" w:sz="4" w:space="0" w:color="000000"/>
              <w:right w:val="single" w:sz="4" w:space="0" w:color="000000"/>
            </w:tcBorders>
          </w:tcPr>
          <w:p>
            <w:pPr>
              <w:pStyle w:val="Style25"/>
              <w:widowControl w:val="false"/>
              <w:spacing w:before="120" w:after="0"/>
              <w:jc w:val="left"/>
              <w:rPr/>
            </w:pPr>
            <w:r>
              <w:rPr>
                <w:rFonts w:eastAsia="Calibri"/>
                <w:sz w:val="20"/>
                <w:szCs w:val="20"/>
              </w:rPr>
              <w:t xml:space="preserve">Расчет итоговой оценки предпочтительности </w:t>
            </w:r>
            <w:r>
              <w:rPr/>
            </w:r>
            <m:oMath xmlns:m="http://schemas.openxmlformats.org/officeDocument/2006/math">
              <m:r>
                <w:rPr>
                  <w:rFonts w:ascii="Cambria Math" w:hAnsi="Cambria Math"/>
                </w:rPr>
                <m:t xml:space="preserve">i</m:t>
              </m:r>
            </m:oMath>
            <w:r>
              <w:rPr>
                <w:rFonts w:eastAsia="Calibri"/>
                <w:sz w:val="20"/>
                <w:szCs w:val="20"/>
              </w:rPr>
              <w:t>-ой заявки:</w:t>
            </w:r>
          </w:p>
          <w:p>
            <w:pPr>
              <w:pStyle w:val="Style25"/>
              <w:widowControl w:val="false"/>
              <w:jc w:val="center"/>
              <w:rPr/>
            </w:pPr>
            <w:r>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2338705" cy="211455"/>
                  <wp:effectExtent l="0" t="0" r="0" b="0"/>
                  <wp:wrapSquare wrapText="largest"/>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39"/>
                          <a:stretch>
                            <a:fillRect/>
                          </a:stretch>
                        </pic:blipFill>
                        <pic:spPr bwMode="auto">
                          <a:xfrm>
                            <a:off x="0" y="0"/>
                            <a:ext cx="2338705" cy="211455"/>
                          </a:xfrm>
                          <a:prstGeom prst="rect">
                            <a:avLst/>
                          </a:prstGeom>
                        </pic:spPr>
                      </pic:pic>
                    </a:graphicData>
                  </a:graphic>
                </wp:anchor>
              </w:drawing>
            </w:r>
          </w:p>
          <w:p>
            <w:pPr>
              <w:pStyle w:val="Style25"/>
              <w:widowControl w:val="false"/>
              <w:jc w:val="left"/>
              <w:rPr>
                <w:rFonts w:eastAsia="Calibri"/>
                <w:sz w:val="20"/>
                <w:szCs w:val="20"/>
              </w:rPr>
            </w:pPr>
            <w:r>
              <w:rPr>
                <w:rFonts w:eastAsia="Calibri"/>
                <w:sz w:val="20"/>
                <w:szCs w:val="20"/>
              </w:rPr>
              <w:t>где:</w:t>
            </w:r>
          </w:p>
          <w:p>
            <w:pPr>
              <w:pStyle w:val="Style25"/>
              <w:widowControl w:val="false"/>
              <w:jc w:val="left"/>
              <w:rPr/>
            </w:pPr>
            <w:r>
              <w:rPr/>
            </w:r>
            <m:oMath xmlns:m="http://schemas.openxmlformats.org/officeDocument/2006/math">
              <m:sSub>
                <m:e>
                  <m:r>
                    <w:rPr>
                      <w:rFonts w:ascii="Cambria Math" w:hAnsi="Cambria Math"/>
                    </w:rPr>
                    <m:t xml:space="preserve">Б</m:t>
                  </m:r>
                </m:e>
                <m:sub>
                  <m:r>
                    <w:rPr>
                      <w:rFonts w:ascii="Cambria Math" w:hAnsi="Cambria Math"/>
                    </w:rPr>
                    <m:t xml:space="preserve">ИТОГ</m:t>
                  </m:r>
                </m:sub>
              </m:sSub>
            </m:oMath>
            <w:r>
              <w:rPr>
                <w:rFonts w:eastAsia="Calibri"/>
                <w:sz w:val="20"/>
                <w:szCs w:val="20"/>
              </w:rPr>
              <w:t xml:space="preserve"> – </w:t>
            </w:r>
            <w:r>
              <w:rPr>
                <w:rFonts w:eastAsia="Calibri"/>
                <w:sz w:val="20"/>
                <w:szCs w:val="20"/>
              </w:rPr>
              <w:t>рассчитанная итоговая оценка предпочтительности в баллах;</w:t>
            </w:r>
          </w:p>
          <w:p>
            <w:pPr>
              <w:pStyle w:val="Style25"/>
              <w:widowControl w:val="false"/>
              <w:jc w:val="left"/>
              <w:rPr/>
            </w:pPr>
            <w:r>
              <w:rPr/>
            </w:r>
            <m:oMath xmlns:m="http://schemas.openxmlformats.org/officeDocument/2006/math">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sz w:val="20"/>
                <w:szCs w:val="20"/>
              </w:rPr>
              <w:t xml:space="preserve"> – </w:t>
            </w:r>
            <w:r>
              <w:rPr>
                <w:rFonts w:eastAsia="Calibri"/>
                <w:sz w:val="20"/>
                <w:szCs w:val="20"/>
              </w:rPr>
              <w:t xml:space="preserve">оценка предпочтительности по </w:t>
            </w:r>
            <w:r>
              <w:rPr/>
            </w:r>
            <m:oMath xmlns:m="http://schemas.openxmlformats.org/officeDocument/2006/math">
              <m:r>
                <w:rPr>
                  <w:rFonts w:ascii="Cambria Math" w:hAnsi="Cambria Math"/>
                </w:rPr>
                <m:t xml:space="preserve">k</m:t>
              </m:r>
            </m:oMath>
            <w:r>
              <w:rPr>
                <w:rFonts w:eastAsia="Calibri"/>
                <w:sz w:val="20"/>
                <w:szCs w:val="20"/>
              </w:rPr>
              <w:t>-тому критерию оценки первого уровня в баллах;</w:t>
            </w:r>
          </w:p>
          <w:p>
            <w:pPr>
              <w:pStyle w:val="Style25"/>
              <w:widowControl w:val="false"/>
              <w:jc w:val="left"/>
              <w:rPr/>
            </w:pPr>
            <w:r>
              <w:rPr/>
            </w:r>
            <m:oMath xmlns:m="http://schemas.openxmlformats.org/officeDocument/2006/math">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sz w:val="20"/>
                <w:szCs w:val="20"/>
              </w:rPr>
              <w:t xml:space="preserve"> – </w:t>
            </w:r>
            <w:r>
              <w:rPr>
                <w:rFonts w:eastAsia="Calibri"/>
                <w:sz w:val="20"/>
                <w:szCs w:val="20"/>
              </w:rPr>
              <w:t xml:space="preserve">значимость </w:t>
            </w:r>
            <w:r>
              <w:rPr/>
            </w:r>
            <m:oMath xmlns:m="http://schemas.openxmlformats.org/officeDocument/2006/math">
              <m:r>
                <w:rPr>
                  <w:rFonts w:ascii="Cambria Math" w:hAnsi="Cambria Math"/>
                </w:rPr>
                <m:t xml:space="preserve">k</m:t>
              </m:r>
            </m:oMath>
            <w:r>
              <w:rPr>
                <w:rFonts w:eastAsia="Calibri"/>
                <w:sz w:val="20"/>
                <w:szCs w:val="20"/>
              </w:rPr>
              <w:t xml:space="preserve">-ого критерия оценки первого уровня, выраженная в диапазоне от 1% до 100% (или от 0,01 до 1,00) – вес </w:t>
            </w:r>
            <w:r>
              <w:rPr/>
            </w:r>
            <m:oMath xmlns:m="http://schemas.openxmlformats.org/officeDocument/2006/math">
              <m:r>
                <w:rPr>
                  <w:rFonts w:ascii="Cambria Math" w:hAnsi="Cambria Math"/>
                </w:rPr>
                <m:t xml:space="preserve">k</m:t>
              </m:r>
            </m:oMath>
            <w:r>
              <w:rPr>
                <w:rFonts w:eastAsia="Calibri"/>
                <w:sz w:val="20"/>
                <w:szCs w:val="20"/>
              </w:rPr>
              <w:t>-ого критерия оценки первого уровня.</w:t>
            </w:r>
          </w:p>
          <w:p>
            <w:pPr>
              <w:pStyle w:val="Style25"/>
              <w:widowControl w:val="false"/>
              <w:jc w:val="left"/>
              <w:rPr>
                <w:rFonts w:eastAsia="Calibri"/>
                <w:i/>
                <w:i/>
                <w:iCs/>
                <w:sz w:val="20"/>
                <w:szCs w:val="20"/>
              </w:rPr>
            </w:pPr>
            <w:r>
              <w:rPr>
                <w:rFonts w:eastAsia="Calibri"/>
                <w:i/>
                <w:iCs/>
                <w:sz w:val="20"/>
                <w:szCs w:val="20"/>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1"/>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1"/>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_Ref132816300 \r \h </w:instrText>
      </w:r>
      <w:r>
        <w:rPr/>
        <w:fldChar w:fldCharType="separate"/>
      </w:r>
      <w:r>
        <w:rPr/>
        <w:t>4.14</w:t>
      </w:r>
      <w:r>
        <w:rPr/>
        <w:fldChar w:fldCharType="end"/>
      </w:r>
      <w:r>
        <w:rPr/>
        <w:t>.</w:t>
      </w:r>
    </w:p>
    <w:p>
      <w:pPr>
        <w:sectPr>
          <w:headerReference w:type="default" r:id="rId40"/>
          <w:headerReference w:type="first" r:id="rId41"/>
          <w:footerReference w:type="default" r:id="rId42"/>
          <w:footerReference w:type="first" r:id="rId43"/>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1"/>
        <w:rPr/>
      </w:pPr>
      <w:r>
        <w:rPr/>
        <w:t>Заявки участников (из числа успешно прошедших отборочную стадию рассмотрения вторых частей заявок и ценовых предложений (дополнительных ценовых предложений – если проводилась переторжка)) ранжируются по количеству набранных баллов (от наибольшего к наименьшему), присвоенных заявкам по результатам оценки.</w:t>
      </w:r>
    </w:p>
    <w:p>
      <w:pPr>
        <w:pStyle w:val="Style19"/>
        <w:rPr/>
      </w:pPr>
      <w:bookmarkStart w:id="413" w:name="__RefHeading___Toc192623_1558056896"/>
      <w:bookmarkStart w:id="414" w:name="_Toc186224183"/>
      <w:bookmarkStart w:id="415" w:name="_Ref125360420"/>
      <w:bookmarkStart w:id="416" w:name="Прил09_ОбоснованиеНМЦ"/>
      <w:bookmarkEnd w:id="413"/>
      <w:bookmarkEnd w:id="416"/>
      <w:r>
        <w:rPr/>
        <w:t>Приложение № 9 – Обоснование НМЦ</w:t>
      </w:r>
      <w:bookmarkEnd w:id="414"/>
      <w:bookmarkEnd w:id="415"/>
    </w:p>
    <w:p>
      <w:pPr>
        <w:pStyle w:val="Style20"/>
        <w:rPr/>
      </w:pPr>
      <w:bookmarkStart w:id="417" w:name="__RefHeading___Toc192625_1558056896"/>
      <w:bookmarkStart w:id="418" w:name="_Toc186224184"/>
      <w:bookmarkEnd w:id="417"/>
      <w:r>
        <w:rPr/>
        <w:t>Пояснения к Обоснованию НМЦ</w:t>
      </w:r>
      <w:bookmarkStart w:id="419" w:name="_Ref125360420_Копия_1"/>
      <w:bookmarkStart w:id="420" w:name="_Toc186224183_Копия_1"/>
      <w:bookmarkEnd w:id="418"/>
      <w:r>
        <w:rPr/>
        <w:t>Приложение № 9 – Обоснование НМЦ</w:t>
      </w:r>
      <w:bookmarkEnd w:id="419"/>
      <w:bookmarkEnd w:id="420"/>
    </w:p>
    <w:p>
      <w:pPr>
        <w:pStyle w:val="Style21"/>
        <w:rPr/>
      </w:pPr>
      <w:bookmarkStart w:id="421" w:name="__RefHeading___Toc192625_1558056896_Копи"/>
      <w:bookmarkStart w:id="422" w:name="_Toc186224184_Копия_1"/>
      <w:bookmarkEnd w:id="421"/>
      <w:r>
        <w:rPr/>
        <w:t>Пояснения к Обоснованию НМЦ</w:t>
      </w:r>
      <w:bookmarkEnd w:id="422"/>
    </w:p>
    <w:p>
      <w:pPr>
        <w:pStyle w:val="Style21"/>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19"/>
        <w:rPr/>
      </w:pPr>
      <w:bookmarkStart w:id="423" w:name="__RefHeading___Toc192627_1558056896"/>
      <w:bookmarkStart w:id="424" w:name="_Toc186224185"/>
      <w:bookmarkStart w:id="425" w:name="Прил10_ФормаЗаявкиНаАккредитацию"/>
      <w:bookmarkEnd w:id="423"/>
      <w:bookmarkEnd w:id="425"/>
      <w:r>
        <w:rPr/>
        <w:t>Приложение № 10 – Форма Заявки на аккредитацию</w:t>
      </w:r>
      <w:bookmarkEnd w:id="424"/>
    </w:p>
    <w:p>
      <w:pPr>
        <w:pStyle w:val="Style20"/>
        <w:rPr/>
      </w:pPr>
      <w:bookmarkStart w:id="426" w:name="__RefHeading___Toc192629_1558056896"/>
      <w:bookmarkStart w:id="427" w:name="_Toc186224186"/>
      <w:bookmarkEnd w:id="426"/>
      <w:r>
        <w:rPr/>
        <w:t>Пояснения к форме Заявки на аккредитацию</w:t>
      </w:r>
      <w:bookmarkEnd w:id="427"/>
    </w:p>
    <w:p>
      <w:pPr>
        <w:pStyle w:val="Style21"/>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5"/>
        <w:jc w:val="center"/>
        <w:rPr/>
      </w:pPr>
      <w:r>
        <w:rPr/>
        <w:object>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76.6pt;height:48.95pt;mso-wrap-distance-right:0pt" filled="f" o:ole="">
            <v:imagedata r:id="rId45" o:title=""/>
          </v:shape>
          <o:OLEObject Type="Embed" ProgID="Excel.Sheet.12" ShapeID="ole_rId44" DrawAspect="Icon" ObjectID="_1751724758" r:id="rId44"/>
        </w:object>
      </w:r>
    </w:p>
    <w:sectPr>
      <w:headerReference w:type="default" r:id="rId46"/>
      <w:headerReference w:type="first" r:id="rId47"/>
      <w:footerReference w:type="default" r:id="rId48"/>
      <w:footerReference w:type="first" r:id="rId49"/>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77028374"/>
    </w:sdtPr>
    <w:sdtContent>
      <w:p>
        <w:pPr>
          <w:pStyle w:val="Footer"/>
          <w:spacing w:before="120" w:after="0"/>
          <w:rPr>
            <w:rStyle w:val="Style4"/>
            <w:rFonts w:eastAsia="Calibri"/>
          </w:rPr>
        </w:pPr>
        <w:r>
          <w:rPr/>
          <w:fldChar w:fldCharType="begin"/>
        </w:r>
        <w:r>
          <w:rPr/>
          <w:instrText xml:space="preserve"> PAGE </w:instrText>
        </w:r>
        <w:r>
          <w:rPr/>
          <w:fldChar w:fldCharType="separate"/>
        </w:r>
        <w:r>
          <w:rPr/>
          <w:t>16</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0058553"/>
    </w:sdtPr>
    <w:sdtContent>
      <w:p>
        <w:pPr>
          <w:pStyle w:val="Footer"/>
          <w:spacing w:before="120" w:after="0"/>
          <w:rPr/>
        </w:pPr>
        <w:r>
          <w:rPr/>
          <w:fldChar w:fldCharType="begin"/>
        </w:r>
        <w:r>
          <w:rPr/>
          <w:instrText xml:space="preserve"> PAGE </w:instrText>
        </w:r>
        <w:r>
          <w:rPr/>
          <w:fldChar w:fldCharType="separate"/>
        </w:r>
        <w:r>
          <w:rPr/>
          <w:t>53</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81985573"/>
    </w:sdtPr>
    <w:sdtContent>
      <w:p>
        <w:pPr>
          <w:pStyle w:val="Footer"/>
          <w:spacing w:before="120" w:after="0"/>
          <w:rPr/>
        </w:pPr>
        <w:r>
          <w:rPr/>
          <w:fldChar w:fldCharType="begin"/>
        </w:r>
        <w:r>
          <w:rPr/>
          <w:instrText xml:space="preserve"> PAGE </w:instrText>
        </w:r>
        <w:r>
          <w:rPr/>
          <w:fldChar w:fldCharType="separate"/>
        </w:r>
        <w:r>
          <w:rPr/>
          <w:t>59</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96446434"/>
    </w:sdtPr>
    <w:sdtContent>
      <w:p>
        <w:pPr>
          <w:pStyle w:val="Footer"/>
          <w:spacing w:before="120" w:after="0"/>
          <w:rPr/>
        </w:pPr>
        <w:r>
          <w:rPr/>
          <w:fldChar w:fldCharType="begin"/>
        </w:r>
        <w:r>
          <w:rPr/>
          <w:instrText xml:space="preserve"> PAGE </w:instrText>
        </w:r>
        <w:r>
          <w:rPr/>
          <w:fldChar w:fldCharType="separate"/>
        </w:r>
        <w:r>
          <w:rPr/>
          <w:t>65</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58647536"/>
    </w:sdtPr>
    <w:sdtContent>
      <w:p>
        <w:pPr>
          <w:pStyle w:val="Footer"/>
          <w:spacing w:before="120" w:after="0"/>
          <w:rPr/>
        </w:pPr>
        <w:r>
          <w:rPr/>
          <w:fldChar w:fldCharType="begin"/>
        </w:r>
        <w:r>
          <w:rPr/>
          <w:instrText xml:space="preserve"> PAGE </w:instrText>
        </w:r>
        <w:r>
          <w:rPr/>
          <w:fldChar w:fldCharType="separate"/>
        </w:r>
        <w:r>
          <w:rPr/>
          <w:t>67</w:t>
        </w:r>
        <w:r>
          <w:rPr/>
          <w:fldChar w:fldCharType="end"/>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51967430"/>
    </w:sdtPr>
    <w:sdtContent>
      <w:p>
        <w:pPr>
          <w:pStyle w:val="Footer"/>
          <w:spacing w:before="120" w:after="0"/>
          <w:rPr/>
        </w:pPr>
        <w:r>
          <w:rPr/>
          <w:fldChar w:fldCharType="begin"/>
        </w:r>
        <w:r>
          <w:rPr/>
          <w:instrText xml:space="preserve"> PAGE </w:instrText>
        </w:r>
        <w:r>
          <w:rPr/>
          <w:fldChar w:fldCharType="separate"/>
        </w:r>
        <w:r>
          <w:rPr/>
          <w:t>23</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05361138"/>
    </w:sdtPr>
    <w:sdtContent>
      <w:p>
        <w:pPr>
          <w:pStyle w:val="Footer"/>
          <w:spacing w:before="120" w:after="0"/>
          <w:rPr/>
        </w:pPr>
        <w:r>
          <w:rPr/>
          <w:fldChar w:fldCharType="begin"/>
        </w:r>
        <w:r>
          <w:rPr/>
          <w:instrText xml:space="preserve"> PAGE </w:instrText>
        </w:r>
        <w:r>
          <w:rPr/>
          <w:fldChar w:fldCharType="separate"/>
        </w:r>
        <w:r>
          <w:rPr/>
          <w:t>43</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71417622"/>
    </w:sdtPr>
    <w:sdtContent>
      <w:p>
        <w:pPr>
          <w:pStyle w:val="Footer"/>
          <w:spacing w:before="120" w:after="0"/>
          <w:rPr/>
        </w:pPr>
        <w:r>
          <w:rPr/>
          <w:fldChar w:fldCharType="begin"/>
        </w:r>
        <w:r>
          <w:rPr/>
          <w:instrText xml:space="preserve"> PAGE </w:instrText>
        </w:r>
        <w:r>
          <w:rPr/>
          <w:fldChar w:fldCharType="separate"/>
        </w:r>
        <w:r>
          <w:rPr/>
          <w:t>48</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9585843"/>
    </w:sdtPr>
    <w:sdtContent>
      <w:p>
        <w:pPr>
          <w:pStyle w:val="Footer"/>
          <w:spacing w:before="120" w:after="0"/>
          <w:rPr/>
        </w:pPr>
        <w:r>
          <w:rPr/>
          <w:fldChar w:fldCharType="begin"/>
        </w:r>
        <w:r>
          <w:rPr/>
          <w:instrText xml:space="preserve"> PAGE </w:instrText>
        </w:r>
        <w:r>
          <w:rPr/>
          <w:fldChar w:fldCharType="separate"/>
        </w:r>
        <w:r>
          <w:rPr/>
          <w:t>49</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27"/>
        <w:spacing w:before="80" w:after="0"/>
        <w:ind w:left="567" w:hanging="567"/>
        <w:jc w:val="both"/>
        <w:rPr/>
      </w:pPr>
      <w:r>
        <w:rPr>
          <w:rStyle w:val="Style6"/>
        </w:rPr>
        <w:footnoteRef/>
      </w:r>
      <w:r>
        <w:rPr/>
        <w:tab/>
        <w:t>Определенные в соответствии с Законом 422-ФЗ.</w:t>
      </w:r>
    </w:p>
  </w:footnote>
  <w:footnote w:id="3">
    <w:p>
      <w:pPr>
        <w:pStyle w:val="Style27"/>
        <w:spacing w:before="80" w:after="0"/>
        <w:ind w:left="567" w:hanging="567"/>
        <w:jc w:val="both"/>
        <w:rPr/>
      </w:pPr>
      <w:r>
        <w:rPr>
          <w:rStyle w:val="Style6"/>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4">
    <w:p>
      <w:pPr>
        <w:pStyle w:val="Style27"/>
        <w:spacing w:before="80" w:after="0"/>
        <w:ind w:left="567" w:hanging="567"/>
        <w:jc w:val="both"/>
        <w:rPr/>
      </w:pPr>
      <w:r>
        <w:rPr>
          <w:rStyle w:val="Style6"/>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27"/>
        <w:spacing w:before="80" w:after="0"/>
        <w:ind w:left="567" w:hanging="567"/>
        <w:jc w:val="both"/>
        <w:rPr/>
      </w:pPr>
      <w:r>
        <w:rPr>
          <w:rStyle w:val="Style6"/>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6">
    <w:p>
      <w:pPr>
        <w:pStyle w:val="Style27"/>
        <w:spacing w:before="80" w:after="0"/>
        <w:ind w:left="567" w:hanging="567"/>
        <w:jc w:val="both"/>
        <w:rPr/>
      </w:pPr>
      <w:r>
        <w:rPr>
          <w:rStyle w:val="Style6"/>
        </w:rPr>
        <w:footnoteRef/>
      </w:r>
      <w:r>
        <w:rPr/>
        <w:tab/>
        <w:t>С учетом пункта </w:t>
      </w:r>
      <w:r>
        <w:rPr/>
        <w:fldChar w:fldCharType="begin"/>
      </w:r>
      <w:r>
        <w:rPr/>
        <w:instrText xml:space="preserve"> REF __RefHeading___Toc179956_1558056896 \w \h </w:instrText>
      </w:r>
      <w:r>
        <w:rPr/>
        <w:fldChar w:fldCharType="separate"/>
      </w:r>
      <w:r>
        <w:rPr/>
        <w:t>4.14.5</w:t>
      </w:r>
      <w:r>
        <w:rPr/>
        <w:fldChar w:fldCharType="end"/>
      </w:r>
      <w:r>
        <w:rPr/>
        <w:t>.</w:t>
      </w:r>
    </w:p>
  </w:footnote>
  <w:footnote w:id="7">
    <w:p>
      <w:pPr>
        <w:pStyle w:val="Style27"/>
        <w:spacing w:before="80" w:after="0"/>
        <w:ind w:left="567" w:hanging="567"/>
        <w:jc w:val="both"/>
        <w:rPr/>
      </w:pPr>
      <w:r>
        <w:rPr>
          <w:rStyle w:val="Style6"/>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FootnoteText"/>
        <w:ind w:left="567" w:hanging="567"/>
        <w:jc w:val="both"/>
        <w:rPr>
          <w:sz w:val="22"/>
        </w:rPr>
      </w:pPr>
      <w:r>
        <w:rPr>
          <w:rStyle w:val="Style6"/>
        </w:rPr>
        <w:footnoteRef/>
      </w:r>
      <w:r>
        <w:rPr>
          <w:sz w:val="22"/>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27"/>
        <w:spacing w:before="80" w:after="0"/>
        <w:ind w:left="567" w:hanging="567"/>
        <w:jc w:val="both"/>
        <w:rPr/>
      </w:pPr>
      <w:r>
        <w:rPr>
          <w:rStyle w:val="Style6"/>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27"/>
        <w:spacing w:before="80" w:after="0"/>
        <w:ind w:left="567" w:hanging="567"/>
        <w:jc w:val="both"/>
        <w:rPr/>
      </w:pPr>
      <w:r>
        <w:rPr>
          <w:rStyle w:val="Style6"/>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27"/>
        <w:spacing w:before="80" w:after="0"/>
        <w:ind w:left="567" w:hanging="567"/>
        <w:jc w:val="both"/>
        <w:rPr/>
      </w:pPr>
      <w:r>
        <w:rPr>
          <w:rStyle w:val="Style6"/>
        </w:rPr>
        <w:footnoteRef/>
      </w:r>
      <w:r>
        <w:rPr/>
        <w:tab/>
        <w:t>https://minfin.gov.ru/ru/perfomance/tax_relations/policy/bankwarranty/</w:t>
      </w:r>
    </w:p>
  </w:footnote>
  <w:footnote w:id="12">
    <w:p>
      <w:pPr>
        <w:pStyle w:val="Style27"/>
        <w:spacing w:before="80" w:after="0"/>
        <w:ind w:left="567" w:hanging="567"/>
        <w:jc w:val="both"/>
        <w:rPr/>
      </w:pPr>
      <w:r>
        <w:rPr>
          <w:rStyle w:val="Style6"/>
        </w:rPr>
        <w:footnoteRef/>
      </w:r>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footnote>
  <w:footnote w:id="13">
    <w:p>
      <w:pPr>
        <w:pStyle w:val="Style27"/>
        <w:spacing w:before="80" w:after="0"/>
        <w:ind w:left="567" w:hanging="567"/>
        <w:jc w:val="both"/>
        <w:rPr/>
      </w:pPr>
      <w:r>
        <w:rPr>
          <w:rStyle w:val="Style6"/>
        </w:rPr>
        <w:footnoteRef/>
      </w:r>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_Ref138341423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footnote>
  <w:footnote w:id="14">
    <w:p>
      <w:pPr>
        <w:pStyle w:val="Style27"/>
        <w:widowControl w:val="false"/>
        <w:spacing w:before="80" w:after="0"/>
        <w:rPr/>
      </w:pPr>
      <w:r>
        <w:rPr>
          <w:rStyle w:val="Style6"/>
        </w:rPr>
        <w:footnoteRef/>
      </w:r>
      <w:r>
        <w:rPr/>
        <w:tab/>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19"/>
      <w:numFmt w:val="decimal"/>
      <w:lvlText w:val="%1."/>
      <w:lvlJc w:val="left"/>
      <w:pPr>
        <w:tabs>
          <w:tab w:val="num" w:pos="1134"/>
        </w:tabs>
        <w:ind w:left="1134" w:hanging="1134"/>
      </w:pPr>
      <w:rPr/>
    </w:lvl>
    <w:lvl w:ilvl="1">
      <w:start w:val="1"/>
      <w:pStyle w:val="Style20"/>
      <w:numFmt w:val="decimal"/>
      <w:lvlText w:val="%1.%2"/>
      <w:lvlJc w:val="left"/>
      <w:pPr>
        <w:tabs>
          <w:tab w:val="num" w:pos="1134"/>
        </w:tabs>
        <w:ind w:left="1134" w:hanging="1134"/>
      </w:pPr>
      <w:rPr/>
    </w:lvl>
    <w:lvl w:ilvl="2">
      <w:start w:val="1"/>
      <w:pStyle w:val="Style21"/>
      <w:numFmt w:val="decimal"/>
      <w:lvlText w:val="%1.%2.%3"/>
      <w:lvlJc w:val="left"/>
      <w:pPr>
        <w:tabs>
          <w:tab w:val="num" w:pos="1134"/>
        </w:tabs>
        <w:ind w:left="1134" w:hanging="1134"/>
      </w:pPr>
      <w:rPr>
        <w:sz w:val="22"/>
      </w:rPr>
    </w:lvl>
    <w:lvl w:ilvl="3">
      <w:start w:val="1"/>
      <w:pStyle w:val="Style22"/>
      <w:numFmt w:val="russianLower"/>
      <w:lvlText w:val="%4)"/>
      <w:lvlJc w:val="left"/>
      <w:pPr>
        <w:tabs>
          <w:tab w:val="num" w:pos="1701"/>
        </w:tabs>
        <w:ind w:left="1701" w:hanging="567"/>
      </w:pPr>
      <w:rPr/>
    </w:lvl>
    <w:lvl w:ilvl="4">
      <w:start w:val="1"/>
      <w:pStyle w:val="Style23"/>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1134"/>
        </w:tabs>
        <w:ind w:left="1134" w:hanging="1134"/>
      </w:pPr>
      <w:rPr/>
    </w:lvl>
    <w:lvl w:ilvl="1">
      <w:start w:val="1"/>
      <w:numFmt w:val="decimal"/>
      <w:lvlText w:val="%1.%2"/>
      <w:lvlJc w:val="left"/>
      <w:pPr>
        <w:tabs>
          <w:tab w:val="num" w:pos="2694"/>
        </w:tabs>
        <w:ind w:left="2694" w:hanging="1134"/>
      </w:pPr>
      <w:rPr>
        <w:sz w:val="28"/>
        <w:i w:val="false"/>
        <w:b/>
        <w:szCs w:val="28"/>
      </w:rPr>
    </w:lvl>
    <w:lvl w:ilvl="2">
      <w:start w:val="1"/>
      <w:numFmt w:val="decimal"/>
      <w:lvlText w:val="%1.%2.%3"/>
      <w:lvlJc w:val="left"/>
      <w:pPr>
        <w:tabs>
          <w:tab w:val="num" w:pos="1134"/>
        </w:tabs>
        <w:ind w:left="1134" w:hanging="1134"/>
      </w:pPr>
      <w:rPr>
        <w:sz w:val="26"/>
        <w:i w:val="false"/>
        <w:b w:val="false"/>
        <w:szCs w:val="26"/>
      </w:rPr>
    </w:lvl>
    <w:lvl w:ilvl="3">
      <w:start w:val="1"/>
      <w:numFmt w:val="decimal"/>
      <w:lvlText w:val="%1.%2.%3.%4"/>
      <w:lvlJc w:val="left"/>
      <w:pPr>
        <w:tabs>
          <w:tab w:val="num" w:pos="1134"/>
        </w:tabs>
        <w:ind w:left="1134" w:hanging="1134"/>
      </w:pPr>
      <w:rPr>
        <w:sz w:val="26"/>
        <w:i w:val="false"/>
        <w:b w:val="false"/>
        <w:szCs w:val="26"/>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rFonts w:cs="Symbol"/>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50"/>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1">
    <w:lsdException w:name="Normal" w:locked="0" w:uiPriority="0" w:qFormat="1"/>
    <w:lsdException w:name="heading 1" w:locked="0" w:uiPriority="0"/>
    <w:lsdException w:name="heading 2" w:locked="0" w:uiPriority="0" w:semiHidden="1" w:unhideWhenUsed="1"/>
    <w:lsdException w:name="heading 3" w:locked="0" w:uiPriority="0" w:semiHidden="1" w:unhideWhenUsed="1"/>
    <w:lsdException w:name="heading 4" w:locked="0" w:uiPriority="0"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uiPriority="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1">
    <w:name w:val="Heading 1"/>
    <w:basedOn w:val="Normal"/>
    <w:next w:val="Normal"/>
    <w:link w:val="1"/>
    <w:qFormat/>
    <w:rsid w:val="00565d50"/>
    <w:pPr>
      <w:keepNext w:val="true"/>
      <w:keepLines/>
      <w:pageBreakBefore/>
      <w:tabs>
        <w:tab w:val="clear" w:pos="720"/>
        <w:tab w:val="left" w:pos="1134" w:leader="none"/>
      </w:tabs>
      <w:spacing w:before="480" w:after="240"/>
      <w:ind w:left="1134" w:hanging="1134"/>
      <w:outlineLvl w:val="0"/>
    </w:pPr>
    <w:rPr>
      <w:rFonts w:ascii="Arial" w:hAnsi="Arial" w:eastAsia="Times New Roman" w:cs="Times New Roman"/>
      <w:b/>
      <w:kern w:val="2"/>
      <w:sz w:val="40"/>
      <w:szCs w:val="26"/>
      <w:lang w:eastAsia="ru-RU"/>
    </w:rPr>
  </w:style>
  <w:style w:type="paragraph" w:styleId="Heading2">
    <w:name w:val="Heading 2"/>
    <w:basedOn w:val="Normal"/>
    <w:next w:val="Normal"/>
    <w:link w:val="21"/>
    <w:qFormat/>
    <w:rsid w:val="00565d50"/>
    <w:pPr>
      <w:keepNext w:val="true"/>
      <w:tabs>
        <w:tab w:val="clear" w:pos="720"/>
        <w:tab w:val="left" w:pos="2694" w:leader="none"/>
      </w:tabs>
      <w:spacing w:before="360" w:after="120"/>
      <w:ind w:left="2694" w:hanging="1134"/>
      <w:outlineLvl w:val="1"/>
    </w:pPr>
    <w:rPr>
      <w:rFonts w:eastAsia="Times New Roman" w:cs="Times New Roman"/>
      <w:b/>
      <w:sz w:val="32"/>
      <w:szCs w:val="26"/>
      <w:lang w:eastAsia="ru-RU"/>
    </w:rPr>
  </w:style>
  <w:style w:type="paragraph" w:styleId="Heading3">
    <w:name w:val="Heading 3"/>
    <w:basedOn w:val="Normal"/>
    <w:next w:val="Normal"/>
    <w:link w:val="3"/>
    <w:semiHidden/>
    <w:unhideWhenUsed/>
    <w:qFormat/>
    <w:rsid w:val="00a74fa4"/>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paragraph" w:styleId="Heading6">
    <w:name w:val="Heading 6"/>
    <w:basedOn w:val="Style17"/>
    <w:next w:val="BodyText"/>
    <w:qFormat/>
    <w:pPr>
      <w:numPr>
        <w:ilvl w:val="5"/>
      </w:numPr>
      <w:spacing w:before="60" w:after="60"/>
      <w:outlineLvl w:val="5"/>
    </w:pPr>
    <w:rPr>
      <w:b/>
      <w:bCs/>
      <w:i/>
      <w:iCs/>
      <w:sz w:val="24"/>
      <w:szCs w:val="24"/>
    </w:rPr>
  </w:style>
  <w:style w:type="paragraph" w:styleId="Heading7">
    <w:name w:val="Heading 7"/>
    <w:basedOn w:val="Style17"/>
    <w:next w:val="BodyText"/>
    <w:qFormat/>
    <w:pPr>
      <w:numPr>
        <w:ilvl w:val="6"/>
      </w:numPr>
      <w:spacing w:before="60" w:after="60"/>
      <w:outlineLvl w:val="6"/>
    </w:pPr>
    <w:rPr>
      <w:b/>
      <w:bCs/>
      <w:sz w:val="20"/>
      <w:szCs w:val="20"/>
    </w:rPr>
  </w:style>
  <w:style w:type="paragraph" w:styleId="Heading8">
    <w:name w:val="Heading 8"/>
    <w:basedOn w:val="Style17"/>
    <w:next w:val="BodyText"/>
    <w:qFormat/>
    <w:pPr>
      <w:numPr>
        <w:ilvl w:val="7"/>
      </w:numPr>
      <w:spacing w:before="60" w:after="60"/>
      <w:outlineLvl w:val="7"/>
    </w:pPr>
    <w:rPr>
      <w:b/>
      <w:bCs/>
      <w:i/>
      <w:iCs/>
      <w:sz w:val="20"/>
      <w:szCs w:val="20"/>
    </w:rPr>
  </w:style>
  <w:style w:type="paragraph" w:styleId="Heading9">
    <w:name w:val="Heading 9"/>
    <w:basedOn w:val="Style17"/>
    <w:next w:val="BodyText"/>
    <w:qFormat/>
    <w:pPr>
      <w:numPr>
        <w:ilvl w:val="8"/>
      </w:numPr>
      <w:spacing w:before="60" w:after="60"/>
      <w:outlineLvl w:val="8"/>
    </w:pPr>
    <w:rPr>
      <w:b/>
      <w:bCs/>
      <w:sz w:val="18"/>
      <w:szCs w:val="18"/>
    </w:rPr>
  </w:style>
  <w:style w:type="character" w:styleId="DefaultParagraphFont" w:default="1">
    <w:name w:val="Default Paragraph Font"/>
    <w:uiPriority w:val="1"/>
    <w:semiHidden/>
    <w:unhideWhenUsed/>
    <w:qFormat/>
    <w:rPr/>
  </w:style>
  <w:style w:type="character" w:styleId="Style2" w:customStyle="1">
    <w:name w:val="Верхний колонтитул Знак"/>
    <w:basedOn w:val="DefaultParagraphFont"/>
    <w:uiPriority w:val="99"/>
    <w:qFormat/>
    <w:rsid w:val="00c95e18"/>
    <w:rPr/>
  </w:style>
  <w:style w:type="character" w:styleId="Style3" w:customStyle="1">
    <w:name w:val="Нижний колонтитул Знак"/>
    <w:basedOn w:val="DefaultParagraphFont"/>
    <w:uiPriority w:val="99"/>
    <w:qFormat/>
    <w:rsid w:val="008364e8"/>
    <w:rPr/>
  </w:style>
  <w:style w:type="character" w:styleId="Style4" w:customStyle="1">
    <w:name w:val="[РГ] Инструкция для организатора"/>
    <w:basedOn w:val="DefaultParagraphFont"/>
    <w:uiPriority w:val="1"/>
    <w:qFormat/>
    <w:rsid w:val="00277346"/>
    <w:rPr>
      <w:i/>
      <w:iCs/>
      <w:shd w:fill="FFFF99" w:val="clear"/>
      <w:lang w:val="ru-RU"/>
    </w:rPr>
  </w:style>
  <w:style w:type="character" w:styleId="Style5" w:customStyle="1">
    <w:name w:val="Текст сноски Знак"/>
    <w:basedOn w:val="DefaultParagraphFont"/>
    <w:uiPriority w:val="99"/>
    <w:semiHidden/>
    <w:qFormat/>
    <w:rsid w:val="006608d1"/>
    <w:rPr>
      <w:sz w:val="20"/>
      <w:szCs w:val="20"/>
    </w:rPr>
  </w:style>
  <w:style w:type="character" w:styleId="Style6" w:customStyle="1">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customStyle="1">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7"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qFormat/>
    <w:rPr>
      <w:sz w:val="16"/>
      <w:szCs w:val="16"/>
    </w:rPr>
  </w:style>
  <w:style w:type="character" w:styleId="Style8" w:customStyle="1">
    <w:name w:val="Текст примечания Знак"/>
    <w:basedOn w:val="DefaultParagraphFont"/>
    <w:link w:val="Annotationtext"/>
    <w:uiPriority w:val="99"/>
    <w:qFormat/>
    <w:rsid w:val="007e365e"/>
    <w:rPr>
      <w:sz w:val="20"/>
      <w:szCs w:val="20"/>
    </w:rPr>
  </w:style>
  <w:style w:type="character" w:styleId="Style9" w:customStyle="1">
    <w:name w:val="Тема примечания Знак"/>
    <w:basedOn w:val="Style8"/>
    <w:link w:val="Annotationsubject"/>
    <w:uiPriority w:val="99"/>
    <w:semiHidden/>
    <w:qFormat/>
    <w:rsid w:val="007e365e"/>
    <w:rPr>
      <w:b/>
      <w:bCs/>
      <w:sz w:val="20"/>
      <w:szCs w:val="20"/>
    </w:rPr>
  </w:style>
  <w:style w:type="character" w:styleId="Style10"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2" w:customStyle="1">
    <w:name w:val="Пункт Знак2"/>
    <w:link w:val="Style29"/>
    <w:qFormat/>
    <w:rsid w:val="00493761"/>
    <w:rPr>
      <w:rFonts w:eastAsia="Times New Roman" w:cs="Times New Roman"/>
      <w:szCs w:val="26"/>
      <w:lang w:eastAsia="ru-RU"/>
    </w:rPr>
  </w:style>
  <w:style w:type="character" w:styleId="1" w:customStyle="1">
    <w:name w:val="Заголовок 1 Знак"/>
    <w:basedOn w:val="DefaultParagraphFont"/>
    <w:qFormat/>
    <w:rsid w:val="00565d50"/>
    <w:rPr>
      <w:rFonts w:ascii="Arial" w:hAnsi="Arial" w:eastAsia="Times New Roman" w:cs="Times New Roman"/>
      <w:b/>
      <w:kern w:val="2"/>
      <w:sz w:val="40"/>
      <w:szCs w:val="26"/>
      <w:lang w:eastAsia="ru-RU"/>
    </w:rPr>
  </w:style>
  <w:style w:type="character" w:styleId="21" w:customStyle="1">
    <w:name w:val="Заголовок 2 Знак"/>
    <w:basedOn w:val="DefaultParagraphFont"/>
    <w:qFormat/>
    <w:rsid w:val="00565d50"/>
    <w:rPr>
      <w:rFonts w:eastAsia="Times New Roman" w:cs="Times New Roman"/>
      <w:b/>
      <w:sz w:val="32"/>
      <w:szCs w:val="26"/>
      <w:lang w:eastAsia="ru-RU"/>
    </w:rPr>
  </w:style>
  <w:style w:type="character" w:styleId="3" w:customStyle="1">
    <w:name w:val="Заголовок 3 Знак"/>
    <w:basedOn w:val="DefaultParagraphFont"/>
    <w:semiHidden/>
    <w:qFormat/>
    <w:rsid w:val="00a74fa4"/>
    <w:rPr>
      <w:rFonts w:ascii="Calibri Light" w:hAnsi="Calibri Light" w:eastAsia="" w:cs="" w:asciiTheme="majorHAnsi" w:cstheme="majorBidi" w:eastAsiaTheme="majorEastAsia" w:hAnsiTheme="majorHAnsi"/>
      <w:color w:val="1F3763" w:themeColor="accent1" w:themeShade="7f"/>
      <w:sz w:val="24"/>
      <w:szCs w:val="24"/>
    </w:rPr>
  </w:style>
  <w:style w:type="character" w:styleId="Style11" w:customStyle="1">
    <w:name w:val="Ссылка указателя"/>
    <w:qFormat/>
    <w:rPr/>
  </w:style>
  <w:style w:type="character" w:styleId="Style12" w:customStyle="1">
    <w:name w:val="комментарий"/>
    <w:qFormat/>
    <w:rPr>
      <w:b/>
      <w:i/>
      <w:shd w:fill="FFFF99" w:val="clear"/>
    </w:rPr>
  </w:style>
  <w:style w:type="character" w:styleId="Style13" w:customStyle="1">
    <w:name w:val="Символ концевой сноски"/>
    <w:qFormat/>
    <w:rPr>
      <w:vertAlign w:val="superscript"/>
    </w:rPr>
  </w:style>
  <w:style w:type="character" w:styleId="EndnoteReference">
    <w:name w:val="Endnote Reference"/>
    <w:rPr>
      <w:vertAlign w:val="superscript"/>
    </w:rPr>
  </w:style>
  <w:style w:type="character" w:styleId="WWCharLFO2LVL1" w:customStyle="1">
    <w:name w:val="WW_CharLFO2LVL1"/>
    <w:qFormat/>
    <w:rPr>
      <w:rFonts w:ascii="OpenSymbol" w:hAnsi="OpenSymbol" w:eastAsia="OpenSymbol" w:cs="OpenSymbol"/>
    </w:rPr>
  </w:style>
  <w:style w:type="character" w:styleId="WWCharLFO2LVL2" w:customStyle="1">
    <w:name w:val="WW_CharLFO2LVL2"/>
    <w:qFormat/>
    <w:rPr>
      <w:rFonts w:ascii="OpenSymbol" w:hAnsi="OpenSymbol" w:eastAsia="OpenSymbol" w:cs="OpenSymbol"/>
    </w:rPr>
  </w:style>
  <w:style w:type="character" w:styleId="WWCharLFO2LVL3" w:customStyle="1">
    <w:name w:val="WW_CharLFO2LVL3"/>
    <w:qFormat/>
    <w:rPr>
      <w:rFonts w:ascii="OpenSymbol" w:hAnsi="OpenSymbol" w:eastAsia="OpenSymbol" w:cs="OpenSymbol"/>
    </w:rPr>
  </w:style>
  <w:style w:type="character" w:styleId="WWCharLFO2LVL4" w:customStyle="1">
    <w:name w:val="WW_CharLFO2LVL4"/>
    <w:qFormat/>
    <w:rPr>
      <w:rFonts w:ascii="OpenSymbol" w:hAnsi="OpenSymbol" w:eastAsia="OpenSymbol" w:cs="OpenSymbol"/>
    </w:rPr>
  </w:style>
  <w:style w:type="character" w:styleId="WWCharLFO2LVL5" w:customStyle="1">
    <w:name w:val="WW_CharLFO2LVL5"/>
    <w:qFormat/>
    <w:rPr>
      <w:rFonts w:ascii="OpenSymbol" w:hAnsi="OpenSymbol" w:eastAsia="OpenSymbol" w:cs="OpenSymbol"/>
    </w:rPr>
  </w:style>
  <w:style w:type="character" w:styleId="WWCharLFO2LVL6" w:customStyle="1">
    <w:name w:val="WW_CharLFO2LVL6"/>
    <w:qFormat/>
    <w:rPr>
      <w:rFonts w:ascii="OpenSymbol" w:hAnsi="OpenSymbol" w:eastAsia="OpenSymbol" w:cs="OpenSymbol"/>
    </w:rPr>
  </w:style>
  <w:style w:type="character" w:styleId="WWCharLFO2LVL7" w:customStyle="1">
    <w:name w:val="WW_CharLFO2LVL7"/>
    <w:qFormat/>
    <w:rPr>
      <w:rFonts w:ascii="OpenSymbol" w:hAnsi="OpenSymbol" w:eastAsia="OpenSymbol" w:cs="OpenSymbol"/>
    </w:rPr>
  </w:style>
  <w:style w:type="character" w:styleId="WWCharLFO2LVL8" w:customStyle="1">
    <w:name w:val="WW_CharLFO2LVL8"/>
    <w:qFormat/>
    <w:rPr>
      <w:rFonts w:ascii="OpenSymbol" w:hAnsi="OpenSymbol" w:eastAsia="OpenSymbol" w:cs="OpenSymbol"/>
    </w:rPr>
  </w:style>
  <w:style w:type="character" w:styleId="WWCharLFO2LVL9" w:customStyle="1">
    <w:name w:val="WW_CharLFO2LVL9"/>
    <w:qFormat/>
    <w:rPr>
      <w:rFonts w:ascii="OpenSymbol" w:hAnsi="OpenSymbol" w:eastAsia="OpenSymbol" w:cs="OpenSymbol"/>
    </w:rPr>
  </w:style>
  <w:style w:type="character" w:styleId="FootnoteReference1" w:customStyle="1">
    <w:name w:val="Footnote Reference1"/>
    <w:basedOn w:val="DefaultParagraphFont"/>
    <w:qFormat/>
    <w:rPr>
      <w:vertAlign w:val="superscript"/>
    </w:rPr>
  </w:style>
  <w:style w:type="character" w:styleId="WWCharLFO3LVL1" w:customStyle="1">
    <w:name w:val="WW_CharLFO3LVL1"/>
    <w:qFormat/>
    <w:rPr>
      <w:rFonts w:ascii="OpenSymbol" w:hAnsi="OpenSymbol" w:eastAsia="OpenSymbol" w:cs="OpenSymbol"/>
    </w:rPr>
  </w:style>
  <w:style w:type="character" w:styleId="WWCharLFO3LVL2" w:customStyle="1">
    <w:name w:val="WW_CharLFO3LVL2"/>
    <w:qFormat/>
    <w:rPr>
      <w:rFonts w:ascii="OpenSymbol" w:hAnsi="OpenSymbol" w:eastAsia="OpenSymbol" w:cs="OpenSymbol"/>
    </w:rPr>
  </w:style>
  <w:style w:type="character" w:styleId="WWCharLFO3LVL3" w:customStyle="1">
    <w:name w:val="WW_CharLFO3LVL3"/>
    <w:qFormat/>
    <w:rPr>
      <w:rFonts w:ascii="OpenSymbol" w:hAnsi="OpenSymbol" w:eastAsia="OpenSymbol" w:cs="OpenSymbol"/>
    </w:rPr>
  </w:style>
  <w:style w:type="character" w:styleId="WWCharLFO3LVL4" w:customStyle="1">
    <w:name w:val="WW_CharLFO3LVL4"/>
    <w:qFormat/>
    <w:rPr>
      <w:rFonts w:ascii="OpenSymbol" w:hAnsi="OpenSymbol" w:eastAsia="OpenSymbol" w:cs="OpenSymbol"/>
    </w:rPr>
  </w:style>
  <w:style w:type="character" w:styleId="WWCharLFO3LVL5" w:customStyle="1">
    <w:name w:val="WW_CharLFO3LVL5"/>
    <w:qFormat/>
    <w:rPr>
      <w:rFonts w:ascii="OpenSymbol" w:hAnsi="OpenSymbol" w:eastAsia="OpenSymbol" w:cs="OpenSymbol"/>
    </w:rPr>
  </w:style>
  <w:style w:type="character" w:styleId="WWCharLFO3LVL6" w:customStyle="1">
    <w:name w:val="WW_CharLFO3LVL6"/>
    <w:qFormat/>
    <w:rPr>
      <w:rFonts w:ascii="OpenSymbol" w:hAnsi="OpenSymbol" w:eastAsia="OpenSymbol" w:cs="OpenSymbol"/>
    </w:rPr>
  </w:style>
  <w:style w:type="character" w:styleId="WWCharLFO3LVL7" w:customStyle="1">
    <w:name w:val="WW_CharLFO3LVL7"/>
    <w:qFormat/>
    <w:rPr>
      <w:rFonts w:ascii="OpenSymbol" w:hAnsi="OpenSymbol" w:eastAsia="OpenSymbol" w:cs="OpenSymbol"/>
    </w:rPr>
  </w:style>
  <w:style w:type="character" w:styleId="WWCharLFO3LVL8" w:customStyle="1">
    <w:name w:val="WW_CharLFO3LVL8"/>
    <w:qFormat/>
    <w:rPr>
      <w:rFonts w:ascii="OpenSymbol" w:hAnsi="OpenSymbol" w:eastAsia="OpenSymbol" w:cs="OpenSymbol"/>
    </w:rPr>
  </w:style>
  <w:style w:type="character" w:styleId="WWCharLFO3LVL9" w:customStyle="1">
    <w:name w:val="WW_CharLFO3LVL9"/>
    <w:qFormat/>
    <w:rPr>
      <w:rFonts w:ascii="OpenSymbol" w:hAnsi="OpenSymbol" w:eastAsia="OpenSymbol" w:cs="OpenSymbol"/>
    </w:rPr>
  </w:style>
  <w:style w:type="character" w:styleId="Linenumber">
    <w:name w:val="line number"/>
    <w:qFormat/>
    <w:rPr/>
  </w:style>
  <w:style w:type="character" w:styleId="Style14">
    <w:name w:val="Маркеры"/>
    <w:qFormat/>
    <w:rPr>
      <w:rFonts w:ascii="OpenSymbol" w:hAnsi="OpenSymbol" w:eastAsia="OpenSymbol" w:cs="OpenSymbol"/>
    </w:rPr>
  </w:style>
  <w:style w:type="character" w:styleId="Style15">
    <w:name w:val="Основной шрифт абзаца"/>
    <w:qFormat/>
    <w:rPr/>
  </w:style>
  <w:style w:type="character" w:styleId="Style16">
    <w:name w:val="Знак примечания"/>
    <w:basedOn w:val="Style15"/>
    <w:qFormat/>
    <w:rPr>
      <w:sz w:val="16"/>
      <w:szCs w:val="16"/>
    </w:rPr>
  </w:style>
  <w:style w:type="paragraph" w:styleId="Style17">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Title">
    <w:name w:val="Title"/>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Lohit Devanagari"/>
    </w:rPr>
  </w:style>
  <w:style w:type="paragraph" w:styleId="Style19" w:customStyle="1">
    <w:name w:val="[РГ] Раздел"/>
    <w:basedOn w:val="Normal"/>
    <w:next w:val="Style20"/>
    <w:qFormat/>
    <w:rsid w:val="00c95e18"/>
    <w:pPr>
      <w:keepNext w:val="true"/>
      <w:pageBreakBefore/>
      <w:numPr>
        <w:ilvl w:val="0"/>
        <w:numId w:val="1"/>
      </w:numPr>
      <w:spacing w:before="0" w:after="360"/>
      <w:jc w:val="both"/>
      <w:outlineLvl w:val="0"/>
    </w:pPr>
    <w:rPr>
      <w:b/>
      <w:bCs/>
      <w:caps/>
    </w:rPr>
  </w:style>
  <w:style w:type="paragraph" w:styleId="Style20" w:customStyle="1">
    <w:name w:val="[РГ] Подраздел"/>
    <w:basedOn w:val="Normal"/>
    <w:next w:val="Style21"/>
    <w:qFormat/>
    <w:rsid w:val="00891546"/>
    <w:pPr>
      <w:keepNext w:val="true"/>
      <w:numPr>
        <w:ilvl w:val="1"/>
        <w:numId w:val="1"/>
      </w:numPr>
      <w:spacing w:before="360" w:after="0"/>
      <w:jc w:val="both"/>
      <w:outlineLvl w:val="1"/>
    </w:pPr>
    <w:rPr>
      <w:b/>
      <w:bCs/>
    </w:rPr>
  </w:style>
  <w:style w:type="paragraph" w:styleId="Style21" w:customStyle="1">
    <w:name w:val="[РГ] Пункт"/>
    <w:basedOn w:val="Normal"/>
    <w:qFormat/>
    <w:rsid w:val="00891546"/>
    <w:pPr>
      <w:numPr>
        <w:ilvl w:val="2"/>
        <w:numId w:val="1"/>
      </w:numPr>
      <w:jc w:val="both"/>
      <w:outlineLvl w:val="2"/>
    </w:pPr>
    <w:rPr/>
  </w:style>
  <w:style w:type="paragraph" w:styleId="Style22" w:customStyle="1">
    <w:name w:val="[РГ] Подпункт"/>
    <w:basedOn w:val="Normal"/>
    <w:qFormat/>
    <w:rsid w:val="00891546"/>
    <w:pPr>
      <w:numPr>
        <w:ilvl w:val="3"/>
        <w:numId w:val="1"/>
      </w:numPr>
      <w:jc w:val="both"/>
      <w:outlineLvl w:val="3"/>
    </w:pPr>
    <w:rPr/>
  </w:style>
  <w:style w:type="paragraph" w:styleId="Style23" w:customStyle="1">
    <w:name w:val="[РГ] Перечисление"/>
    <w:basedOn w:val="Normal"/>
    <w:qFormat/>
    <w:rsid w:val="00891546"/>
    <w:pPr>
      <w:numPr>
        <w:ilvl w:val="4"/>
        <w:numId w:val="1"/>
      </w:numPr>
      <w:jc w:val="both"/>
      <w:outlineLvl w:val="4"/>
    </w:pPr>
    <w:rPr/>
  </w:style>
  <w:style w:type="paragraph" w:styleId="Style24" w:customStyle="1">
    <w:name w:val="[РГ] Заголовок"/>
    <w:basedOn w:val="Normal"/>
    <w:next w:val="Style25"/>
    <w:qFormat/>
    <w:rsid w:val="00f87384"/>
    <w:pPr>
      <w:keepNext w:val="true"/>
      <w:pageBreakBefore/>
      <w:spacing w:before="0" w:after="360"/>
      <w:jc w:val="both"/>
    </w:pPr>
    <w:rPr>
      <w:b/>
      <w:bCs/>
      <w:caps/>
    </w:rPr>
  </w:style>
  <w:style w:type="paragraph" w:styleId="Style25" w:customStyle="1">
    <w:name w:val="[РГ] Текст"/>
    <w:basedOn w:val="Normal"/>
    <w:qFormat/>
    <w:rsid w:val="00891546"/>
    <w:pPr>
      <w:jc w:val="both"/>
    </w:pPr>
    <w:rPr/>
  </w:style>
  <w:style w:type="paragraph" w:styleId="Style26" w:customStyle="1">
    <w:name w:val="Колонтитул"/>
    <w:basedOn w:val="Normal"/>
    <w:qFormat/>
    <w:pPr/>
    <w:rPr/>
  </w:style>
  <w:style w:type="paragraph" w:styleId="Header">
    <w:name w:val="Header"/>
    <w:basedOn w:val="Normal"/>
    <w:link w:val="Style2"/>
    <w:uiPriority w:val="99"/>
    <w:unhideWhenUsed/>
    <w:rsid w:val="00c95e18"/>
    <w:pPr>
      <w:spacing w:before="0" w:after="120"/>
      <w:jc w:val="center"/>
    </w:pPr>
    <w:rPr/>
  </w:style>
  <w:style w:type="paragraph" w:styleId="Footer">
    <w:name w:val="Footer"/>
    <w:basedOn w:val="Normal"/>
    <w:link w:val="Style3"/>
    <w:unhideWhenUsed/>
    <w:rsid w:val="008364e8"/>
    <w:pPr>
      <w:jc w:val="right"/>
    </w:pPr>
    <w:rPr/>
  </w:style>
  <w:style w:type="paragraph" w:styleId="FootnoteText">
    <w:name w:val="Footnote Text"/>
    <w:basedOn w:val="Normal"/>
    <w:link w:val="Style5"/>
    <w:uiPriority w:val="99"/>
    <w:semiHidden/>
    <w:unhideWhenUsed/>
    <w:rsid w:val="006608d1"/>
    <w:pPr>
      <w:spacing w:before="0" w:after="0"/>
    </w:pPr>
    <w:rPr>
      <w:sz w:val="20"/>
      <w:szCs w:val="20"/>
    </w:rPr>
  </w:style>
  <w:style w:type="paragraph" w:styleId="Style27"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20"/>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20"/>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8"/>
    <w:uiPriority w:val="99"/>
    <w:unhideWhenUsed/>
    <w:qFormat/>
    <w:rsid w:val="007e365e"/>
    <w:pPr/>
    <w:rPr>
      <w:sz w:val="20"/>
      <w:szCs w:val="20"/>
    </w:rPr>
  </w:style>
  <w:style w:type="paragraph" w:styleId="Annotationsubject">
    <w:name w:val="annotation subject"/>
    <w:basedOn w:val="Annotationtext"/>
    <w:next w:val="Annotationtext"/>
    <w:link w:val="Style9"/>
    <w:uiPriority w:val="99"/>
    <w:semiHidden/>
    <w:unhideWhenUsed/>
    <w:qFormat/>
    <w:rsid w:val="007e365e"/>
    <w:pPr/>
    <w:rPr>
      <w:b/>
      <w:bCs/>
    </w:rPr>
  </w:style>
  <w:style w:type="paragraph" w:styleId="Style28" w:customStyle="1">
    <w:name w:val="[РГ] Альтернатива / Дополнение"/>
    <w:basedOn w:val="Style25"/>
    <w:next w:val="Style25"/>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Style29" w:customStyle="1">
    <w:name w:val="Пункт"/>
    <w:basedOn w:val="Normal"/>
    <w:link w:val="2"/>
    <w:qFormat/>
    <w:rsid w:val="00493761"/>
    <w:pPr>
      <w:numPr>
        <w:ilvl w:val="2"/>
        <w:numId w:val="9"/>
      </w:numPr>
      <w:jc w:val="both"/>
    </w:pPr>
    <w:rPr>
      <w:rFonts w:eastAsia="Times New Roman" w:cs="Times New Roman"/>
      <w:szCs w:val="26"/>
      <w:lang w:eastAsia="ru-RU"/>
    </w:rPr>
  </w:style>
  <w:style w:type="paragraph" w:styleId="Style30" w:customStyle="1">
    <w:name w:val="Подпункт"/>
    <w:basedOn w:val="Style29"/>
    <w:qFormat/>
    <w:rsid w:val="00493761"/>
    <w:pPr>
      <w:numPr>
        <w:ilvl w:val="3"/>
      </w:numPr>
      <w:ind w:left="2880" w:hanging="360"/>
    </w:pPr>
    <w:rPr/>
  </w:style>
  <w:style w:type="paragraph" w:styleId="Style31" w:customStyle="1">
    <w:name w:val="Подподпункт"/>
    <w:basedOn w:val="Style30"/>
    <w:qFormat/>
    <w:rsid w:val="00493761"/>
    <w:pPr>
      <w:numPr>
        <w:ilvl w:val="4"/>
      </w:numPr>
      <w:ind w:left="3600" w:hanging="360"/>
    </w:pPr>
    <w:rPr/>
  </w:style>
  <w:style w:type="paragraph" w:styleId="Style32" w:customStyle="1">
    <w:name w:val="Содержимое таблицы"/>
    <w:basedOn w:val="Normal"/>
    <w:qFormat/>
    <w:pPr>
      <w:widowControl w:val="false"/>
      <w:suppressLineNumbers/>
    </w:pPr>
    <w:rPr/>
  </w:style>
  <w:style w:type="paragraph" w:styleId="Style33" w:customStyle="1">
    <w:name w:val="Заголовок таблицы"/>
    <w:basedOn w:val="Style32"/>
    <w:qFormat/>
    <w:pPr>
      <w:jc w:val="center"/>
    </w:pPr>
    <w:rPr>
      <w:b/>
      <w:bCs/>
    </w:rPr>
  </w:style>
  <w:style w:type="paragraph" w:styleId="Tableheader" w:customStyle="1">
    <w:name w:val="Table_header"/>
    <w:basedOn w:val="Normal"/>
    <w:qFormat/>
    <w:pPr/>
    <w:rPr>
      <w:b/>
      <w:sz w:val="20"/>
      <w:szCs w:val="24"/>
    </w:rPr>
  </w:style>
  <w:style w:type="paragraph" w:styleId="-" w:customStyle="1">
    <w:name w:val="УРОВЕНЬ_-"/>
    <w:qFormat/>
    <w:pPr>
      <w:widowControl/>
      <w:numPr>
        <w:ilvl w:val="4"/>
      </w:numPr>
      <w:suppressAutoHyphens w:val="true"/>
      <w:bidi w:val="0"/>
      <w:spacing w:lineRule="exact" w:line="360" w:before="0" w:after="0"/>
      <w:ind w:left="720" w:hanging="0"/>
      <w:jc w:val="both"/>
      <w:outlineLvl w:val="4"/>
    </w:pPr>
    <w:rPr>
      <w:rFonts w:ascii="Calibri" w:hAnsi="Calibri" w:eastAsia="Calibri" w:cs="Calibri" w:eastAsiaTheme="minorHAnsi"/>
      <w:color w:val="auto"/>
      <w:kern w:val="0"/>
      <w:sz w:val="26"/>
      <w:szCs w:val="28"/>
      <w:lang w:val="ru-RU" w:eastAsia="en-US" w:bidi="ar-SA"/>
    </w:rPr>
  </w:style>
  <w:style w:type="paragraph" w:styleId="22" w:customStyle="1">
    <w:name w:val="УРОВЕНЬ_Абзац_тип2"/>
    <w:qFormat/>
    <w:pPr>
      <w:widowControl/>
      <w:suppressAutoHyphens w:val="true"/>
      <w:bidi w:val="0"/>
      <w:spacing w:lineRule="exact" w:line="360" w:before="0" w:after="0"/>
      <w:ind w:left="720" w:hanging="0"/>
      <w:jc w:val="both"/>
    </w:pPr>
    <w:rPr>
      <w:rFonts w:ascii="Calibri" w:hAnsi="Calibri" w:eastAsia="Calibri" w:cs="Calibri" w:eastAsiaTheme="minorHAnsi"/>
      <w:color w:val="auto"/>
      <w:kern w:val="0"/>
      <w:sz w:val="26"/>
      <w:szCs w:val="28"/>
      <w:lang w:val="ru-RU" w:eastAsia="en-US" w:bidi="ar-SA"/>
    </w:rPr>
  </w:style>
  <w:style w:type="paragraph" w:styleId="EndnoteText">
    <w:name w:val="Endnote Text"/>
    <w:basedOn w:val="Normal"/>
    <w:pPr>
      <w:suppressLineNumbers/>
      <w:ind w:left="340" w:hanging="340"/>
    </w:pPr>
    <w:rPr>
      <w:sz w:val="20"/>
      <w:szCs w:val="20"/>
    </w:rPr>
  </w:style>
  <w:style w:type="paragraph" w:styleId="31" w:customStyle="1">
    <w:name w:val="УРОВЕНЬ_Абзац_тип3"/>
    <w:basedOn w:val="ListParagraph"/>
    <w:qFormat/>
    <w:pPr>
      <w:numPr>
        <w:ilvl w:val="7"/>
        <w:numId w:val="4"/>
      </w:numPr>
      <w:spacing w:lineRule="exact" w:line="360" w:before="120" w:after="0"/>
      <w:contextualSpacing w:val="false"/>
      <w:jc w:val="both"/>
    </w:pPr>
    <w:rPr>
      <w:rFonts w:cs="Times New Roman"/>
      <w:szCs w:val="28"/>
    </w:rPr>
  </w:style>
  <w:style w:type="paragraph" w:styleId="Style34" w:customStyle="1">
    <w:name w:val="[РусГидро] Пункт"/>
    <w:basedOn w:val="ListParagraph"/>
    <w:qFormat/>
    <w:pPr>
      <w:numPr>
        <w:ilvl w:val="2"/>
        <w:numId w:val="15"/>
      </w:numPr>
      <w:tabs>
        <w:tab w:val="clear" w:pos="720"/>
        <w:tab w:val="left" w:pos="360" w:leader="none"/>
      </w:tabs>
      <w:spacing w:before="120" w:after="0"/>
      <w:ind w:left="720" w:hanging="0"/>
      <w:contextualSpacing w:val="false"/>
      <w:jc w:val="both"/>
      <w:outlineLvl w:val="2"/>
    </w:pPr>
    <w:rPr>
      <w:rFonts w:cs="Times New Roman"/>
      <w:szCs w:val="26"/>
    </w:rPr>
  </w:style>
  <w:style w:type="paragraph" w:styleId="10">
    <w:name w:val="Заголовок 10"/>
    <w:basedOn w:val="Style17"/>
    <w:next w:val="BodyText"/>
    <w:qFormat/>
    <w:pPr>
      <w:numPr>
        <w:ilvl w:val="8"/>
        <w:numId w:val="1"/>
      </w:numPr>
      <w:spacing w:before="60" w:after="60"/>
      <w:outlineLvl w:val="8"/>
    </w:pPr>
    <w:rPr>
      <w:b/>
      <w:bCs/>
      <w:sz w:val="18"/>
      <w:szCs w:val="18"/>
    </w:rPr>
  </w:style>
  <w:style w:type="paragraph" w:styleId="Standard">
    <w:name w:val="Standard"/>
    <w:qFormat/>
    <w:pPr>
      <w:widowControl/>
      <w:suppressAutoHyphens w:val="true"/>
      <w:bidi w:val="0"/>
      <w:spacing w:before="0" w:after="0"/>
      <w:jc w:val="left"/>
      <w:textAlignment w:val="baseline"/>
    </w:pPr>
    <w:rPr>
      <w:rFonts w:ascii="Liberation Serif" w:hAnsi="Liberation Serif" w:eastAsia="WenQuanYi Zen Hei Sharp" w:cs="Lohit Devanagari"/>
      <w:color w:val="auto"/>
      <w:kern w:val="2"/>
      <w:sz w:val="24"/>
      <w:szCs w:val="24"/>
      <w:lang w:val="ru-RU" w:eastAsia="zh-CN" w:bidi="hi-IN"/>
    </w:rPr>
  </w:style>
  <w:style w:type="paragraph" w:styleId="Textbody">
    <w:name w:val="Text body"/>
    <w:basedOn w:val="Standard"/>
    <w:qFormat/>
    <w:pPr>
      <w:spacing w:lineRule="auto" w:line="276" w:before="0" w:after="140"/>
    </w:pPr>
    <w:rPr/>
  </w:style>
  <w:style w:type="numbering" w:styleId="NoList" w:default="1">
    <w:name w:val="No List"/>
    <w:uiPriority w:val="99"/>
    <w:semiHidden/>
    <w:unhideWhenUsed/>
    <w:qFormat/>
  </w:style>
  <w:style w:type="numbering" w:styleId="6938797701" w:customStyle="1">
    <w:name w:val="6938797701"/>
    <w:qFormat/>
  </w:style>
  <w:style w:type="numbering" w:styleId="30817502151" w:customStyle="1">
    <w:name w:val="30817502151"/>
    <w:qFormat/>
  </w:style>
  <w:style w:type="numbering" w:styleId="32855852261">
    <w:name w:val="32855852261"/>
    <w:qFormat/>
  </w:style>
  <w:style w:type="table" w:default="1" w:styleId="aa">
    <w:name w:val="Normal Table"/>
    <w:uiPriority w:val="99"/>
    <w:semiHidden/>
    <w:unhideWhenUsed/>
    <w:tblPr>
      <w:tblCellMar>
        <w:top w:w="0" w:type="dxa"/>
        <w:left w:w="108" w:type="dxa"/>
        <w:bottom w:w="0" w:type="dxa"/>
        <w:right w:w="108" w:type="dxa"/>
      </w:tblCellMar>
    </w:tblPr>
  </w:style>
  <w:style w:type="table" w:customStyle="1" w:styleId="afff3">
    <w:name w:val="[РГ] Таблица"/>
    <w:basedOn w:val="aa"/>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ff4">
    <w:name w:val="Table Grid"/>
    <w:basedOn w:val="aa"/>
    <w:uiPriority w:val="39"/>
    <w:rsid w:val="0061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tender.lot-online.ru/" TargetMode="External"/><Relationship Id="rId4" Type="http://schemas.openxmlformats.org/officeDocument/2006/relationships/hyperlink" Target="https://tender.lot-online.ru/app/EtpDocList/page" TargetMode="External"/><Relationship Id="rId5" Type="http://schemas.openxmlformats.org/officeDocument/2006/relationships/hyperlink" Target="mailto:sherbakova-tv@drsk.ru"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package" Target="embeddings/oleObject1.docx"/><Relationship Id="rId13" Type="http://schemas.openxmlformats.org/officeDocument/2006/relationships/image" Target="media/image2.wmf"/><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yperlink" Target="https://reestr.nostroy.ru/sro/all/member/list)" TargetMode="External"/><Relationship Id="rId19" Type="http://schemas.openxmlformats.org/officeDocument/2006/relationships/header" Target="header6.xml"/><Relationship Id="rId20" Type="http://schemas.openxmlformats.org/officeDocument/2006/relationships/header" Target="header7.xml"/><Relationship Id="rId21" Type="http://schemas.openxmlformats.org/officeDocument/2006/relationships/footer" Target="footer6.xml"/><Relationship Id="rId22" Type="http://schemas.openxmlformats.org/officeDocument/2006/relationships/footer" Target="footer7.xml"/><Relationship Id="rId23" Type="http://schemas.openxmlformats.org/officeDocument/2006/relationships/header" Target="header8.xml"/><Relationship Id="rId24" Type="http://schemas.openxmlformats.org/officeDocument/2006/relationships/header" Target="header9.xml"/><Relationship Id="rId25" Type="http://schemas.openxmlformats.org/officeDocument/2006/relationships/footer" Target="footer8.xml"/><Relationship Id="rId26" Type="http://schemas.openxmlformats.org/officeDocument/2006/relationships/footer" Target="footer9.xml"/><Relationship Id="rId27" Type="http://schemas.openxmlformats.org/officeDocument/2006/relationships/package" Target="embeddings/oleObject2.docx"/><Relationship Id="rId28" Type="http://schemas.openxmlformats.org/officeDocument/2006/relationships/image" Target="media/image3.wmf"/><Relationship Id="rId29" Type="http://schemas.openxmlformats.org/officeDocument/2006/relationships/package" Target="embeddings/oleObject3.docx"/><Relationship Id="rId30" Type="http://schemas.openxmlformats.org/officeDocument/2006/relationships/image" Target="media/image4.wmf"/><Relationship Id="rId31" Type="http://schemas.openxmlformats.org/officeDocument/2006/relationships/header" Target="header10.xml"/><Relationship Id="rId32" Type="http://schemas.openxmlformats.org/officeDocument/2006/relationships/header" Target="header11.xml"/><Relationship Id="rId33" Type="http://schemas.openxmlformats.org/officeDocument/2006/relationships/footer" Target="footer10.xml"/><Relationship Id="rId34" Type="http://schemas.openxmlformats.org/officeDocument/2006/relationships/footer" Target="footer11.xml"/><Relationship Id="rId35" Type="http://schemas.openxmlformats.org/officeDocument/2006/relationships/header" Target="header12.xml"/><Relationship Id="rId36" Type="http://schemas.openxmlformats.org/officeDocument/2006/relationships/header" Target="header13.xml"/><Relationship Id="rId37" Type="http://schemas.openxmlformats.org/officeDocument/2006/relationships/footer" Target="footer12.xml"/><Relationship Id="rId38" Type="http://schemas.openxmlformats.org/officeDocument/2006/relationships/footer" Target="footer13.xml"/><Relationship Id="rId39" Type="http://schemas.openxmlformats.org/officeDocument/2006/relationships/image" Target="media/image5.wmf"/><Relationship Id="rId40" Type="http://schemas.openxmlformats.org/officeDocument/2006/relationships/header" Target="header14.xml"/><Relationship Id="rId41" Type="http://schemas.openxmlformats.org/officeDocument/2006/relationships/header" Target="header15.xml"/><Relationship Id="rId42" Type="http://schemas.openxmlformats.org/officeDocument/2006/relationships/footer" Target="footer14.xml"/><Relationship Id="rId43" Type="http://schemas.openxmlformats.org/officeDocument/2006/relationships/footer" Target="footer15.xml"/><Relationship Id="rId44" Type="http://schemas.openxmlformats.org/officeDocument/2006/relationships/package" Target="embeddings/oleObject4.xlsx"/><Relationship Id="rId45" Type="http://schemas.openxmlformats.org/officeDocument/2006/relationships/image" Target="media/image6.wmf"/><Relationship Id="rId46" Type="http://schemas.openxmlformats.org/officeDocument/2006/relationships/header" Target="header16.xml"/><Relationship Id="rId47" Type="http://schemas.openxmlformats.org/officeDocument/2006/relationships/header" Target="header17.xml"/><Relationship Id="rId48" Type="http://schemas.openxmlformats.org/officeDocument/2006/relationships/footer" Target="footer16.xml"/><Relationship Id="rId49" Type="http://schemas.openxmlformats.org/officeDocument/2006/relationships/footer" Target="footer17.xml"/><Relationship Id="rId50" Type="http://schemas.openxmlformats.org/officeDocument/2006/relationships/footnotes" Target="footnotes.xml"/><Relationship Id="rId51" Type="http://schemas.openxmlformats.org/officeDocument/2006/relationships/numbering" Target="numbering.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Relationship Id="rId5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FEE96-80AB-4D67-8500-E8BE396CA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Application>AlterOffice/3.3.1.3$Linux_X86_64 LibreOffice_project/90d829a0d92d6015ad4fa014ce4f460a7fe6c0ba</Application>
  <AppVersion>15.0000</AppVersion>
  <Pages>46</Pages>
  <Words>18248</Words>
  <Characters>126431</Characters>
  <CharactersWithSpaces>141405</CharactersWithSpaces>
  <Paragraphs>1085</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2023-08-16T07:54:00Z</dcterms:created>
  <dc:creator>Владимир Щербаков</dc:creator>
  <dc:description/>
  <cp:keywords>Типовая форма</cp:keywords>
  <dc:language>ru-RU</dc:language>
  <cp:lastModifiedBy>scherbakova_tv</cp:lastModifiedBy>
  <cp:lastPrinted>2026-07-07T08:07:35Z</cp:lastPrinted>
  <dcterms:modified xsi:type="dcterms:W3CDTF">2026-07-15T11:47:58Z</dcterms:modified>
  <cp:revision>211</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