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МТЦ</w:t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677" w:leader="none"/>
        </w:tabs>
        <w:ind w:left="426" w:hanging="0"/>
        <w:jc w:val="center"/>
        <w:outlineLvl w:val="0"/>
        <w:rPr>
          <w:b/>
          <w:lang w:eastAsia="x-none"/>
        </w:rPr>
      </w:pPr>
      <w:bookmarkStart w:id="0" w:name="_Toc137554589"/>
      <w:bookmarkStart w:id="1" w:name="_Toc219973847"/>
      <w:bookmarkStart w:id="2" w:name="_Toc139856292"/>
      <w:bookmarkStart w:id="3" w:name="_Toc141696709"/>
      <w:r>
        <w:rPr>
          <w:b/>
          <w:lang w:eastAsia="x-none"/>
        </w:rPr>
        <w:t>«</w:t>
      </w:r>
      <w:bookmarkEnd w:id="0"/>
      <w:bookmarkEnd w:id="2"/>
      <w:bookmarkEnd w:id="3"/>
      <w:r>
        <w:rPr>
          <w:b/>
          <w:lang w:eastAsia="x-none"/>
        </w:rPr>
        <w:t>ОКПД2 23.61.</w:t>
      </w:r>
      <w:r>
        <w:rPr>
          <w:b/>
          <w:lang w:eastAsia="x-none"/>
        </w:rPr>
        <w:t>1</w:t>
      </w:r>
      <w:r>
        <w:rPr>
          <w:b/>
          <w:lang w:eastAsia="x-none"/>
        </w:rPr>
        <w:t xml:space="preserve"> Поставка материалов </w:t>
      </w:r>
      <w:bookmarkEnd w:id="1"/>
      <w:r>
        <w:rPr>
          <w:b/>
          <w:lang w:eastAsia="x-none"/>
        </w:rPr>
        <w:t>для устройства защитных ограждений от возможных воздействий БПЛА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677" w:leader="none"/>
        </w:tabs>
        <w:ind w:left="426" w:hanging="0"/>
        <w:jc w:val="center"/>
        <w:outlineLvl w:val="0"/>
        <w:rPr>
          <w:b/>
          <w:lang w:eastAsia="x-none"/>
        </w:rPr>
      </w:pPr>
      <w:bookmarkStart w:id="4" w:name="_Toc219973848"/>
      <w:r>
        <w:rPr>
          <w:b/>
        </w:rPr>
        <w:t>Филиала ПАО «РусГидро» - «Карачаево-Черкесский филиал».</w:t>
      </w:r>
      <w:bookmarkEnd w:id="4"/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 xml:space="preserve">п. Правокубанский </w:t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>2026г.</w:t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x-non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x-none"/>
            </w:rPr>
            <w:fldChar w:fldCharType="separate"/>
          </w:r>
          <w:hyperlink w:anchor="_Toc219973847">
            <w:r>
              <w:rPr>
                <w:webHidden/>
                <w:rStyle w:val="Style14"/>
                <w:vanish w:val="false"/>
                <w:lang w:eastAsia="x-none"/>
              </w:rPr>
              <w:t>«ОКПД2 33.11 Поставка материалов для нужд участка гидротехнических сооружений и производственных зданий службы эксплуатации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Филиала ПАО «РусГидро» - «Карачаево-Черкесский филиал».</w:t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49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0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2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4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5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5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поставки.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5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продукции.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5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_Toc219973859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 Перечень и объем закупаемой продукции: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74">
            <w:r>
              <w:rPr>
                <w:webHidden/>
                <w:rStyle w:val="Style14"/>
                <w:vanish w:val="false"/>
              </w:rPr>
              <w:t>Таблица 2 Перечень и объем закупаемых сопутствующих услуг: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75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76">
            <w:r>
              <w:rPr>
                <w:webHidden/>
                <w:rStyle w:val="Style14"/>
                <w:vanish w:val="false"/>
              </w:rPr>
              <w:t>Таблица 3 Требования по срокам поставки продукции: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9973877">
            <w:r>
              <w:rPr>
                <w:webHidden/>
                <w:rStyle w:val="Style14"/>
                <w:vanish w:val="false"/>
              </w:rPr>
              <w:t>Таблица 4 Требования по срокам оказания сопутствующих услуг: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7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79">
            <w:r>
              <w:rPr>
                <w:webHidden/>
                <w:rStyle w:val="Style14"/>
                <w:iCs/>
                <w:vanish w:val="false"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цене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9973880">
            <w:r>
              <w:rPr>
                <w:webHidden/>
                <w:rStyle w:val="Style14"/>
                <w:iCs/>
                <w:vanish w:val="false"/>
              </w:rPr>
              <w:t>2.4.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доставке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6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left" w:pos="112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ind w:left="709" w:hanging="0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spacing w:before="0" w:after="0"/>
        <w:ind w:left="709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ind w:left="709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5" w:name="_GoBack"/>
      <w:bookmarkStart w:id="6" w:name="_GoBack"/>
      <w:bookmarkEnd w:id="6"/>
      <w:r>
        <w:br w:type="page"/>
      </w:r>
    </w:p>
    <w:p>
      <w:pPr>
        <w:pStyle w:val="Heading1"/>
        <w:keepLines/>
        <w:spacing w:before="0" w:after="0"/>
        <w:ind w:left="709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spacing w:before="0" w:after="0"/>
        <w:ind w:left="709" w:hanging="357"/>
        <w:jc w:val="center"/>
        <w:rPr>
          <w:lang w:val="ru-RU"/>
        </w:rPr>
      </w:pPr>
      <w:bookmarkStart w:id="7" w:name="_Toc51339692"/>
      <w:bookmarkStart w:id="8" w:name="_Toc219973849"/>
      <w:r>
        <w:rPr>
          <w:lang w:val="ru-RU"/>
        </w:rPr>
        <w:t>Общие сведения</w:t>
      </w:r>
      <w:bookmarkEnd w:id="7"/>
      <w:bookmarkEnd w:id="8"/>
    </w:p>
    <w:p>
      <w:pPr>
        <w:pStyle w:val="Heading4"/>
        <w:numPr>
          <w:ilvl w:val="1"/>
          <w:numId w:val="3"/>
        </w:numPr>
        <w:spacing w:before="0" w:after="0"/>
        <w:ind w:left="709" w:hanging="432"/>
        <w:rPr/>
      </w:pPr>
      <w:bookmarkStart w:id="9" w:name="_Toc46743505"/>
      <w:bookmarkStart w:id="10" w:name="_Toc219973850"/>
      <w:r>
        <w:rPr/>
        <w:t>Обозначения и сокращения</w:t>
      </w:r>
      <w:bookmarkEnd w:id="9"/>
      <w:bookmarkEnd w:id="10"/>
    </w:p>
    <w:p>
      <w:pPr>
        <w:pStyle w:val="Normal"/>
        <w:ind w:left="709" w:hanging="0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18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Малая 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>
        <w:trPr>
          <w:trHeight w:val="16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Технические условия</w:t>
            </w:r>
          </w:p>
        </w:tc>
      </w:tr>
      <w:tr>
        <w:trPr>
          <w:trHeight w:val="1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>
          <w:lang w:val="ru-RU"/>
        </w:rPr>
      </w:pPr>
      <w:bookmarkStart w:id="11" w:name="_Toc219973851"/>
      <w:bookmarkStart w:id="12" w:name="_Toc46743506"/>
      <w:r>
        <w:rPr/>
        <w:t>Наименование закупаемой продукции</w:t>
      </w:r>
      <w:bookmarkEnd w:id="12"/>
      <w:r>
        <w:rPr>
          <w:lang w:val="ru-RU"/>
        </w:rPr>
        <w:t>:</w:t>
      </w:r>
      <w:bookmarkEnd w:id="11"/>
    </w:p>
    <w:p>
      <w:pPr>
        <w:pStyle w:val="Normal"/>
        <w:numPr>
          <w:ilvl w:val="0"/>
          <w:numId w:val="0"/>
        </w:numPr>
        <w:tabs>
          <w:tab w:val="clear" w:pos="708"/>
          <w:tab w:val="center" w:pos="4677" w:leader="none"/>
        </w:tabs>
        <w:ind w:left="426" w:hanging="0"/>
        <w:jc w:val="both"/>
        <w:outlineLvl w:val="0"/>
        <w:rPr>
          <w:rFonts w:ascii="Times New Roman" w:hAnsi="Times New Roman"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</w:pPr>
      <w:bookmarkStart w:id="13" w:name="_Toc137554589_Копия_1"/>
      <w:bookmarkStart w:id="14" w:name="_Toc141696709_Копия_1"/>
      <w:bookmarkStart w:id="15" w:name="_Toc139856292_Копия_1"/>
      <w:bookmarkStart w:id="16" w:name="_Toc219973847_Копия_1"/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>«</w:t>
      </w:r>
      <w:bookmarkEnd w:id="13"/>
      <w:bookmarkEnd w:id="14"/>
      <w:bookmarkEnd w:id="15"/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 xml:space="preserve">ОКПД2 23.61.1 Поставка материалов </w:t>
      </w:r>
      <w:bookmarkEnd w:id="16"/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 xml:space="preserve">для устройства защитных ограждений от возможных воздействий БПЛА  </w:t>
      </w:r>
      <w:bookmarkStart w:id="17" w:name="_Toc219973848_Копия_1"/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>Филиала ПАО «РусГидро» - «Карачаево-Черкесский филиал».</w:t>
      </w:r>
      <w:bookmarkEnd w:id="17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/>
      </w:pPr>
      <w:bookmarkStart w:id="18" w:name="_Toc219973852"/>
      <w:bookmarkStart w:id="19" w:name="_Toc46743507"/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продукции:</w:t>
      </w:r>
      <w:bookmarkEnd w:id="18"/>
    </w:p>
    <w:p>
      <w:pPr>
        <w:pStyle w:val="Normal"/>
        <w:numPr>
          <w:ilvl w:val="0"/>
          <w:numId w:val="0"/>
        </w:numPr>
        <w:tabs>
          <w:tab w:val="clear" w:pos="708"/>
          <w:tab w:val="center" w:pos="4677" w:leader="none"/>
        </w:tabs>
        <w:ind w:left="426" w:hanging="0"/>
        <w:jc w:val="both"/>
        <w:outlineLvl w:val="0"/>
        <w:rPr>
          <w:rFonts w:ascii="Times New Roman" w:hAnsi="Times New Roman"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>Поставка материалов для устройства защитных ограждений от возможных воздействий БПЛА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>
          <w:rStyle w:val="Style8"/>
          <w:b/>
          <w:lang w:val="ru-RU"/>
        </w:rPr>
      </w:pPr>
      <w:bookmarkStart w:id="20" w:name="_Toc46743508"/>
      <w:bookmarkStart w:id="21" w:name="_Toc219973853"/>
      <w:r>
        <w:rPr/>
        <w:t>Существующее положение</w:t>
      </w:r>
      <w:bookmarkEnd w:id="20"/>
      <w:bookmarkEnd w:id="21"/>
      <w:r>
        <w:rPr>
          <w:lang w:val="ru-RU"/>
        </w:rPr>
        <w:t xml:space="preserve"> </w:t>
      </w:r>
    </w:p>
    <w:p>
      <w:pPr>
        <w:pStyle w:val="BodyText"/>
        <w:tabs>
          <w:tab w:val="clear" w:pos="708"/>
          <w:tab w:val="left" w:pos="1134" w:leader="none"/>
          <w:tab w:val="left" w:pos="1418" w:leader="none"/>
        </w:tabs>
        <w:spacing w:before="0" w:after="0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Настоящие технические требования (далее – ТТ) предполагают, что Участник готовит и предоставляет информацию согласно требований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MS Excel.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276" w:leader="none"/>
          <w:tab w:val="left" w:pos="1418" w:leader="none"/>
        </w:tabs>
        <w:spacing w:before="0" w:after="0"/>
        <w:ind w:left="0" w:firstLine="709"/>
        <w:jc w:val="both"/>
        <w:rPr>
          <w:lang w:val="ru-RU"/>
        </w:rPr>
      </w:pPr>
      <w:bookmarkStart w:id="22" w:name="_Toc46743509"/>
      <w:bookmarkStart w:id="23" w:name="_Hlk49857604"/>
      <w:bookmarkStart w:id="24" w:name="_Toc219973854"/>
      <w:r>
        <w:rPr/>
        <w:t xml:space="preserve">Информация в отношении исполнения договора, </w:t>
      </w:r>
      <w:bookmarkStart w:id="25" w:name="_Hlk46492347"/>
      <w:r>
        <w:rPr/>
        <w:t xml:space="preserve">которая должна быть учтена при подготовке заявки </w:t>
      </w:r>
      <w:bookmarkEnd w:id="2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2"/>
      <w:bookmarkEnd w:id="23"/>
      <w:r>
        <w:rPr>
          <w:lang w:val="ru-RU"/>
        </w:rPr>
        <w:t>:</w:t>
      </w:r>
      <w:bookmarkEnd w:id="24"/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ind w:firstLine="709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Необходимо наличие лицензии (если деятельность лицензируется);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Наличие положительных отзывов потребителей;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Опыт успешной работы на данном секторе рынка 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признаков банкротства;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просроченной задолженности перед бюджетами всех уровней и внебюджетными фондами;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134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текущих судебных дел с контрагентами по заключенным договорам.</w:t>
      </w:r>
    </w:p>
    <w:p>
      <w:pPr>
        <w:pStyle w:val="ListParagraph"/>
        <w:widowControl w:val="false"/>
        <w:tabs>
          <w:tab w:val="clear" w:pos="708"/>
          <w:tab w:val="left" w:pos="426" w:leader="none"/>
          <w:tab w:val="left" w:pos="1134" w:leader="none"/>
          <w:tab w:val="left" w:pos="1418" w:leader="none"/>
        </w:tabs>
        <w:ind w:left="0"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>
          <w:rStyle w:val="Style8"/>
          <w:b/>
          <w:lang w:val="ru-RU"/>
        </w:rPr>
      </w:pPr>
      <w:bookmarkStart w:id="26" w:name="_Toc219973855"/>
      <w:bookmarkStart w:id="27" w:name="_Toc75446572"/>
      <w:bookmarkStart w:id="28" w:name="_Hlk48209761"/>
      <w:bookmarkEnd w:id="28"/>
      <w:r>
        <w:rPr/>
        <w:t>Иные требования и сведения общего характера</w:t>
      </w:r>
      <w:bookmarkEnd w:id="27"/>
      <w:r>
        <w:rPr>
          <w:lang w:val="ru-RU"/>
        </w:rPr>
        <w:t>:</w:t>
      </w:r>
      <w:bookmarkEnd w:id="26"/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Продукция должна быть новой и ранее не использованной;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Доставка продукции осуществляется автотранспортом Поставщика, продукция должна быть поставлена в упаковке в соответствии с ГОСТ и ТУ, обеспечивающее сохранность ее во время транспортировки и хранения;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Цена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По результату приемки материала, оборудования на складе Заказчика: оформляется акт входного контроля и передается на склад Заказчика. В случае обнаружении повреждений оборудования оформляется акт дефектации материала, оборудования и отправляется в адрес Подрядчика его силами и за его счет.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Оплата каждой партии МТР по Договору производится Покупателем в течение 14 (Четырнадцати) календарных дней с даты подписания Товарной накладной ТОРГ-12 на соответствующую партию МТР на основании счета, выставленного Поставщиком.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jc w:val="center"/>
        <w:rPr>
          <w:iCs/>
          <w:caps/>
          <w:lang w:val="ru-RU"/>
        </w:rPr>
      </w:pPr>
      <w:bookmarkStart w:id="29" w:name="_Toc51339693"/>
      <w:bookmarkStart w:id="30" w:name="_Toc219973856"/>
      <w:r>
        <w:rPr>
          <w:iCs/>
        </w:rPr>
        <w:t>Требования к продукции</w:t>
      </w:r>
      <w:bookmarkEnd w:id="29"/>
      <w:bookmarkEnd w:id="30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/>
      </w:pPr>
      <w:bookmarkStart w:id="31" w:name="_Toc219973857"/>
      <w:r>
        <w:rPr/>
        <w:t xml:space="preserve">Требования к объемам и срокам </w:t>
      </w:r>
      <w:r>
        <w:rPr>
          <w:lang w:val="ru-RU"/>
        </w:rPr>
        <w:t>поставки.</w:t>
      </w:r>
      <w:bookmarkEnd w:id="31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  <w:tab w:val="left" w:pos="1418" w:leader="none"/>
        </w:tabs>
        <w:spacing w:before="0" w:after="0"/>
        <w:ind w:left="0" w:firstLine="709"/>
        <w:rPr>
          <w:lang w:val="ru-RU"/>
        </w:rPr>
      </w:pPr>
      <w:bookmarkStart w:id="32" w:name="_Toc219973858"/>
      <w:r>
        <w:rPr>
          <w:lang w:val="ru-RU"/>
        </w:rPr>
        <w:t>Перечень и объем закупаемой продукции.</w:t>
      </w:r>
      <w:bookmarkEnd w:id="32"/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Поставка продукции осуществляется в соответствие с Заявкой Заказчика, определяющей потребность Филиала в продукции.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Предварительный перечень поставляемой Продукции представлен в прилагаемой таблице (Таблица №1). Данный перечень является условным, для определения стоимостной оценки предложений участников.</w:t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firstLine="709"/>
        <w:jc w:val="center"/>
        <w:rPr>
          <w:rFonts w:eastAsia="Times New Roman"/>
          <w:sz w:val="24"/>
          <w:szCs w:val="24"/>
          <w:lang w:val="ru-RU"/>
        </w:rPr>
      </w:pPr>
      <w:bookmarkStart w:id="33" w:name="_Toc219973859"/>
      <w:bookmarkStart w:id="34" w:name="_Toc51339695"/>
      <w:r>
        <w:rPr>
          <w:rFonts w:eastAsia="Times New Roman"/>
          <w:sz w:val="24"/>
          <w:szCs w:val="24"/>
          <w:lang w:val="ru-RU"/>
        </w:rPr>
        <w:t xml:space="preserve">Таблица 1 Перечень </w:t>
      </w:r>
      <w:bookmarkEnd w:id="34"/>
      <w:r>
        <w:rPr>
          <w:rFonts w:eastAsia="Times New Roman"/>
          <w:sz w:val="24"/>
          <w:szCs w:val="24"/>
          <w:lang w:val="ru-RU"/>
        </w:rPr>
        <w:t>и объем закупаемой продукции:</w:t>
      </w:r>
      <w:bookmarkEnd w:id="33"/>
    </w:p>
    <w:p>
      <w:pPr>
        <w:pStyle w:val="Normal"/>
        <w:tabs>
          <w:tab w:val="clear" w:pos="708"/>
        </w:tabs>
        <w:spacing w:before="0" w:after="0"/>
        <w:ind w:left="0" w:firstLine="709"/>
        <w:jc w:val="center"/>
        <w:rPr>
          <w:rFonts w:eastAsia="Times New Roman"/>
          <w:sz w:val="24"/>
          <w:szCs w:val="24"/>
          <w:lang w:val="ru-RU"/>
        </w:rPr>
      </w:pPr>
      <w:r>
        <w:rPr/>
      </w:r>
    </w:p>
    <w:tbl>
      <w:tblPr>
        <w:tblW w:w="9941" w:type="dxa"/>
        <w:jc w:val="left"/>
        <w:tblInd w:w="1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93"/>
        <w:gridCol w:w="5598"/>
        <w:gridCol w:w="2748"/>
        <w:gridCol w:w="1002"/>
      </w:tblGrid>
      <w:tr>
        <w:trPr>
          <w:trHeight w:val="56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73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Грунт-эмаль 3 в 1 по ржавчине, серая, (банка-1,9 кг), быстросохнущая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146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Уайт-спирит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146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Кисть малярная 50 мм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146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bookmarkStart w:id="35" w:name="_Toc219973860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чашечная для УШМ (125 мм; М14)</w:t>
            </w:r>
            <w:bookmarkEnd w:id="35"/>
          </w:p>
          <w:p>
            <w:pPr>
              <w:pStyle w:val="Style35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77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Круг зачистной 125 для УШМ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Круг отрезной 125 для УШМ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Круг отрезной 230 для УШМ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Электроды D=3,0 мм, АНО-21, 1,0 кг, Э-46, ESAB (либо аналог)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кг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газосиликатный D500 (D-400) 600х300х250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Клей-пена для газобетона, блоков и кирпича KUDO PROFF 28+ KUPP10UABL, балон 1 л., или аналог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Сверло по металлу Ду 6 мм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138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jc w:val="center"/>
              <w:rPr/>
            </w:pPr>
            <w:r>
              <w:rPr/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Сверло по металлу Ду 10 мм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113" w:hanging="0"/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24"/>
          <w:szCs w:val="24"/>
          <w:lang w:val="ru-RU"/>
        </w:rPr>
      </w:pPr>
      <w:bookmarkStart w:id="36" w:name="_Toc21997387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услуг:</w:t>
      </w:r>
      <w:bookmarkEnd w:id="36"/>
    </w:p>
    <w:tbl>
      <w:tblPr>
        <w:tblW w:w="995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3119"/>
        <w:gridCol w:w="2835"/>
        <w:gridCol w:w="1540"/>
        <w:gridCol w:w="1863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4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414" w:hanging="357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709"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709" w:hanging="504"/>
        <w:rPr>
          <w:lang w:val="ru-RU"/>
        </w:rPr>
      </w:pPr>
      <w:bookmarkStart w:id="37" w:name="_Toc219973875"/>
      <w:bookmarkStart w:id="38" w:name="_Toc51339696"/>
      <w:r>
        <w:rPr>
          <w:lang w:val="ru-RU"/>
        </w:rPr>
        <w:t xml:space="preserve">Требования </w:t>
      </w:r>
      <w:bookmarkEnd w:id="38"/>
      <w:r>
        <w:rPr>
          <w:lang w:val="ru-RU"/>
        </w:rPr>
        <w:t>к срокам поставки продукции и оказания сопутствующих услуг</w:t>
      </w:r>
      <w:bookmarkEnd w:id="37"/>
    </w:p>
    <w:p>
      <w:pPr>
        <w:pStyle w:val="Heading1"/>
        <w:keepLines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39" w:name="_Toc51339697"/>
      <w:bookmarkStart w:id="40" w:name="_Toc50125127"/>
      <w:bookmarkStart w:id="41" w:name="_Toc50125126"/>
      <w:bookmarkStart w:id="42" w:name="_Toc51339697"/>
      <w:bookmarkStart w:id="43" w:name="_Toc50125127"/>
      <w:bookmarkStart w:id="44" w:name="_Toc50125126"/>
      <w:bookmarkEnd w:id="44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center"/>
        <w:rPr>
          <w:sz w:val="16"/>
          <w:szCs w:val="16"/>
        </w:rPr>
      </w:pPr>
      <w:bookmarkStart w:id="45" w:name="_Toc2199738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46" w:name="_Hlk50465284"/>
      <w:r>
        <w:rPr>
          <w:sz w:val="24"/>
          <w:szCs w:val="24"/>
        </w:rPr>
        <w:t xml:space="preserve">Требования по срокам </w:t>
      </w:r>
      <w:bookmarkEnd w:id="42"/>
      <w:bookmarkEnd w:id="43"/>
      <w:bookmarkEnd w:id="46"/>
      <w:r>
        <w:rPr>
          <w:sz w:val="24"/>
          <w:szCs w:val="24"/>
          <w:lang w:val="ru-RU"/>
        </w:rPr>
        <w:t>поставки продукции:</w:t>
      </w:r>
      <w:bookmarkEnd w:id="45"/>
    </w:p>
    <w:tbl>
      <w:tblPr>
        <w:tblW w:w="99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976"/>
        <w:gridCol w:w="2553"/>
        <w:gridCol w:w="3262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57" w:hanging="0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</w:tabs>
              <w:ind w:hanging="0"/>
              <w:jc w:val="both"/>
              <w:outlineLvl w:val="0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4"/>
                <w:szCs w:val="24"/>
                <w:lang w:val="ru-RU" w:eastAsia="x-none" w:bidi="ar-SA"/>
              </w:rPr>
              <w:t xml:space="preserve">Поставка материалов для устройства защитных ограждений от возможных воздействий БПЛА  </w:t>
            </w:r>
            <w:bookmarkStart w:id="47" w:name="_Toc219973848_Копия_1_Копия_1"/>
            <w:r>
              <w:rPr>
                <w:rFonts w:eastAsia="Calibri" w:cs="Times New Roman"/>
                <w:bCs/>
                <w:color w:val="auto"/>
                <w:kern w:val="0"/>
                <w:sz w:val="24"/>
                <w:szCs w:val="24"/>
                <w:lang w:val="ru-RU" w:eastAsia="x-none" w:bidi="ar-SA"/>
              </w:rPr>
              <w:t>Филиала ПАО «РусГидро» - «Карачаево-Черкесский филиал».</w:t>
            </w:r>
            <w:bookmarkEnd w:id="47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17.08.2026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48" w:name="_Toc46743510"/>
      <w:bookmarkStart w:id="49" w:name="_Toc46743510"/>
      <w:bookmarkEnd w:id="49"/>
    </w:p>
    <w:p>
      <w:pPr>
        <w:pStyle w:val="Heading1"/>
        <w:tabs>
          <w:tab w:val="clear" w:pos="0"/>
        </w:tabs>
        <w:spacing w:before="0" w:after="0"/>
        <w:ind w:left="709" w:hanging="0"/>
        <w:jc w:val="center"/>
        <w:rPr>
          <w:sz w:val="16"/>
          <w:szCs w:val="16"/>
        </w:rPr>
      </w:pPr>
      <w:bookmarkStart w:id="50" w:name="_Toc21997387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r>
        <w:rPr>
          <w:sz w:val="24"/>
          <w:szCs w:val="24"/>
          <w:lang w:val="ru-RU"/>
        </w:rPr>
        <w:t>:</w:t>
      </w:r>
      <w:bookmarkEnd w:id="50"/>
    </w:p>
    <w:tbl>
      <w:tblPr>
        <w:tblW w:w="991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6"/>
        <w:gridCol w:w="2140"/>
        <w:gridCol w:w="2268"/>
        <w:gridCol w:w="2551"/>
        <w:gridCol w:w="1843"/>
      </w:tblGrid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51" w:name="_Toc219973878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51"/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Вся поставляемая продукция должна соответствовать требованиям ГОСТов, ТУ, указанных в настоящих ТТ,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Продукция должна соответствовать государственным санитарно-эпидемиологическим заключениям.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Наличие сертификатов соответствия и санитарно-эпидемиологическое заключение на предоставляемую продукцию обязательно.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Продукция без документов не принимается, ответственность за его сохранность Заказчик не несет.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Качество поставляемой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Упаковка продукции должна обеспечивать его сохранность при транспортировке и хранении.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Срок гарантии поставщика не менее одного года с момента поставки. Указать, что входит в гарантийные обязательства. Срок гарантии производителя не менее одного года.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Год выпуска товаров 4 кв. 2025 – 2 кв. 2026 года.</w:t>
      </w:r>
    </w:p>
    <w:p>
      <w:pPr>
        <w:pStyle w:val="Normal"/>
        <w:tabs>
          <w:tab w:val="clear" w:pos="708"/>
          <w:tab w:val="left" w:pos="1134" w:leader="none"/>
        </w:tabs>
        <w:ind w:left="709" w:firstLine="709"/>
        <w:rPr/>
      </w:pPr>
      <w:r>
        <w:rPr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709" w:firstLine="709"/>
        <w:rPr/>
      </w:pPr>
      <w:bookmarkStart w:id="52" w:name="_Toc219973879"/>
      <w:r>
        <w:rPr/>
        <w:t>Требования к цене продукции</w:t>
      </w:r>
      <w:bookmarkEnd w:id="52"/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Цена поставляемой продукции не может быть выше, чем заявленная на открытом запросе предложений.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>
      <w:pPr>
        <w:pStyle w:val="ListParagraph"/>
        <w:tabs>
          <w:tab w:val="clear" w:pos="708"/>
          <w:tab w:val="left" w:pos="1134" w:leader="none"/>
        </w:tabs>
        <w:ind w:left="709"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709" w:firstLine="709"/>
        <w:rPr/>
      </w:pPr>
      <w:bookmarkStart w:id="53" w:name="_Toc219973880"/>
      <w:r>
        <w:rPr/>
        <w:t>Требования к доставке продукции</w:t>
      </w:r>
      <w:bookmarkEnd w:id="53"/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Доставка Продукции до склада Заказчика. в объеме и на сумму, указанную в заявке Заказчика, осуществляется по адресу: 369244, Карачаево-Черкесская Республика, Карачаевский район, пос. Правокубанский, Филиал «ПАО РусГидро» - «Карачаево-Черкесский филиал».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02" w:leader="none"/>
          <w:tab w:val="left" w:pos="6804" w:leader="none"/>
        </w:tabs>
        <w:ind w:firstLine="851"/>
        <w:rPr>
          <w:bCs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83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4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3b57a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14pt" w:customStyle="1">
    <w:name w:val="Заголовок №2 + 14 pt"/>
    <w:uiPriority w:val="99"/>
    <w:qFormat/>
    <w:rsid w:val="00fb79a2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styleId="14" w:customStyle="1">
    <w:name w:val="Основной текст Знак1"/>
    <w:uiPriority w:val="99"/>
    <w:qFormat/>
    <w:locked/>
    <w:rsid w:val="00ea50bc"/>
    <w:rPr>
      <w:rFonts w:ascii="Times New Roman" w:hAnsi="Times New Roman" w:cs="Times New Roman"/>
      <w:spacing w:val="4"/>
      <w:sz w:val="25"/>
      <w:szCs w:val="25"/>
      <w:u w:val="none"/>
    </w:rPr>
  </w:style>
  <w:style w:type="character" w:styleId="Style14" w:customStyle="1">
    <w:name w:val="Ссылка указателя"/>
    <w:qFormat/>
    <w:rPr/>
  </w:style>
  <w:style w:type="character" w:styleId="Exact" w:customStyle="1">
    <w:name w:val="Основной текст Exact"/>
    <w:uiPriority w:val="99"/>
    <w:qFormat/>
    <w:rsid w:val="00b266b0"/>
    <w:rPr>
      <w:rFonts w:ascii="Arial" w:hAnsi="Arial" w:cs="Arial"/>
      <w:spacing w:val="12"/>
      <w:sz w:val="33"/>
      <w:szCs w:val="33"/>
      <w:u w:val="none"/>
    </w:rPr>
  </w:style>
  <w:style w:type="character" w:styleId="Exact1" w:customStyle="1">
    <w:name w:val="Основной текст Exact1"/>
    <w:uiPriority w:val="99"/>
    <w:qFormat/>
    <w:rsid w:val="00b266b0"/>
    <w:rPr>
      <w:rFonts w:ascii="Arial" w:hAnsi="Arial" w:cs="Arial"/>
      <w:color w:val="000000"/>
      <w:spacing w:val="12"/>
      <w:w w:val="100"/>
      <w:sz w:val="33"/>
      <w:szCs w:val="33"/>
      <w:u w:val="single"/>
    </w:rPr>
  </w:style>
  <w:style w:type="character" w:styleId="Exact2" w:customStyle="1">
    <w:name w:val="Подпись к картинке Exact"/>
    <w:link w:val="Style34"/>
    <w:uiPriority w:val="99"/>
    <w:qFormat/>
    <w:rsid w:val="00b266b0"/>
    <w:rPr>
      <w:rFonts w:ascii="Arial" w:hAnsi="Arial" w:cs="Arial"/>
      <w:spacing w:val="12"/>
      <w:sz w:val="33"/>
      <w:szCs w:val="33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d688c"/>
    <w:pPr>
      <w:tabs>
        <w:tab w:val="clear" w:pos="708"/>
        <w:tab w:val="left" w:pos="1120" w:leader="none"/>
        <w:tab w:val="right" w:pos="9911" w:leader="dot"/>
      </w:tabs>
      <w:ind w:left="426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Подпись к картинке"/>
    <w:basedOn w:val="Normal"/>
    <w:link w:val="Exact2"/>
    <w:uiPriority w:val="99"/>
    <w:qFormat/>
    <w:rsid w:val="00b266b0"/>
    <w:pPr>
      <w:widowControl w:val="false"/>
      <w:shd w:val="clear" w:color="auto" w:fill="FFFFFF"/>
      <w:suppressAutoHyphens w:val="false"/>
      <w:spacing w:lineRule="atLeast" w:line="240"/>
    </w:pPr>
    <w:rPr>
      <w:rFonts w:ascii="Arial" w:hAnsi="Arial" w:cs="Arial"/>
      <w:spacing w:val="12"/>
      <w:sz w:val="33"/>
      <w:szCs w:val="33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051F-715C-4232-8BC6-5625D7FB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Application>AlterOffice/3.4.0.9$Linux_X86_64 LibreOffice_project/b8daf9e823b1a5463a2f48435ddc2e8696e7d4fc</Application>
  <AppVersion>15.0000</AppVersion>
  <Pages>6</Pages>
  <Words>1041</Words>
  <Characters>6799</Characters>
  <CharactersWithSpaces>7634</CharactersWithSpaces>
  <Paragraphs>180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2024-01-15T11:38:00Z</dcterms:created>
  <dc:creator>Быстров Олег Геннадьевич</dc:creator>
  <dc:description/>
  <dc:language>ru-RU</dc:language>
  <cp:lastModifiedBy>zabelkinans@corp.gidroogk.com</cp:lastModifiedBy>
  <cp:lastPrinted>2026-07-15T10:27:15Z</cp:lastPrinted>
  <dcterms:modified xsi:type="dcterms:W3CDTF">2026-07-15T10:44:19Z</dcterms:modified>
  <cp:revision>40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