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jc w:val="center"/>
        <w:rPr>
          <w:rFonts w:ascii="Times New Roman" w:hAnsi="Times New Roman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Standard"/>
        <w:keepNext w:val="true"/>
        <w:keepLines/>
        <w:jc w:val="center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Standard"/>
        <w:keepNext w:val="true"/>
        <w:keepLines/>
        <w:jc w:val="center"/>
        <w:rPr>
          <w:rFonts w:ascii="Times New Roman" w:hAnsi="Times New Roman" w:eastAsia="Calibri"/>
          <w:b/>
          <w:sz w:val="26"/>
          <w:szCs w:val="26"/>
          <w:shd w:fill="FFFFFF" w:val="clear"/>
        </w:rPr>
      </w:pPr>
      <w:r>
        <w:rPr>
          <w:rFonts w:eastAsia="Calibri"/>
          <w:b/>
          <w:sz w:val="26"/>
          <w:szCs w:val="26"/>
          <w:shd w:fill="FFFFFF" w:val="clear"/>
        </w:rPr>
      </w:r>
    </w:p>
    <w:p>
      <w:pPr>
        <w:pStyle w:val="Standard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/>
          <w:i w:val="false"/>
          <w:color w:val="000000"/>
          <w:sz w:val="26"/>
          <w:szCs w:val="26"/>
          <w:shd w:fill="auto" w:val="clear"/>
          <w:lang w:eastAsia="en-US"/>
        </w:rPr>
        <w:t xml:space="preserve">«ОКПД 2: 43.12.11.150 </w:t>
      </w:r>
      <w:r>
        <w:rPr>
          <w:rStyle w:val="Style8"/>
          <w:rFonts w:eastAsia="Calibri"/>
          <w:i w:val="false"/>
          <w:color w:val="000000"/>
          <w:sz w:val="26"/>
          <w:szCs w:val="26"/>
          <w:shd w:fill="auto" w:val="clear"/>
          <w:lang w:eastAsia="en-US"/>
        </w:rPr>
        <w:t>Комплекс работ по подпорным, противофильтрационным и усиливающим сооружениям здания станционного узла Загорской ГАЭС-2</w:t>
      </w:r>
      <w:r>
        <w:rPr>
          <w:rStyle w:val="Style8"/>
          <w:rFonts w:eastAsia="Calibri"/>
          <w:i w:val="false"/>
          <w:color w:val="000000"/>
          <w:sz w:val="26"/>
          <w:szCs w:val="26"/>
          <w:shd w:fill="auto" w:val="clear"/>
          <w:lang w:eastAsia="en-US"/>
        </w:rPr>
        <w:t>»</w:t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/>
          <w:b/>
          <w:sz w:val="26"/>
          <w:szCs w:val="26"/>
          <w:shd w:fill="FFFFFF" w:val="clear"/>
        </w:rPr>
      </w:pPr>
      <w:r>
        <w:rPr>
          <w:rFonts w:eastAsia="Calibri"/>
          <w:b/>
          <w:sz w:val="26"/>
          <w:szCs w:val="26"/>
          <w:shd w:fill="FFFFFF" w:val="clear"/>
        </w:rPr>
      </w:r>
    </w:p>
    <w:p>
      <w:pPr>
        <w:pStyle w:val="Standard"/>
        <w:keepNext w:val="true"/>
        <w:keepLines/>
        <w:jc w:val="center"/>
        <w:rPr>
          <w:rFonts w:ascii="Times New Roman" w:hAnsi="Times New Roman" w:eastAsia="Calibri"/>
          <w:b/>
          <w:sz w:val="26"/>
          <w:szCs w:val="26"/>
          <w:shd w:fill="FFFFFF" w:val="clear"/>
        </w:rPr>
      </w:pPr>
      <w:r>
        <w:rPr>
          <w:rFonts w:eastAsia="Calibri"/>
          <w:b/>
          <w:sz w:val="26"/>
          <w:szCs w:val="26"/>
          <w:shd w:fill="FFFFFF" w:val="clear"/>
        </w:rPr>
      </w:r>
    </w:p>
    <w:p>
      <w:pPr>
        <w:pStyle w:val="Standard"/>
        <w:keepNext w:val="true"/>
        <w:keepLines/>
        <w:jc w:val="center"/>
        <w:rPr>
          <w:rFonts w:ascii="Times New Roman" w:hAnsi="Times New Roman" w:eastAsia="Calibri"/>
          <w:b/>
          <w:i/>
          <w:i/>
          <w:sz w:val="26"/>
          <w:szCs w:val="26"/>
          <w:shd w:fill="FFFFFF" w:val="clear"/>
        </w:rPr>
      </w:pPr>
      <w:r>
        <w:rPr>
          <w:rFonts w:eastAsia="Calibri"/>
          <w:b/>
          <w:i/>
          <w:sz w:val="26"/>
          <w:szCs w:val="26"/>
          <w:shd w:fill="FFFFFF" w:val="clear"/>
        </w:rPr>
      </w:r>
    </w:p>
    <w:p>
      <w:pPr>
        <w:pStyle w:val="Standard"/>
        <w:keepNext w:val="true"/>
        <w:keepLines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Standard"/>
        <w:spacing w:before="0" w:after="0"/>
        <w:jc w:val="center"/>
        <w:rPr>
          <w:rFonts w:ascii="Times New Roman" w:hAnsi="Times New Roman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\u \h</w:instrText>
          </w:r>
          <w:r>
            <w:rPr>
              <w:rStyle w:val="Style14"/>
            </w:rPr>
            <w:fldChar w:fldCharType="separate"/>
          </w:r>
          <w:hyperlink w:anchor="__RefHeading___Toc3862_3910265972">
            <w:r>
              <w:rPr>
                <w:rStyle w:val="Style14"/>
              </w:rPr>
              <w:t xml:space="preserve">1. </w:t>
            </w:r>
            <w:r>
              <w:rPr>
                <w:rStyle w:val="Style14"/>
                <w:iCs/>
              </w:rPr>
              <w:t>Общие сведения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864_3910265972">
            <w:r>
              <w:rPr>
                <w:rStyle w:val="Style14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866_3910265972">
            <w:r>
              <w:rPr>
                <w:rStyle w:val="Style14"/>
              </w:rPr>
              <w:t>1.2. Цель выполнения Работ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868_3910265972_%D0%9A%D0%BE%D0%BF%D0%B8%D1%8F_">
            <w:r>
              <w:rPr>
                <w:rStyle w:val="Style14"/>
              </w:rPr>
              <w:t>1.3.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870_3910265972_%D0%9A%D0%BE%D0%BF%D0%B8%D1%8F_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868_3910265972">
            <w:r>
              <w:rPr>
                <w:rStyle w:val="Style14"/>
              </w:rPr>
              <w:t>1.4. Информация в отношении исполнения договора, которая должна быть учтена при подготовке заявки (в том числе перечень ресурсов и документов, предоставляемых заказчиком на этапе исполнения договора)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872_3910265972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876_3910265972">
            <w:r>
              <w:rPr>
                <w:rStyle w:val="Style14"/>
              </w:rPr>
              <w:t>2.1. Требования к объёмам и срокам выполнения Работ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878_3910265972">
            <w:r>
              <w:rPr>
                <w:rStyle w:val="Style14"/>
              </w:rPr>
              <w:t>2.1.1. Требования к видам и объёмам Работ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880_3910265972">
            <w:r>
              <w:rPr>
                <w:rStyle w:val="Style14"/>
              </w:rPr>
              <w:t>Таблица 2. Перечень и объем выполняемых Работ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882_3910265972">
            <w:r>
              <w:rPr>
                <w:rStyle w:val="Style14"/>
              </w:rPr>
              <w:t>2.1.2. Требования к срокам выполнения Работ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884_3910265972">
            <w:r>
              <w:rPr>
                <w:rStyle w:val="Style14"/>
              </w:rPr>
              <w:t>Таблица 3. Требования по срокам выполнения Работ</w:t>
              <w:tab/>
              <w:t>8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886_3910265972">
            <w:r>
              <w:rPr>
                <w:rStyle w:val="Style14"/>
              </w:rPr>
              <w:t>2.2. Требования к качеству Работ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888_3910265972">
            <w:r>
              <w:rPr>
                <w:rStyle w:val="Style14"/>
              </w:rPr>
              <w:t>Таблица 4. Требования к качеству Работ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3956_102619219">
            <w:r>
              <w:rPr>
                <w:rStyle w:val="Style14"/>
              </w:rPr>
              <w:t>3. Требования к ценообразованию:</w:t>
              <w:tab/>
              <w:t>11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1280_703139062">
            <w:r>
              <w:rPr>
                <w:rStyle w:val="Style14"/>
              </w:rPr>
              <w:t>3.1 Требования к документации по ценообразованию.</w:t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2167_383724698">
            <w:r>
              <w:rPr>
                <w:rStyle w:val="Style14"/>
              </w:rPr>
              <w:t>4. Приложение.</w:t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Contents1"/>
        <w:tabs>
          <w:tab w:val="clear" w:pos="708"/>
          <w:tab w:val="left" w:pos="560" w:leader="none"/>
          <w:tab w:val="right" w:pos="9911" w:leader="dot"/>
        </w:tabs>
        <w:rPr>
          <w:rFonts w:ascii="Times New Roman" w:hAnsi="Times New Roman"/>
        </w:rPr>
      </w:pPr>
      <w:r>
        <w:rPr/>
      </w:r>
    </w:p>
    <w:p>
      <w:pPr>
        <w:pStyle w:val="Contents1"/>
        <w:tabs>
          <w:tab w:val="clear" w:pos="708"/>
          <w:tab w:val="right" w:pos="9911" w:leader="dot"/>
        </w:tabs>
        <w:rPr>
          <w:rFonts w:ascii="Times New Roman" w:hAnsi="Times New Roman"/>
          <w:b w:val="false"/>
          <w:i/>
          <w:i/>
        </w:rPr>
      </w:pPr>
      <w:r>
        <w:rPr>
          <w:b w:val="false"/>
          <w:i/>
        </w:rPr>
      </w:r>
    </w:p>
    <w:p>
      <w:pPr>
        <w:pStyle w:val="Standard"/>
        <w:keepNext w:val="true"/>
        <w:keepLines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1"/>
        </w:numPr>
        <w:spacing w:before="0" w:after="60"/>
        <w:ind w:left="0" w:hanging="0"/>
        <w:jc w:val="center"/>
        <w:rPr>
          <w:rFonts w:ascii="Times New Roman" w:hAnsi="Times New Roman"/>
        </w:rPr>
      </w:pPr>
      <w:bookmarkStart w:id="0" w:name="__RefHeading___Toc3862_3910265972"/>
      <w:bookmarkStart w:id="1" w:name="_Toc186207923"/>
      <w:bookmarkStart w:id="2" w:name="_Toc233977657"/>
      <w:bookmarkEnd w:id="0"/>
      <w:r>
        <w:rPr>
          <w:iCs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12"/>
        </w:numPr>
        <w:rPr>
          <w:sz w:val="22"/>
          <w:szCs w:val="22"/>
        </w:rPr>
      </w:pPr>
      <w:bookmarkStart w:id="3" w:name="__RefHeading___Toc3864_3910265972"/>
      <w:bookmarkStart w:id="4" w:name="_Toc186207924"/>
      <w:bookmarkStart w:id="5" w:name="_Toc46743506"/>
      <w:bookmarkStart w:id="6" w:name="_Toc233977658"/>
      <w:bookmarkEnd w:id="3"/>
      <w:r>
        <w:rPr>
          <w:sz w:val="22"/>
          <w:szCs w:val="22"/>
        </w:rPr>
        <w:t>Наименование закупаемой продукции</w:t>
      </w:r>
      <w:bookmarkEnd w:id="4"/>
      <w:bookmarkEnd w:id="5"/>
      <w:bookmarkEnd w:id="6"/>
    </w:p>
    <w:p>
      <w:pPr>
        <w:pStyle w:val="Standard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rFonts w:eastAsia="Calibri"/>
          <w:i/>
          <w:iCs/>
          <w:sz w:val="22"/>
          <w:szCs w:val="22"/>
          <w:shd w:fill="auto" w:val="clear"/>
        </w:rPr>
        <w:t>ОКПД 2: 43.12.11.150 Комплекс работ по подпорным, противофильтрационным и усиливающим сооружениям здания станционного узла Загорской ГАЭС-2</w:t>
      </w:r>
    </w:p>
    <w:p>
      <w:pPr>
        <w:pStyle w:val="Heading4"/>
        <w:spacing w:before="240" w:after="60"/>
        <w:ind w:left="0" w:hanging="0"/>
        <w:rPr>
          <w:sz w:val="22"/>
          <w:szCs w:val="22"/>
        </w:rPr>
      </w:pPr>
      <w:bookmarkStart w:id="7" w:name="__RefHeading___Toc3866_3910265972"/>
      <w:bookmarkStart w:id="8" w:name="_Toc233977659"/>
      <w:bookmarkEnd w:id="7"/>
      <w:r>
        <w:rPr>
          <w:sz w:val="22"/>
          <w:szCs w:val="22"/>
        </w:rPr>
        <w:t xml:space="preserve">1.2. </w:t>
      </w:r>
      <w:bookmarkStart w:id="9" w:name="_Toc186207925"/>
      <w:bookmarkStart w:id="10" w:name="_Toc46743507"/>
      <w:r>
        <w:rPr>
          <w:sz w:val="22"/>
          <w:szCs w:val="22"/>
        </w:rPr>
        <w:t xml:space="preserve">Цель </w:t>
      </w:r>
      <w:bookmarkEnd w:id="10"/>
      <w:r>
        <w:rPr>
          <w:sz w:val="22"/>
          <w:szCs w:val="22"/>
        </w:rPr>
        <w:t>выполнения Работ</w:t>
      </w:r>
      <w:bookmarkEnd w:id="8"/>
      <w:bookmarkEnd w:id="9"/>
    </w:p>
    <w:p>
      <w:pPr>
        <w:pStyle w:val="Standard"/>
        <w:spacing w:before="0" w:after="0"/>
        <w:contextualSpacing/>
        <w:jc w:val="both"/>
        <w:rPr/>
      </w:pPr>
      <w:r>
        <w:rPr>
          <w:rStyle w:val="Style8"/>
          <w:b w:val="false"/>
          <w:bCs/>
          <w:sz w:val="22"/>
          <w:szCs w:val="22"/>
          <w:shd w:fill="auto" w:val="clear"/>
        </w:rPr>
        <w:t>Целью работ является обеспечение надежности здания станционного узла Загорской ГАЭС-2 и прилегающих сооружений.</w:t>
      </w:r>
    </w:p>
    <w:p>
      <w:pPr>
        <w:pStyle w:val="Heading4"/>
        <w:ind w:left="0" w:hanging="0"/>
        <w:rPr>
          <w:sz w:val="22"/>
          <w:szCs w:val="22"/>
        </w:rPr>
      </w:pPr>
      <w:bookmarkStart w:id="11" w:name="__RefHeading___Toc3868_3910265972_Копия_"/>
      <w:bookmarkStart w:id="12" w:name="_Toc233977660"/>
      <w:bookmarkEnd w:id="11"/>
      <w:r>
        <w:rPr>
          <w:sz w:val="22"/>
          <w:szCs w:val="22"/>
        </w:rPr>
        <w:t xml:space="preserve">1.3. </w:t>
      </w:r>
      <w:bookmarkStart w:id="13" w:name="_Toc46743508_Копия_1"/>
      <w:bookmarkStart w:id="14" w:name="_Toc186207926_Копия_1"/>
      <w:r>
        <w:rPr>
          <w:sz w:val="22"/>
          <w:szCs w:val="22"/>
        </w:rPr>
        <w:t>Существующее положение</w:t>
      </w:r>
      <w:bookmarkEnd w:id="12"/>
      <w:bookmarkEnd w:id="13"/>
      <w:bookmarkEnd w:id="14"/>
    </w:p>
    <w:p>
      <w:pPr>
        <w:pStyle w:val="Standard"/>
        <w:widowControl w:val="false"/>
        <w:shd w:val="clear" w:color="auto" w:fill="FFFFFF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2"/>
          <w:szCs w:val="22"/>
          <w:shd w:fill="FFFFFF" w:val="clear"/>
        </w:rPr>
        <w:t>Р</w:t>
      </w:r>
      <w:r>
        <w:rPr>
          <w:rStyle w:val="Style8"/>
          <w:b w:val="false"/>
          <w:bCs/>
          <w:sz w:val="22"/>
          <w:szCs w:val="22"/>
          <w:shd w:fill="FFFFFF" w:val="clear"/>
        </w:rPr>
        <w:t>аботы производятся на объекте имеющем высокую степень готовности. Часть существующих конструкций требует дополнительного воздействия и выполнения соответствующих мероприятий для обеспечения их надежности.</w:t>
      </w:r>
    </w:p>
    <w:p>
      <w:pPr>
        <w:pStyle w:val="Heading1"/>
        <w:keepLines/>
        <w:tabs>
          <w:tab w:val="clear" w:pos="1224"/>
        </w:tabs>
        <w:spacing w:before="240" w:after="60"/>
        <w:ind w:left="0" w:hanging="0"/>
        <w:rPr>
          <w:sz w:val="22"/>
          <w:szCs w:val="22"/>
        </w:rPr>
      </w:pPr>
      <w:bookmarkStart w:id="15" w:name="__RefHeading___Toc3870_3910265972_Копия_"/>
      <w:bookmarkStart w:id="16" w:name="_Toc186207927_Копия_1"/>
      <w:bookmarkStart w:id="17" w:name="_Toc233977661"/>
      <w:bookmarkEnd w:id="15"/>
      <w:r>
        <w:rPr>
          <w:sz w:val="22"/>
          <w:szCs w:val="22"/>
        </w:rPr>
        <w:t>Таблица 1. Перечень объектов заказчика</w:t>
      </w:r>
      <w:bookmarkEnd w:id="16"/>
      <w:bookmarkEnd w:id="17"/>
    </w:p>
    <w:tbl>
      <w:tblPr>
        <w:tblW w:w="9806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06"/>
        <w:gridCol w:w="3011"/>
        <w:gridCol w:w="6189"/>
      </w:tblGrid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производства работ)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>
        <w:trPr>
          <w:trHeight w:val="881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right="11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Загорская ГАЭС-2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right="11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область, г. Сергиев Посад, рабочий посёлок Богородское</w:t>
            </w:r>
          </w:p>
        </w:tc>
      </w:tr>
    </w:tbl>
    <w:p>
      <w:pPr>
        <w:pStyle w:val="Heading4"/>
        <w:ind w:left="0" w:hanging="0"/>
        <w:jc w:val="both"/>
        <w:rPr>
          <w:sz w:val="22"/>
          <w:szCs w:val="22"/>
        </w:rPr>
      </w:pPr>
      <w:bookmarkStart w:id="18" w:name="__RefHeading___Toc3868_3910265972"/>
      <w:bookmarkStart w:id="19" w:name="_Toc233977662"/>
      <w:bookmarkEnd w:id="18"/>
      <w:r>
        <w:rPr>
          <w:sz w:val="22"/>
          <w:szCs w:val="22"/>
        </w:rPr>
        <w:t xml:space="preserve">1.4. </w:t>
      </w:r>
      <w:bookmarkStart w:id="20" w:name="_Toc46743509"/>
      <w:bookmarkStart w:id="21" w:name="_Hlk49857604"/>
      <w:bookmarkStart w:id="22" w:name="_Toc54643700"/>
      <w:r>
        <w:rPr>
          <w:sz w:val="22"/>
          <w:szCs w:val="22"/>
        </w:rPr>
        <w:t xml:space="preserve">Информация в отношении исполнения договора, </w:t>
      </w:r>
      <w:bookmarkStart w:id="23" w:name="_Hlk46492347"/>
      <w:r>
        <w:rPr>
          <w:sz w:val="22"/>
          <w:szCs w:val="22"/>
        </w:rPr>
        <w:t xml:space="preserve">которая должна быть учтена при подготовке заявки </w:t>
      </w:r>
      <w:bookmarkEnd w:id="23"/>
      <w:r>
        <w:rPr>
          <w:sz w:val="22"/>
          <w:szCs w:val="22"/>
        </w:rPr>
        <w:t>(в том числе перечень ресурсов и документов, предоставляемых заказчиком на этапе исполнения договора)</w:t>
      </w:r>
      <w:bookmarkEnd w:id="19"/>
      <w:bookmarkEnd w:id="20"/>
      <w:bookmarkEnd w:id="21"/>
      <w:bookmarkEnd w:id="22"/>
    </w:p>
    <w:p>
      <w:pPr>
        <w:pStyle w:val="ListParagraph"/>
        <w:widowControl w:val="false"/>
        <w:tabs>
          <w:tab w:val="clear" w:pos="708"/>
          <w:tab w:val="left" w:pos="8640" w:leader="none"/>
        </w:tabs>
        <w:spacing w:before="0" w:after="120"/>
        <w:ind w:left="0" w:hanging="0"/>
        <w:contextualSpacing w:val="false"/>
        <w:jc w:val="both"/>
        <w:rPr/>
      </w:pPr>
      <w:r>
        <w:rPr>
          <w:rStyle w:val="Style8"/>
          <w:rFonts w:eastAsia="Times New Roman"/>
          <w:b w:val="false"/>
          <w:bCs/>
          <w:i w:val="false"/>
          <w:sz w:val="22"/>
          <w:szCs w:val="22"/>
          <w:shd w:fill="auto" w:val="clear"/>
        </w:rPr>
        <w:t>1.4.1. Заказчик предоставляет Подрядчику техническую и иную документацию, указанную в Приложении № 1 к настоящим Техническим требованиям, необходимую для выполнения работ.</w:t>
      </w:r>
    </w:p>
    <w:p>
      <w:pPr>
        <w:pStyle w:val="ListParagraph"/>
        <w:widowControl w:val="false"/>
        <w:tabs>
          <w:tab w:val="clear" w:pos="708"/>
          <w:tab w:val="left" w:pos="8640" w:leader="none"/>
        </w:tabs>
        <w:spacing w:before="0" w:after="120"/>
        <w:ind w:left="0" w:hanging="0"/>
        <w:contextualSpacing w:val="false"/>
        <w:jc w:val="both"/>
        <w:rPr/>
      </w:pPr>
      <w:r>
        <w:rPr>
          <w:rStyle w:val="Style8"/>
          <w:rFonts w:eastAsia="Times New Roman"/>
          <w:b w:val="false"/>
          <w:bCs/>
          <w:i w:val="false"/>
          <w:sz w:val="22"/>
          <w:szCs w:val="22"/>
          <w:shd w:fill="auto" w:val="clear"/>
        </w:rPr>
        <w:t>1.4.2. Для выполнения работ Заказчик, на основании обращения Подрядчика, выдаёт технические условия и предоставляет Подрядчику точку подключения энергопринимающих устройств. Все работы по обеспечению систем энергоснабжения и учёта энергоресурсов выполняется силами и средствами Подрядчика. Электроэнергия, потребляемая Подрядчиком, подлежит возмещению Заказчику в порядке и размерах, установленных договором.</w:t>
      </w:r>
    </w:p>
    <w:p>
      <w:pPr>
        <w:pStyle w:val="Heading1"/>
        <w:keepLines/>
        <w:numPr>
          <w:ilvl w:val="0"/>
          <w:numId w:val="14"/>
        </w:numPr>
        <w:ind w:left="0" w:hanging="0"/>
        <w:jc w:val="center"/>
        <w:rPr>
          <w:sz w:val="22"/>
          <w:szCs w:val="22"/>
        </w:rPr>
      </w:pPr>
      <w:bookmarkStart w:id="24" w:name="__RefHeading___Toc3872_3910265972"/>
      <w:bookmarkStart w:id="25" w:name="_Toc51339693"/>
      <w:bookmarkStart w:id="26" w:name="_Toc186207930"/>
      <w:bookmarkStart w:id="27" w:name="_Toc233977663"/>
      <w:bookmarkEnd w:id="24"/>
      <w:r>
        <w:rPr>
          <w:iCs/>
          <w:sz w:val="22"/>
          <w:szCs w:val="22"/>
        </w:rPr>
        <w:t>Требования к продукции</w:t>
      </w:r>
      <w:bookmarkEnd w:id="25"/>
      <w:bookmarkEnd w:id="26"/>
      <w:bookmarkEnd w:id="27"/>
    </w:p>
    <w:p>
      <w:pPr>
        <w:pStyle w:val="Heading4"/>
        <w:ind w:left="0" w:hanging="0"/>
        <w:rPr>
          <w:sz w:val="22"/>
          <w:szCs w:val="22"/>
        </w:rPr>
      </w:pPr>
      <w:bookmarkStart w:id="28" w:name="__RefHeading___Toc3876_3910265972"/>
      <w:bookmarkStart w:id="29" w:name="_Toc233977664"/>
      <w:bookmarkEnd w:id="28"/>
      <w:r>
        <w:rPr>
          <w:sz w:val="22"/>
          <w:szCs w:val="22"/>
        </w:rPr>
        <w:t xml:space="preserve">2.1. </w:t>
      </w:r>
      <w:bookmarkStart w:id="30" w:name="_Toc186207931"/>
      <w:r>
        <w:rPr>
          <w:sz w:val="22"/>
          <w:szCs w:val="22"/>
        </w:rPr>
        <w:t>Требования к объёмам и срокам выполнения Работ</w:t>
      </w:r>
      <w:bookmarkEnd w:id="29"/>
      <w:bookmarkEnd w:id="30"/>
    </w:p>
    <w:p>
      <w:pPr>
        <w:pStyle w:val="Heading3"/>
        <w:ind w:left="0" w:hanging="0"/>
        <w:rPr>
          <w:sz w:val="22"/>
          <w:szCs w:val="22"/>
        </w:rPr>
      </w:pPr>
      <w:bookmarkStart w:id="31" w:name="__RefHeading___Toc3878_3910265972"/>
      <w:bookmarkStart w:id="32" w:name="_Toc233977665"/>
      <w:bookmarkEnd w:id="31"/>
      <w:r>
        <w:rPr>
          <w:sz w:val="22"/>
          <w:szCs w:val="22"/>
        </w:rPr>
        <w:t xml:space="preserve">2.1.1. </w:t>
      </w:r>
      <w:bookmarkStart w:id="33" w:name="_Toc186207932"/>
      <w:r>
        <w:rPr>
          <w:sz w:val="22"/>
          <w:szCs w:val="22"/>
        </w:rPr>
        <w:t>Требования к видам и объёмам Работ</w:t>
      </w:r>
      <w:bookmarkEnd w:id="32"/>
      <w:bookmarkEnd w:id="33"/>
    </w:p>
    <w:p>
      <w:pPr>
        <w:pStyle w:val="Heading1"/>
        <w:keepLines/>
        <w:tabs>
          <w:tab w:val="clear" w:pos="1224"/>
        </w:tabs>
        <w:spacing w:before="240" w:after="60"/>
        <w:ind w:left="0" w:hanging="0"/>
        <w:rPr>
          <w:sz w:val="22"/>
          <w:szCs w:val="22"/>
        </w:rPr>
      </w:pPr>
      <w:bookmarkStart w:id="34" w:name="__RefHeading___Toc3880_3910265972"/>
      <w:bookmarkStart w:id="35" w:name="_Toc233977666"/>
      <w:bookmarkStart w:id="36" w:name="_Toc51339695"/>
      <w:bookmarkStart w:id="37" w:name="_Toc186207933"/>
      <w:bookmarkEnd w:id="34"/>
      <w:r>
        <w:rPr>
          <w:sz w:val="22"/>
          <w:szCs w:val="22"/>
        </w:rPr>
        <w:t xml:space="preserve">Таблица 2. Перечень </w:t>
      </w:r>
      <w:bookmarkEnd w:id="36"/>
      <w:r>
        <w:rPr>
          <w:sz w:val="22"/>
          <w:szCs w:val="22"/>
        </w:rPr>
        <w:t>и объем выполняемых Работ</w:t>
      </w:r>
      <w:bookmarkEnd w:id="35"/>
      <w:bookmarkEnd w:id="37"/>
    </w:p>
    <w:tbl>
      <w:tblPr>
        <w:tblW w:w="9925" w:type="dxa"/>
        <w:jc w:val="left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843"/>
        <w:gridCol w:w="6775"/>
        <w:gridCol w:w="709"/>
        <w:gridCol w:w="1597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bookmarkStart w:id="38" w:name="__RefHeading___Toc20613_383724698"/>
            <w:bookmarkEnd w:id="38"/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bookmarkStart w:id="39" w:name="__RefHeading___Toc20615_383724698"/>
            <w:bookmarkEnd w:id="39"/>
            <w:r>
              <w:rPr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bookmarkStart w:id="40" w:name="__RefHeading___Toc20617_383724698"/>
            <w:bookmarkEnd w:id="40"/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bookmarkStart w:id="41" w:name="__RefHeading___Toc20621_383724698"/>
            <w:bookmarkEnd w:id="41"/>
            <w:r>
              <w:rPr>
                <w:color w:val="000000"/>
                <w:sz w:val="22"/>
                <w:szCs w:val="22"/>
              </w:rPr>
              <w:t>Объёмы к Техническим требованиям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bookmarkStart w:id="42" w:name="__RefHeading___Toc20623_383724698"/>
            <w:bookmarkEnd w:id="42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bookmarkStart w:id="43" w:name="__RefHeading___Toc20625_383724698"/>
            <w:bookmarkEnd w:id="43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bookmarkStart w:id="44" w:name="__RefHeading___Toc20627_383724698"/>
            <w:bookmarkEnd w:id="44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bookmarkStart w:id="45" w:name="__RefHeading___Toc20631_383724698"/>
            <w:bookmarkEnd w:id="45"/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Восстановление Загорской ГАЭС -2 на р. Кунье. Восстановительные работы. Станционный узел. Закрепление грунтового массива основания ПС-3 методом Jet-grouting (Черт. 1938-14-130)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Зоны цементации А и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Роторное бурение скважин с прямой промывкой чистой водой станками с дизельным двигателем глубиной бурения до 50 м в грунтах группы: 3( вертикальных диаметром 151 мм)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Долото трехшарошечное III 151 К-ЦВ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69,4980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2089,80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Цементация грунтов восходящим способом при поглощении цемента 450 кг (цемент 450 кг+вода 450 кг)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общестроительного назначения бездобавочный М500 ДО (ЦЕМ I 42,5Н)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437,40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437,40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Роторное бурение скважин с прямой промывкой чистой водой станками с дизельным двигателем глубиной бурения до 50 м в грунтах группы: 3 (при вращательном бурении с углом наклона к горизонту, в градусах: св. 65 до 80, диаметром 151 мм)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4429,00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Долото трехшарошечное III 151 К-ЦВ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316,6735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9522,35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Цементация грунтов восходящим способом при поглощении цемента до 200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4429,00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общестроительного назначения бездобавочный М500 ДО (ЦЕМ I 42,5Н)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Зона цементации 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Роторное бурение скважин с прямой промывкой чистой водой станками с дизельным двигателем глубиной бурения до 50 м в грунтах группы: 3( вертикальных диаметром 151 мм)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Долото трехшарошечное III 151 К-ЦВ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94,0225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2827,25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Цементация грунтов восходящим способом при поглощении цемента 450 кг (цемент 450 кг+вода 450 кг)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общестроительного назначения бездобавочный М500 ДО (ЦЕМ I 42,5Н)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Роторное бурение скважин с прямой промывкой чистой водой станками с дизельным двигателем глубиной бурения до 50 м в грунтах группы: 3 (при вращательном бурении с углом наклона к горизонту, в градусах: св. 65 до 80, диаметром 151 мм)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3289,00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Долото трехшарошечное III 151 К-ЦВ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235,1635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7071,35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Цементация грунтов восходящим способом при поглощении цемента до 200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общестроительного назначения бездобавочный М500 ДО (ЦЕМ I 42,5Н)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Зоны цементации D и 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Роторное бурение скважин с прямой промывкой чистой водой станками с дизельным двигателем глубиной бурения до 50 м в грунтах группы: 3( вертикальных диаметром 151 мм)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3124,80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Долото трехшарошечное III 151 К-ЦВ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223,4232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6718,32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Цементация грунтов восходящим способом при поглощении цемента 450 кг (цемент 450 кг+вода 450 кг)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3124,80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общестроительного назначения бездобавочный М500 ДО (ЦЕМ I 42,5Н)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1406,16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1406,16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Роторное бурение скважин с прямой промывкой чистой водой станками с дизельным двигателем глубиной бурения до 50 м в грунтах группы: 3 (при вращательном бурении с углом наклона к горизонту, в градусах: св. 65 до 80, диаметром 151 мм)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Долото трехшарошечное III 151 К-ЦВ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1608,18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48357,80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Цементация грунтов восходящим способом при поглощении цемента до 200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общестроительного назначения бездобавочный М500 ДО (ЦЕМ I 42,5Н)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Прочие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Колонковое бурение скважин станками с электродвигателем глубиной бурения до 50 м в грунтах группы: 2 для отбора кернов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грунта в отвал экскаваторами "драглайн" или "обратная лопата" с ковшом вместимостью: 0,65 (0,5-1) м3, группа грунтов 2 (засыпка ямы на отм. 140,800 с отм. 166,400 вниз)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Засыпка вручную ямы в отм.141,800-140,800, группа грунтов: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дорог из сборных железобетонных плит площадью: до 3 м2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м2/ 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126/ 22,68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дорожные 1ДПШ13-30А-I\/, бетон ВЗО, объем 0,36 м3, расход арматуры 16,25 кг, постельная площадь 2,00 м2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Разборка дорог из сборных железобетонных плит площадью: до 3 м2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м2/ 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126/22,68</w:t>
            </w:r>
          </w:p>
        </w:tc>
      </w:tr>
      <w:tr>
        <w:trPr>
          <w:trHeight w:val="993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грунта в траншеях и котлованах глубиной более 3 м вручную с подъёмом краном при наличии креплений, группа грунтов: 1 (грунт от бурения)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Перевозка грузов автомобилями-самосвалами грузоподъёмностью 10т работающих вне карьера на расстояние: I класс груза до 4 км , работа на отвале группа грунтов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м3/ 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622/ 1090,988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II.</w:t>
            </w:r>
          </w:p>
        </w:tc>
        <w:tc>
          <w:tcPr>
            <w:tcW w:w="9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Загорская ГАЭС-2 на р. Кунье (достройка). Напорные водоводы. Пригруз основания в примыкании изданию ГАЭС.  (черт. 2348-13-001)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Земляные работы: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Выемка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13 920,00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F150 М800 фракции 5-20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F150 М800 фракции 20-40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Бетонные работы: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Бетонная подготовка В7,5 t=10см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 класса В25 W6 F150 ГОСТ 26633-2015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бетона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Уплотнение: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Гидроизоляционные шпонки "АКВАСТОП"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п.м.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пенополистирольные ППС45-Т-1000x1000x20 ГОСТ 15588-2014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п.м.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пенополистирольные ППС45-Т-1000x1000x50 ГОСТ 15588-2014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Загорская ГАЭС-2 на р. Кунье (достройка). Станционный узел. Подпорная стенка №7. Свайное поле. (Черт. 2348-14-007)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свай подпорной стенки ПС7 </w:t>
            </w:r>
            <w:r>
              <w:rPr>
                <w:sz w:val="22"/>
                <w:szCs w:val="22"/>
              </w:rPr>
              <w:t>(3 сваи L=40 м, 15 свай L=30 м,  27 свай L=25 м), 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 класса В20 ГОСТ 26633-2015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Ø40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119 577,02</w:t>
            </w:r>
          </w:p>
        </w:tc>
      </w:tr>
      <w:tr>
        <w:trPr>
          <w:trHeight w:val="121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Ø32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135 538,80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Ø12 А240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10 908,93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Полоса 10х100 ГОСТ 27772-78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1 395,20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Загорская ГАЭС-2 нар. Кунье (достройка). Станционный узел. Правобережная подпорная стенка нижнего бьефа ПС-7 (Черт. 2438-14-008)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ПС7, </w:t>
            </w: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 класса B20</w:t>
            </w:r>
            <w:r>
              <w:rPr>
                <w:sz w:val="22"/>
                <w:szCs w:val="22"/>
                <w:vertAlign w:val="subscript"/>
              </w:rPr>
              <w:t xml:space="preserve">180 </w:t>
            </w:r>
            <w:r>
              <w:rPr>
                <w:sz w:val="22"/>
                <w:szCs w:val="22"/>
              </w:rPr>
              <w:t xml:space="preserve">W6 F200 ГОСТ 26633-2015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2 790,00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Ø16 А240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5 183,93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Ø16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21 556,88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Ø18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12 319,87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Ø20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4 120,03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Ø25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5 794,07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Ø28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4 775,96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Ø32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5 133,01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Ø36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уплотнения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Ø12 А240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 t=2 мм марки 12Х18Н10Т ГОСТ5582-75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Уголок 50x5 марки Ст3сп5-св гост 8509-93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9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Загорская ГАЭС-2 нар. Кунье (достройка). Станционный узел. Устройство буронабивных свай в примыкании к ПС-3 Здания ГАЭС со стороны НБ (Черт. 2438-14-009)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свай в примыкании к ПС-3 </w:t>
            </w:r>
            <w:r>
              <w:rPr>
                <w:sz w:val="22"/>
                <w:szCs w:val="22"/>
              </w:rPr>
              <w:t xml:space="preserve">(бурокасательные: 1 шт L=14 м,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 шт L=13 м, 1 шт L=14 м; буросекущие: 3 шт L=12 м), в том числе: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 класса B25 W8 F150 ГОСТ 26633-2015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Ø10 А240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Ø25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7 157,00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820х10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ГСЦ Ø700мм </w:t>
            </w:r>
            <w:r>
              <w:rPr>
                <w:sz w:val="22"/>
                <w:szCs w:val="22"/>
              </w:rPr>
              <w:t>(средняя длина 13 м), расход цемента 0,45 тн на 1 м, 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расход цемента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216,45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форшахты, </w:t>
            </w: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 класса B25 W8 F150 ГОСТ 26633-2015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Ø8 А240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Ø12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130,97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9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Загорская ГАЭС-2 на р. Кунье ( достройка). Станционный узел. Нижний бьеф. Стена из буросекущих свай. (черт 2438-14-010)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Буросекущие сваи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 класса B25 W8 F150 ГОСТ 26633-2015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966,78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Ø10 А240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5 587,00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Ø25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55 440,00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закладные (труба 820х10)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ГСЦ Ø700мм </w:t>
            </w:r>
            <w:r>
              <w:rPr>
                <w:sz w:val="22"/>
                <w:szCs w:val="22"/>
              </w:rPr>
              <w:t>(11 шт L=4,24 м, 3 шт L=7,4 м), расход цемента 0,45 тн на 1 м, 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расход цемента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форшахты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 класса B25 W8 F150 ГОСТ 26633-2015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Ø8 А240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918,69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Ø12 А500С ГОСТ 34028-2016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1 425,69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9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Загорская ГАЭС-2 на р. Кунье ( достройка). Станционный узел. Восстановление крепления правого откоса реверсивного канала. (черт 2438-14-011)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железобетона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насыпь основания откоса и примыкания к ПС-7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Крепление правого берега реверсивного канала ж.б. плитами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Ручная планировка гравия t=100мм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Трамбовка гравия виброплитами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Монолитный бетон B15180 W6 F300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Монолитный бетон B15180 W6 F300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Опалубка штрабная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Армосетка 4Ср5 Вр-1 100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14 900,00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</w:t>
            </w:r>
            <w:r>
              <w:rPr>
                <w:sz w:val="22"/>
                <w:szCs w:val="22"/>
              </w:rPr>
              <w:t xml:space="preserve"> Ø16 мм А500С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37 520,00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монтажная арматура Ø10-12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11 080,00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мастика Брит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доска антисептированная t=19 мм, h=175 мм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Наклейка техноэласта t=4 мм в 4 слоя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40,00 </w:t>
            </w:r>
            <w:r>
              <w:rPr>
                <w:sz w:val="22"/>
                <w:szCs w:val="22"/>
              </w:rPr>
              <w:t>(площадь одного слоя)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А/ц трубы Ø200 L=0,25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А/ц трубы Ø200 L=0,55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Гравий фр. 40-70 мм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Геотекстиль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4 610,00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Техноэласт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Дренаж под бетонное крепление откосов правого берега реверсивного канала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Гравий фр.5-70 мм t=500 мм с расклинкой верхнего слоя фр.5-20 мм t=30 мм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Геотекстиль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ср. зерн. с Кф&gt;1 м/сут t=0,2 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Дренаж за стенкой ПС-7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Насыпь песка ср. зерн. с Кф&gt;1 м/сут t=0,2 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Насыпь гравия фр.5-70 мм t=0,3 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Насыпь песка фракционного 0,5-2 мм t=0,2 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Сетка рабица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Укладка геотекстиля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1 042,00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Насыпь гравия фр. 2-10 мм t=0,3 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Насыпь гравия фр. 20-40 мм t=0,4 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Насыпь песка ср. зерн. с Кф&gt;5 м/сут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Загорская ГАЭС-2 на р. Кунье ( достройка). </w:t>
            </w:r>
            <w:r>
              <w:rPr>
                <w:b/>
                <w:bCs/>
                <w:sz w:val="22"/>
                <w:szCs w:val="22"/>
              </w:rPr>
              <w:t>Здание ГАЭС. Понур</w:t>
            </w:r>
            <w:r>
              <w:rPr>
                <w:b/>
                <w:bCs/>
                <w:sz w:val="22"/>
                <w:szCs w:val="22"/>
              </w:rPr>
              <w:t xml:space="preserve"> (черт 2438-14-0</w:t>
            </w:r>
            <w:r>
              <w:rPr>
                <w:b/>
                <w:bCs/>
                <w:sz w:val="22"/>
                <w:szCs w:val="22"/>
              </w:rPr>
              <w:t>06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железобетона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>
              <w:rPr>
                <w:sz w:val="22"/>
                <w:szCs w:val="22"/>
              </w:rPr>
              <w:t>,00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Выемка грунта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насыпь с уплотнением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Вырубка бетона М350 фундаментной плиты с сохранением арматуры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Бетонная подготовка (бетон В7,5)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штрабы ремонтным составом после монтажа шпонки У2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 В15W6F100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Арматура А500С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опалубливаемой поверхности блоков бетонирования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Окраска внешних бетонных поверхностей горячим битумом за 2 раза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Техноэласт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 -2х180, 12х18Н10Т ГОСТ 5582-75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 -2х300, 12х18Н10Т ГОСТ 5582-75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 -2х5х800, 12х18Н10Т ГОСТ 5582-75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 -2х700, 12х18Н10Т ГОСТ 5582-75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Шпонка Аквастоп ДЗС-140/55-2/40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 антисептированный 60х100 мм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 антисептированный 80х150 мм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</w:tbl>
    <w:p>
      <w:pPr>
        <w:pStyle w:val="Heading3"/>
        <w:ind w:left="0" w:hanging="0"/>
        <w:rPr>
          <w:sz w:val="22"/>
          <w:szCs w:val="22"/>
        </w:rPr>
      </w:pPr>
      <w:bookmarkStart w:id="46" w:name="__RefHeading___Toc3882_3910265972"/>
      <w:bookmarkStart w:id="47" w:name="_Toc233977667"/>
      <w:bookmarkEnd w:id="46"/>
      <w:r>
        <w:rPr>
          <w:sz w:val="22"/>
          <w:szCs w:val="22"/>
        </w:rPr>
        <w:t xml:space="preserve">2.1.2. </w:t>
      </w:r>
      <w:bookmarkStart w:id="48" w:name="_Toc186207934"/>
      <w:bookmarkStart w:id="49" w:name="_Toc51339696"/>
      <w:r>
        <w:rPr>
          <w:sz w:val="22"/>
          <w:szCs w:val="22"/>
        </w:rPr>
        <w:t xml:space="preserve">Требования </w:t>
      </w:r>
      <w:bookmarkEnd w:id="49"/>
      <w:r>
        <w:rPr>
          <w:sz w:val="22"/>
          <w:szCs w:val="22"/>
        </w:rPr>
        <w:t>к срокам выполнения Рабо</w:t>
      </w:r>
      <w:bookmarkEnd w:id="48"/>
      <w:r>
        <w:rPr>
          <w:sz w:val="22"/>
          <w:szCs w:val="22"/>
        </w:rPr>
        <w:t>т</w:t>
      </w:r>
      <w:bookmarkEnd w:id="47"/>
    </w:p>
    <w:p>
      <w:pPr>
        <w:pStyle w:val="Heading1"/>
        <w:keepLines/>
        <w:tabs>
          <w:tab w:val="clear" w:pos="1224"/>
        </w:tabs>
        <w:spacing w:before="240" w:after="60"/>
        <w:ind w:left="0" w:hanging="0"/>
        <w:rPr>
          <w:sz w:val="22"/>
          <w:szCs w:val="22"/>
        </w:rPr>
      </w:pPr>
      <w:bookmarkStart w:id="50" w:name="__RefHeading___Toc3884_3910265972"/>
      <w:bookmarkStart w:id="51" w:name="_Toc50125126_Копия_1"/>
      <w:bookmarkStart w:id="52" w:name="_Toc233977668"/>
      <w:bookmarkStart w:id="53" w:name="_Toc50125127"/>
      <w:bookmarkStart w:id="54" w:name="_Toc51339697"/>
      <w:bookmarkStart w:id="55" w:name="_Toc186207935"/>
      <w:bookmarkEnd w:id="50"/>
      <w:bookmarkEnd w:id="51"/>
      <w:r>
        <w:rPr>
          <w:sz w:val="22"/>
          <w:szCs w:val="22"/>
        </w:rPr>
        <w:t xml:space="preserve">Таблица 3. </w:t>
      </w:r>
      <w:bookmarkStart w:id="56" w:name="_Hlk50465284"/>
      <w:r>
        <w:rPr>
          <w:sz w:val="22"/>
          <w:szCs w:val="22"/>
        </w:rPr>
        <w:t xml:space="preserve">Требования по срокам </w:t>
      </w:r>
      <w:bookmarkEnd w:id="53"/>
      <w:bookmarkEnd w:id="54"/>
      <w:bookmarkEnd w:id="56"/>
      <w:r>
        <w:rPr>
          <w:sz w:val="22"/>
          <w:szCs w:val="22"/>
        </w:rPr>
        <w:t>выполнения Работ</w:t>
      </w:r>
      <w:bookmarkEnd w:id="52"/>
      <w:bookmarkEnd w:id="55"/>
    </w:p>
    <w:tbl>
      <w:tblPr>
        <w:tblW w:w="9863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4821"/>
        <w:gridCol w:w="2322"/>
        <w:gridCol w:w="2159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Работ/этапа Работ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выполнения Работ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выполнения Работ</w:t>
            </w:r>
          </w:p>
        </w:tc>
      </w:tr>
      <w:tr>
        <w:trPr>
          <w:trHeight w:val="12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>
        <w:trPr>
          <w:trHeight w:val="103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Восстановление Загорской ГАЭС -2 на р. Кунье. Восстановительные работы. Станционный узел. Закрепление грунтового массива основания ПС-3 методом Jet-grouting. (Черт. 1938-14-130)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Не позднее </w:t>
            </w:r>
            <w:r>
              <w:rPr>
                <w:sz w:val="22"/>
                <w:szCs w:val="22"/>
                <w:shd w:fill="auto" w:val="clear"/>
              </w:rPr>
              <w:t xml:space="preserve">7 </w:t>
            </w:r>
            <w:r>
              <w:rPr>
                <w:sz w:val="22"/>
                <w:szCs w:val="22"/>
                <w:shd w:fill="auto" w:val="clear"/>
              </w:rPr>
              <w:t>месяцев с даты заключения договора</w:t>
            </w:r>
          </w:p>
        </w:tc>
      </w:tr>
      <w:tr>
        <w:trPr>
          <w:trHeight w:val="402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Загорская ГАЭС-2 на р. Кунье (достройка). Напорные водоводы. Пригруз основания в примыкании изданию ГАЭС.  (черт. 2348-13-001)</w:t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bidi w:val="0"/>
              <w:spacing w:before="0" w:after="12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3.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Загорская ГАЭС-2 на р. Кунье (достройка). Станционный узел. Подпорная стенка №7. Свайное поле. (Черт. 2348-14-007)</w:t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bidi w:val="0"/>
              <w:spacing w:before="0" w:after="12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4.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Загорская ГАЭС-2 нар. Кунье (достройка). Станционный узел. Правобережная подпорная стенка нижнего бьефа ПС-7 (Черт. 2438-14-008)</w:t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bidi w:val="0"/>
              <w:spacing w:before="0" w:after="12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5.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Загорская ГАЭС-2 нар. Кунье (достройка). Станционный узел. Устройство буронабивных свай в примыкании к ПС-3 Здания ГАЭС со стороны НБ (Черт. 2438-14-009)</w:t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bidi w:val="0"/>
              <w:spacing w:before="0" w:after="12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6.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Загорская ГАЭС-2 на р. Кунье ( достройка). Станционный узел. Нижний бьеф. Стена из буросекущих свай. (черт 2438-14-010)</w:t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bidi w:val="0"/>
              <w:spacing w:before="0" w:after="12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7.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Загорская ГАЭС-2 на р. Кунье ( достройка). Станционный узел. Восстановление крепления правого откоса реверсивного канала. (черт 2438-14-011)</w:t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bidi w:val="0"/>
              <w:spacing w:before="0" w:after="120"/>
              <w:jc w:val="left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 xml:space="preserve">8. 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Загорская ГАЭС-2 на р. Кунье ( достройка). </w:t>
            </w:r>
            <w:r>
              <w:rPr>
                <w:b w:val="false"/>
                <w:bCs w:val="false"/>
                <w:sz w:val="22"/>
                <w:szCs w:val="22"/>
              </w:rPr>
              <w:t>Здание ГАЭС. Понур</w:t>
            </w:r>
            <w:r>
              <w:rPr>
                <w:b w:val="false"/>
                <w:bCs w:val="false"/>
                <w:sz w:val="22"/>
                <w:szCs w:val="22"/>
              </w:rPr>
              <w:t xml:space="preserve"> (черт 2438-14-0</w:t>
            </w:r>
            <w:r>
              <w:rPr>
                <w:b w:val="false"/>
                <w:bCs w:val="false"/>
                <w:sz w:val="22"/>
                <w:szCs w:val="22"/>
              </w:rPr>
              <w:t>06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4"/>
        <w:ind w:left="0" w:hanging="0"/>
        <w:rPr>
          <w:sz w:val="22"/>
          <w:szCs w:val="22"/>
        </w:rPr>
      </w:pPr>
      <w:bookmarkStart w:id="57" w:name="__RefHeading___Toc3886_3910265972"/>
      <w:bookmarkStart w:id="58" w:name="_Toc233977669"/>
      <w:bookmarkStart w:id="59" w:name="_Toc46743510_Копия_1"/>
      <w:bookmarkEnd w:id="57"/>
      <w:bookmarkEnd w:id="59"/>
      <w:r>
        <w:rPr>
          <w:sz w:val="22"/>
          <w:szCs w:val="22"/>
        </w:rPr>
        <w:t xml:space="preserve">2.2. </w:t>
      </w:r>
      <w:bookmarkStart w:id="60" w:name="_Toc186207936"/>
      <w:r>
        <w:rPr>
          <w:sz w:val="22"/>
          <w:szCs w:val="22"/>
        </w:rPr>
        <w:t>Требования к качеству Работ</w:t>
      </w:r>
      <w:bookmarkEnd w:id="58"/>
      <w:bookmarkEnd w:id="60"/>
    </w:p>
    <w:p>
      <w:pPr>
        <w:pStyle w:val="Heading1"/>
        <w:keepLines/>
        <w:tabs>
          <w:tab w:val="clear" w:pos="1224"/>
        </w:tabs>
        <w:spacing w:before="0" w:after="0"/>
        <w:ind w:left="0" w:hanging="0"/>
        <w:rPr>
          <w:sz w:val="22"/>
          <w:szCs w:val="22"/>
        </w:rPr>
      </w:pPr>
      <w:bookmarkStart w:id="61" w:name="__RefHeading___Toc3888_3910265972"/>
      <w:bookmarkStart w:id="62" w:name="_Toc186207937"/>
      <w:bookmarkStart w:id="63" w:name="_Toc233977670"/>
      <w:bookmarkEnd w:id="61"/>
      <w:r>
        <w:rPr>
          <w:sz w:val="22"/>
          <w:szCs w:val="22"/>
        </w:rPr>
        <w:t>Таблица 4. Требования к качеству Работ</w:t>
      </w:r>
      <w:bookmarkEnd w:id="62"/>
      <w:bookmarkEnd w:id="63"/>
    </w:p>
    <w:p>
      <w:pPr>
        <w:pStyle w:val="Standard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Наименование работ/этапа работ (позиции № I, </w:t>
      </w:r>
      <w:r>
        <w:rPr>
          <w:sz w:val="22"/>
          <w:szCs w:val="22"/>
        </w:rPr>
        <w:t>II, III, IV, V, VI, VII, VIII</w:t>
      </w:r>
      <w:r>
        <w:rPr>
          <w:sz w:val="22"/>
          <w:szCs w:val="22"/>
        </w:rPr>
        <w:t xml:space="preserve"> Таблицы 2):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Восстановление Загорской ГАЭС -2 на р. Кунье. Восстановительные работы. Станционный узел. Закрепление грунтового массива основания ПС-3 методом Jet-grouting (Черт. 1938-14-130)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Загорская ГАЭС-2 на р. Кунье (достройка). Напорные водоводы. Пригруз основания в примыкании изданию ГАЭС.  (черт. 2348-13-001)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Загорская ГАЭС-2 на р. Кунье (достройка). Станционный узел. Подпорная стенка №7. Свайное поле. (Черт. 2348-14-007)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Загорская ГАЭС-2 нар. Кунье (достройка). Станционный узел. Правобережная подпорная стенка нижнего бьефа ПС-7 (Черт. 2438-14-008)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Загорская ГАЭС-2 нар. Кунье (достройка). Станционный узел. Устройство буронабивных свай в примыкании к ПС-3 Здания ГАЭС со стороны НБ (Черт. 2438-14-009)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Загорская ГАЭС-2 на р. Кунье (достройка). Станционный узел. Нижний бьеф. Стена из буросекущих свай. (черт 2438-14-010)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 Загорская ГАЭС-2 на р. Кунье (достройка). Станционный узел. Восстановление крепления правого откоса реверсивного канала. (черт 2438-14-011)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Загорская ГАЭС-2 на р. Кунье ( достройка). </w:t>
      </w:r>
      <w:r>
        <w:rPr>
          <w:b/>
          <w:bCs/>
          <w:sz w:val="22"/>
          <w:szCs w:val="22"/>
        </w:rPr>
        <w:t>Здание ГАЭС. Понур</w:t>
      </w:r>
      <w:r>
        <w:rPr>
          <w:b/>
          <w:bCs/>
          <w:sz w:val="22"/>
          <w:szCs w:val="22"/>
        </w:rPr>
        <w:t xml:space="preserve"> (черт 2438-14-0</w:t>
      </w: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>)</w:t>
      </w:r>
    </w:p>
    <w:p>
      <w:pPr>
        <w:pStyle w:val="Normal"/>
        <w:snapToGrid w:val="false"/>
        <w:spacing w:before="0" w:after="0"/>
        <w:jc w:val="both"/>
        <w:rPr>
          <w:b/>
          <w:bCs/>
          <w:sz w:val="22"/>
          <w:szCs w:val="22"/>
        </w:rPr>
      </w:pPr>
      <w:r>
        <w:rPr/>
      </w:r>
    </w:p>
    <w:tbl>
      <w:tblPr>
        <w:tblW w:w="1015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4"/>
        <w:gridCol w:w="2511"/>
        <w:gridCol w:w="6930"/>
      </w:tblGrid>
      <w:tr>
        <w:trPr>
          <w:trHeight w:val="267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>
        <w:trPr>
          <w:trHeight w:val="10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contextualSpacing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выполнению Работ</w:t>
            </w:r>
          </w:p>
        </w:tc>
      </w:tr>
      <w:tr>
        <w:trPr>
          <w:trHeight w:val="117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выполнению Работ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6"/>
              </w:numPr>
              <w:spacing w:before="0" w:after="0"/>
              <w:ind w:left="1247" w:hanging="1304"/>
              <w:contextualSpacing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При выполнении работ подрядчик должен руководствоваться следующими нормативными документами: СНиП 12-04-2002, СП 126.13330, СП 291.1325800, СП 41.13330, СП 45.13330, СП 48.13330, СП 49.13330, СП 58.13330, СП 63.13330, СП 70.13330, СП 72.13330, СП 80.13330 и иным нормативным документам.</w:t>
            </w:r>
          </w:p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В случае если какой-либо из указанных нормативных документов был отменен в связи с выпуском новой редакции, то Подрядчику необходимо применять документ, принятый в его развитие.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7"/>
              </w:numPr>
              <w:spacing w:before="0" w:after="0"/>
              <w:ind w:left="1247" w:hanging="1304"/>
              <w:contextualSpacing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выполнения работ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1. Технология выполнения работ должна соответствовать технологии работ, предусмотренной рабочей документацией (документация приведена в Приложении №1 к Техническим требованиям) и указанной в таблице №2 Технических требований. Подрядчик может предложить свою технологию выполнения работ. Предложенная Подрядчиком технология выполнения работ должна обеспечивать выполнение работ в установленные в Договоре сроки и не оказывать негативное воздействие на иные конструктивы, элементы и оборудование. Технология выполнения работ отличная от технологии предусмотренной Техническими требованиями должна быть согласована с проектной организацией АО «Институт Гидропроект».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57" w:right="113" w:hanging="0"/>
              <w:contextualSpacing w:val="false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Требования к организации Работ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5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Допуск на объект производится в соответствии с регламентом  «Допуск персонала подрядных организаций на объекты  АО «Загорская ГАЭС-2»», утверждённым приказом АО «Загорская ГАЭС-2» от 06.03.2026 № ЗГАЭС2/83-0037 (Приложение №2 к настоящим Техническим требованиям).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5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согласование проекта производства работ (ППР)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До момента начала производства работ Подрядчик разрабатывает и согласовывает с Заказчиком проект производства работ (ППР).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1.3.1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используемым материалам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Все материалы, необходимые для выполнения Работ, указанные в таблице № 2 к настоящим Техническим требованиям, приобретаются и доставляются на место производства работ Подрядчиком самостоятельно. Возможно применение материалов эквивалентных проектным, которые по своим характеристикам /параметрам должны быть равными или лучше проектных. Применение эквивалентных материалов допустимо только при согласовании с Генпроектировщиком (АО «Институт Гидропроект») и без увеличения стоимости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Все поставляемые и применяемые материалы должны быть новыми и не использованными ранее.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3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по контролю качества Работ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539" w:leader="none"/>
              </w:tabs>
              <w:spacing w:before="0" w:after="0"/>
              <w:ind w:left="0" w:hanging="0"/>
              <w:contextualSpacing w:val="fals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Осуществление строительного контроля подрядчиком в соответствии с Постановлением Правительства Российской Федерации № 468 от 21.06.2010 г.(с изменениями и дополнениями), с ведением журналов работ и оформлением актов согласно РД-11-02-2006 и РД-11-05-2007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‍</w:t>
            </w: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1.4.2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 к контролю качества используемых материалов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113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Подрядчик должен обеспечить входной контроль поступающих материалов, включающий в себя проверку наличия соответствующих сертификатов, паспортов, а также иных документов, свидетельствующих о качестве материалов.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3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безопасности выполняемых Работ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Подрядчик должен: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соблюдать требования действующего законодательства Российской Федерации, нормативных правовых актов субъектов Российской Федерации, в т.ч. законодательство о охране окружающей среды, промышленной и пожарной безопасности, охране труда, а также все прочие законы и нормативные акты, относящиеся к сфере деятельности.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3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Требования к результатам Работ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Общие требования к результатам Работ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Результат работ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Результатом работ являются полностью завершенные работы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в соответствии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требованиями проектной документации и объемами, указанными в таблице № 2 к настоящим Техническим требованиям.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оформлению документации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57" w:hanging="17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2.2.1.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исполнительной документации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Исполнительная документация оформляется и передаётся Заказчику на бумажном носителе в 2-х (двух) экз. и на электронном носителе в 1-ом (одном) экз.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приёмке результата выполнения Работ</w:t>
            </w:r>
          </w:p>
        </w:tc>
      </w:tr>
      <w:tr>
        <w:trPr>
          <w:trHeight w:val="1331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25"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приёмке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качества работ осуществляется в соответствии с СП 48.13330.2019, СТО «РусГидро» 01.02.132-2015 «Гидроэлектростанции. Контроль качества производства работ в процессе строительства. Норм</w:t>
            </w:r>
            <w:r>
              <w:rPr>
                <w:color w:val="000000"/>
                <w:sz w:val="22"/>
                <w:szCs w:val="22"/>
              </w:rPr>
              <w:t>ы и требования» (приложение №3 к настоящим Техническим требованиям) и Регламентом «Приёмка строительно-монтажных работ у подрядчика», утверждённого Распоряжением АО «Загорская ГАЭС-2» от 28.09.2022 № ЗГАЭС2/83-0008р (Приложение №4 к настоящим техническим требованиям).</w:t>
            </w:r>
          </w:p>
        </w:tc>
      </w:tr>
    </w:tbl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hanging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widowControl/>
        <w:numPr>
          <w:ilvl w:val="0"/>
          <w:numId w:val="18"/>
        </w:numPr>
        <w:suppressAutoHyphens w:val="true"/>
        <w:bidi w:val="0"/>
        <w:spacing w:before="0" w:after="0"/>
        <w:ind w:left="0" w:hanging="0"/>
        <w:jc w:val="center"/>
        <w:textAlignment w:val="baseline"/>
        <w:rPr>
          <w:sz w:val="22"/>
          <w:szCs w:val="22"/>
        </w:rPr>
      </w:pPr>
      <w:bookmarkStart w:id="64" w:name="__RefHeading___Toc43956_102619219"/>
      <w:bookmarkEnd w:id="64"/>
      <w:r>
        <w:rPr>
          <w:sz w:val="22"/>
          <w:szCs w:val="22"/>
        </w:rPr>
        <w:t>Требования к ценообразованию:</w:t>
      </w:r>
    </w:p>
    <w:p>
      <w:pPr>
        <w:pStyle w:val="Heading3"/>
        <w:widowControl/>
        <w:suppressAutoHyphens w:val="true"/>
        <w:bidi w:val="0"/>
        <w:spacing w:before="0" w:after="0"/>
        <w:ind w:left="0" w:hanging="0"/>
        <w:jc w:val="left"/>
        <w:textAlignment w:val="baseline"/>
        <w:rPr>
          <w:sz w:val="22"/>
          <w:szCs w:val="22"/>
        </w:rPr>
      </w:pPr>
      <w:bookmarkStart w:id="65" w:name="__RefHeading___Toc21280_703139062"/>
      <w:bookmarkEnd w:id="65"/>
      <w:r>
        <w:rPr>
          <w:sz w:val="22"/>
          <w:szCs w:val="22"/>
        </w:rPr>
        <w:t>3.1 Требования к документации по ценообразованию.</w:t>
      </w:r>
    </w:p>
    <w:p>
      <w:pPr>
        <w:pStyle w:val="Normal"/>
        <w:keepNext w:val="true"/>
        <w:keepLines/>
        <w:widowControl w:val="false"/>
        <w:tabs>
          <w:tab w:val="clear" w:pos="708"/>
          <w:tab w:val="left" w:pos="426" w:leader="none"/>
        </w:tabs>
        <w:spacing w:before="0" w:after="0"/>
        <w:jc w:val="both"/>
        <w:rPr/>
      </w:pPr>
      <w:r>
        <w:rPr>
          <w:rStyle w:val="Style8"/>
          <w:rFonts w:eastAsia="Calibri"/>
          <w:b w:val="false"/>
          <w:bCs/>
          <w:iCs/>
          <w:sz w:val="22"/>
          <w:szCs w:val="22"/>
          <w:shd w:fill="auto" w:val="clear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rStyle w:val="Style8"/>
          <w:rFonts w:eastAsia="Calibri"/>
          <w:b w:val="false"/>
          <w:bCs/>
          <w:iCs/>
          <w:sz w:val="22"/>
          <w:szCs w:val="22"/>
          <w:shd w:fill="auto" w:val="clear"/>
          <w:lang w:eastAsia="x-none"/>
        </w:rPr>
      </w:pPr>
      <w:r>
        <w:rPr>
          <w:rFonts w:eastAsia="Calibri"/>
          <w:b w:val="false"/>
          <w:bCs/>
          <w:iCs/>
          <w:sz w:val="22"/>
          <w:szCs w:val="22"/>
          <w:shd w:fill="auto" w:val="clear"/>
          <w:lang w:eastAsia="x-none"/>
        </w:rPr>
      </w:r>
    </w:p>
    <w:p>
      <w:pPr>
        <w:pStyle w:val="Heading1"/>
        <w:numPr>
          <w:ilvl w:val="0"/>
          <w:numId w:val="19"/>
        </w:numPr>
        <w:spacing w:before="0" w:after="0"/>
        <w:ind w:left="0" w:hanging="0"/>
        <w:jc w:val="center"/>
        <w:rPr>
          <w:sz w:val="22"/>
          <w:szCs w:val="22"/>
        </w:rPr>
      </w:pPr>
      <w:bookmarkStart w:id="66" w:name="__RefHeading___Toc22167_383724698"/>
      <w:bookmarkStart w:id="67" w:name="_Toc233977672"/>
      <w:bookmarkEnd w:id="66"/>
      <w:r>
        <w:rPr>
          <w:sz w:val="22"/>
          <w:szCs w:val="22"/>
        </w:rPr>
        <w:t>Приложение.</w:t>
      </w:r>
      <w:bookmarkEnd w:id="67"/>
    </w:p>
    <w:p>
      <w:pPr>
        <w:pStyle w:val="Standard"/>
        <w:keepNext w:val="true"/>
        <w:keepLines/>
        <w:widowControl w:val="false"/>
        <w:tabs>
          <w:tab w:val="clear" w:pos="708"/>
          <w:tab w:val="left" w:pos="426" w:leader="none"/>
        </w:tabs>
        <w:spacing w:before="0" w:after="0"/>
        <w:jc w:val="both"/>
        <w:rPr/>
      </w:pPr>
      <w:r>
        <w:rPr>
          <w:rStyle w:val="Style8"/>
          <w:b w:val="false"/>
          <w:bCs/>
          <w:iCs/>
          <w:sz w:val="22"/>
          <w:szCs w:val="22"/>
          <w:shd w:fill="auto" w:val="clear"/>
        </w:rPr>
        <w:t>Приложение №1. Техническая документация.</w:t>
      </w:r>
    </w:p>
    <w:p>
      <w:pPr>
        <w:pStyle w:val="Standard"/>
        <w:tabs>
          <w:tab w:val="clear" w:pos="708"/>
          <w:tab w:val="left" w:pos="426" w:leader="none"/>
        </w:tabs>
        <w:spacing w:lineRule="auto" w:line="276" w:before="0" w:after="0"/>
        <w:jc w:val="both"/>
        <w:rPr/>
      </w:pPr>
      <w:r>
        <w:rPr>
          <w:rStyle w:val="Style8"/>
          <w:b w:val="false"/>
          <w:bCs/>
          <w:iCs/>
          <w:sz w:val="22"/>
          <w:szCs w:val="22"/>
          <w:shd w:fill="auto" w:val="clear"/>
        </w:rPr>
        <w:t>Приложение №2. «Допуск персонала подрядных организаций на объекты АО «Загорская ГАЭС-2»</w:t>
      </w:r>
      <w:r>
        <w:rPr>
          <w:rStyle w:val="Style8"/>
          <w:b w:val="false"/>
          <w:bCs/>
          <w:iCs/>
          <w:color w:val="000000"/>
          <w:sz w:val="22"/>
          <w:szCs w:val="22"/>
          <w:shd w:fill="auto" w:val="clear"/>
        </w:rPr>
        <w:t xml:space="preserve">», утверждённый приказом АО «Загорская ГАЭС-2» от 06.03.2026 № ЗГАЭС2/83-0037 </w:t>
      </w:r>
      <w:r>
        <w:rPr>
          <w:rStyle w:val="Style8"/>
          <w:b w:val="false"/>
          <w:bCs/>
          <w:iCs/>
          <w:sz w:val="22"/>
          <w:szCs w:val="22"/>
          <w:shd w:fill="auto" w:val="clear"/>
        </w:rPr>
        <w:t>.</w:t>
      </w:r>
    </w:p>
    <w:p>
      <w:pPr>
        <w:pStyle w:val="Standard"/>
        <w:tabs>
          <w:tab w:val="clear" w:pos="708"/>
          <w:tab w:val="left" w:pos="426" w:leader="none"/>
        </w:tabs>
        <w:spacing w:lineRule="auto" w:line="276" w:before="0" w:after="0"/>
        <w:jc w:val="both"/>
        <w:rPr/>
      </w:pPr>
      <w:r>
        <w:rPr>
          <w:rStyle w:val="Style8"/>
          <w:b w:val="false"/>
          <w:bCs/>
          <w:iCs/>
          <w:sz w:val="22"/>
          <w:szCs w:val="22"/>
          <w:shd w:fill="auto" w:val="clear"/>
        </w:rPr>
        <w:t>Приложение №3. СТО «РусГидро» 01.02.132-2015 «Гидроэлектростанции. Контроль качества производства работ в процессе строительства. Нормы и требования».</w:t>
      </w:r>
    </w:p>
    <w:p>
      <w:pPr>
        <w:pStyle w:val="Standard"/>
        <w:tabs>
          <w:tab w:val="clear" w:pos="708"/>
          <w:tab w:val="left" w:pos="426" w:leader="none"/>
        </w:tabs>
        <w:spacing w:lineRule="auto" w:line="276" w:before="0" w:after="0"/>
        <w:jc w:val="both"/>
        <w:rPr/>
      </w:pPr>
      <w:r>
        <w:rPr>
          <w:rStyle w:val="Style8"/>
          <w:b w:val="false"/>
          <w:bCs/>
          <w:iCs/>
          <w:sz w:val="22"/>
          <w:szCs w:val="22"/>
          <w:shd w:fill="auto" w:val="clear"/>
        </w:rPr>
        <w:t>Приложение №4. Регламент «Приёмка строительно-монтажных работ у подрядчика», утверждённый Распоряжением АО «Загорская ГАЭС-2» от 28.09.2022 № ЗГАЭС2/83-0008р.</w:t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right"/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513" w:hanging="360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23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2673" w:hanging="360"/>
      </w:pPr>
      <w:rPr>
        <w:rFonts w:ascii="Times New Roman" w:hAnsi="Times New Roman" w:cs="Times New Roman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39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1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4833" w:hanging="360"/>
      </w:pPr>
      <w:rPr>
        <w:rFonts w:ascii="Times New Roman" w:hAnsi="Times New Roman" w:cs="Times New Roman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985" w:hanging="567"/>
      </w:pPr>
      <w:rPr/>
    </w:lvl>
    <w:lvl w:ilvl="4">
      <w:start w:val="0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9"/>
    <w:lvlOverride w:ilvl="0">
      <w:startOverride w:val="1"/>
    </w:lvlOverride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Standard"/>
    <w:uiPriority w:val="9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Standard"/>
    <w:uiPriority w:val="9"/>
    <w:unhideWhenUsed/>
    <w:qFormat/>
    <w:pPr>
      <w:outlineLvl w:val="1"/>
    </w:pPr>
    <w:rPr/>
  </w:style>
  <w:style w:type="paragraph" w:styleId="Heading3">
    <w:name w:val="Heading 3"/>
    <w:basedOn w:val="Standard"/>
    <w:next w:val="Standard"/>
    <w:uiPriority w:val="9"/>
    <w:unhideWhenUsed/>
    <w:qFormat/>
    <w:pPr>
      <w:keepNext w:val="true"/>
      <w:tabs>
        <w:tab w:val="clear" w:pos="708"/>
        <w:tab w:val="left" w:pos="1224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Standard"/>
    <w:uiPriority w:val="9"/>
    <w:unhideWhenUsed/>
    <w:qFormat/>
    <w:pPr>
      <w:outlineLvl w:val="3"/>
    </w:pPr>
    <w:rPr>
      <w:bCs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 w:val="true"/>
      <w:keepLines/>
      <w:spacing w:before="200" w:after="12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Standard"/>
    <w:next w:val="Standard"/>
    <w:qFormat/>
    <w:pPr>
      <w:keepNext w:val="true"/>
      <w:keepLines/>
      <w:spacing w:before="200" w:after="12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Standard"/>
    <w:next w:val="Standard"/>
    <w:qFormat/>
    <w:pPr>
      <w:keepNext w:val="true"/>
      <w:keepLines/>
      <w:spacing w:before="200" w:after="12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Symbol" w:customStyle="1">
    <w:name w:val="Footnote Symbol"/>
    <w:qFormat/>
    <w:rPr>
      <w:vertAlign w:val="superscript"/>
    </w:rPr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 w:eastAsia="Cambria" w:cs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EndnoteSymbol" w:customStyle="1">
    <w:name w:val="Endnote Symbol"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ing" w:customStyle="1">
    <w:name w:val="Line numbering"/>
    <w:qFormat/>
    <w:rPr/>
  </w:style>
  <w:style w:type="character" w:styleId="Hyperlink">
    <w:name w:val="Hyperlink"/>
    <w:basedOn w:val="DefaultParagraphFont"/>
    <w:uiPriority w:val="99"/>
    <w:unhideWhenUsed/>
    <w:rsid w:val="000057a2"/>
    <w:rPr>
      <w:color w:val="467886" w:themeColor="hyperlink"/>
      <w:u w:val="single"/>
    </w:rPr>
  </w:style>
  <w:style w:type="character" w:styleId="14" w:customStyle="1">
    <w:name w:val="Заголовок №1_"/>
    <w:basedOn w:val="DefaultParagraphFont"/>
    <w:qFormat/>
    <w:rPr>
      <w:rFonts w:ascii="Arial" w:hAnsi="Arial" w:eastAsia="Arial" w:cs="Arial"/>
      <w:sz w:val="38"/>
      <w:szCs w:val="38"/>
    </w:rPr>
  </w:style>
  <w:style w:type="character" w:styleId="Style15" w:customStyle="1">
    <w:name w:val="Другое_"/>
    <w:basedOn w:val="DefaultParagraphFont"/>
    <w:qFormat/>
    <w:rPr>
      <w:rFonts w:ascii="Arial" w:hAnsi="Arial" w:eastAsia="Arial" w:cs="Arial"/>
      <w:sz w:val="18"/>
      <w:szCs w:val="18"/>
      <w:shd w:fill="FFFFFF" w:val="clear"/>
    </w:rPr>
  </w:style>
  <w:style w:type="paragraph" w:styleId="Style16">
    <w:name w:val="Заголовок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Standard"/>
    <w:qFormat/>
    <w:pPr>
      <w:suppressLineNumbers/>
    </w:pPr>
    <w:rPr>
      <w:rFonts w:cs="Noto Sans Devanagari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3" w:customStyle="1">
    <w:name w:val="Раздел положения 2"/>
    <w:basedOn w:val="Standard"/>
    <w:qFormat/>
    <w:pPr>
      <w:pageBreakBefore/>
      <w:jc w:val="both"/>
      <w:outlineLvl w:val="0"/>
    </w:pPr>
    <w:rPr>
      <w:b/>
    </w:rPr>
  </w:style>
  <w:style w:type="paragraph" w:styleId="24" w:customStyle="1">
    <w:name w:val="Пункт2"/>
    <w:basedOn w:val="Standard"/>
    <w:qFormat/>
    <w:pPr>
      <w:keepNext w:val="true"/>
      <w:tabs>
        <w:tab w:val="clear" w:pos="708"/>
        <w:tab w:val="left" w:pos="2268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Style18" w:customStyle="1">
    <w:name w:val="УРОВЕНЬ_(а)"/>
    <w:basedOn w:val="ListParagraph"/>
    <w:qFormat/>
    <w:p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Title">
    <w:name w:val="Title"/>
    <w:basedOn w:val="Standard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 w:customStyle="1">
    <w:name w:val="index heading1"/>
    <w:basedOn w:val="Title"/>
    <w:qFormat/>
    <w:pPr/>
    <w:rPr/>
  </w:style>
  <w:style w:type="paragraph" w:styleId="15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6" w:customStyle="1">
    <w:name w:val="Указатель1"/>
    <w:basedOn w:val="Standard"/>
    <w:qFormat/>
    <w:pPr>
      <w:suppressLineNumbers/>
    </w:pPr>
    <w:rPr/>
  </w:style>
  <w:style w:type="paragraph" w:styleId="Caption1111" w:customStyle="1">
    <w:name w:val="caption111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5"/>
    <w:qFormat/>
    <w:pPr/>
    <w:rPr/>
  </w:style>
  <w:style w:type="paragraph" w:styleId="Caption11111" w:customStyle="1">
    <w:name w:val="caption1111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11" w:customStyle="1">
    <w:name w:val="caption11111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Standard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Standard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Standard"/>
    <w:autoRedefine/>
    <w:qFormat/>
    <w:pPr>
      <w:numPr>
        <w:ilvl w:val="0"/>
        <w:numId w:val="1"/>
      </w:numPr>
      <w:spacing w:before="80" w:after="80"/>
      <w:jc w:val="both"/>
    </w:pPr>
    <w:rPr/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17" w:customStyle="1">
    <w:name w:val="Шапка 1"/>
    <w:basedOn w:val="Standard"/>
    <w:qFormat/>
    <w:pPr>
      <w:pBdr>
        <w:bottom w:val="double" w:sz="12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Standard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Standard"/>
    <w:qFormat/>
    <w:pPr>
      <w:pBdr>
        <w:bottom w:val="double" w:sz="12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Standard"/>
    <w:qFormat/>
    <w:pPr>
      <w:jc w:val="center"/>
    </w:pPr>
    <w:rPr>
      <w:szCs w:val="20"/>
    </w:rPr>
  </w:style>
  <w:style w:type="paragraph" w:styleId="Style22" w:customStyle="1">
    <w:name w:val="Колонтитулы"/>
    <w:basedOn w:val="Standard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extbodyindent" w:customStyle="1">
    <w:name w:val="Text body indent"/>
    <w:basedOn w:val="Standard"/>
    <w:qFormat/>
    <w:pPr>
      <w:ind w:left="360" w:hanging="0"/>
    </w:pPr>
    <w:rPr>
      <w:sz w:val="24"/>
      <w:szCs w:val="24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Standard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BlockText">
    <w:name w:val="Block Text"/>
    <w:basedOn w:val="Standard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Standard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Contents1" w:customStyle="1">
    <w:name w:val="Contents 1"/>
    <w:basedOn w:val="Standard"/>
    <w:next w:val="Standard"/>
    <w:autoRedefine/>
    <w:qFormat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Contents3" w:customStyle="1">
    <w:name w:val="Contents 3"/>
    <w:basedOn w:val="Standard"/>
    <w:next w:val="Standard"/>
    <w:autoRedefine/>
    <w:qFormat/>
    <w:pPr>
      <w:tabs>
        <w:tab w:val="clear" w:pos="708"/>
        <w:tab w:val="right" w:pos="10488" w:leader="dot"/>
      </w:tabs>
      <w:ind w:left="567" w:hanging="0"/>
    </w:pPr>
    <w:rPr>
      <w:rFonts w:cs="Calibri"/>
      <w:sz w:val="20"/>
      <w:szCs w:val="20"/>
    </w:rPr>
  </w:style>
  <w:style w:type="paragraph" w:styleId="Style25" w:customStyle="1">
    <w:name w:val="Раздел регламента"/>
    <w:basedOn w:val="Standard"/>
    <w:qFormat/>
    <w:pPr/>
    <w:rPr/>
  </w:style>
  <w:style w:type="paragraph" w:styleId="Style26" w:customStyle="1">
    <w:name w:val="Приложение к регламенту"/>
    <w:basedOn w:val="Standard"/>
    <w:qFormat/>
    <w:pPr>
      <w:jc w:val="right"/>
    </w:pPr>
    <w:rPr/>
  </w:style>
  <w:style w:type="paragraph" w:styleId="Contents2" w:customStyle="1">
    <w:name w:val="Contents 2"/>
    <w:basedOn w:val="Standard"/>
    <w:next w:val="Standard"/>
    <w:autoRedefine/>
    <w:qFormat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9" w:customStyle="1">
    <w:name w:val="Обычный (веб)1"/>
    <w:basedOn w:val="Standard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Contents9" w:customStyle="1">
    <w:name w:val="Contents 9"/>
    <w:basedOn w:val="Standard"/>
    <w:next w:val="Standard"/>
    <w:autoRedefine/>
    <w:qFormat/>
    <w:pPr>
      <w:ind w:left="1960" w:hanging="0"/>
    </w:pPr>
    <w:rPr>
      <w:rFonts w:ascii="Calibri" w:hAnsi="Calibri" w:eastAsia="Calibri" w:cs="Calibri"/>
      <w:sz w:val="20"/>
      <w:szCs w:val="20"/>
    </w:rPr>
  </w:style>
  <w:style w:type="paragraph" w:styleId="Contents5" w:customStyle="1">
    <w:name w:val="Contents 5"/>
    <w:basedOn w:val="Standard"/>
    <w:next w:val="Standard"/>
    <w:autoRedefine/>
    <w:qFormat/>
    <w:pPr>
      <w:ind w:left="840" w:hanging="0"/>
    </w:pPr>
    <w:rPr>
      <w:rFonts w:ascii="Calibri" w:hAnsi="Calibri" w:eastAsia="Calibri" w:cs="Calibri"/>
      <w:sz w:val="20"/>
      <w:szCs w:val="20"/>
    </w:rPr>
  </w:style>
  <w:style w:type="paragraph" w:styleId="Contents4" w:customStyle="1">
    <w:name w:val="Contents 4"/>
    <w:basedOn w:val="Standard"/>
    <w:next w:val="Standard"/>
    <w:autoRedefine/>
    <w:qFormat/>
    <w:pPr>
      <w:ind w:left="560" w:hanging="0"/>
    </w:pPr>
    <w:rPr>
      <w:rFonts w:cs="Calibri"/>
      <w:sz w:val="20"/>
      <w:szCs w:val="20"/>
    </w:rPr>
  </w:style>
  <w:style w:type="paragraph" w:styleId="Style27" w:customStyle="1">
    <w:name w:val="Знак Знак Знак Знак Знак Знак Знак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NoSpacing">
    <w:name w:val="No Spacing"/>
    <w:basedOn w:val="Standard"/>
    <w:qFormat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Standard"/>
    <w:next w:val="Standard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Standard"/>
    <w:next w:val="Standard"/>
    <w:uiPriority w:val="11"/>
    <w:qFormat/>
    <w:pPr>
      <w:ind w:left="1066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Standard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Standard"/>
    <w:next w:val="Standard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2" w:customStyle="1">
    <w:name w:val="index heading2"/>
    <w:basedOn w:val="15"/>
    <w:qFormat/>
    <w:pPr/>
    <w:rPr/>
  </w:style>
  <w:style w:type="paragraph" w:styleId="Indexheading">
    <w:name w:val="index heading"/>
    <w:basedOn w:val="Style16"/>
    <w:qFormat/>
    <w:pPr/>
    <w:rPr/>
  </w:style>
  <w:style w:type="paragraph" w:styleId="ContentsHeading" w:customStyle="1">
    <w:name w:val="Contents Heading"/>
    <w:basedOn w:val="Heading1"/>
    <w:next w:val="Standard"/>
    <w:qFormat/>
    <w:pPr>
      <w:keepLines/>
      <w:spacing w:before="480" w:after="6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Standard"/>
    <w:qFormat/>
    <w:pPr/>
    <w:rPr>
      <w:rFonts w:eastAsia="Calibri"/>
      <w:sz w:val="24"/>
      <w:szCs w:val="24"/>
    </w:rPr>
  </w:style>
  <w:style w:type="paragraph" w:styleId="Style28" w:customStyle="1">
    <w:name w:val="Знак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Standard"/>
    <w:qFormat/>
    <w:pPr>
      <w:jc w:val="both"/>
    </w:pPr>
    <w:rPr>
      <w:rFonts w:ascii="Garamond" w:hAnsi="Garamond" w:eastAsia="Garamond" w:cs="Garamond"/>
      <w:sz w:val="24"/>
      <w:szCs w:val="20"/>
    </w:rPr>
  </w:style>
  <w:style w:type="paragraph" w:styleId="41" w:customStyle="1">
    <w:name w:val="Маркированный список 41"/>
    <w:basedOn w:val="Standard"/>
    <w:qFormat/>
    <w:p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26" w:customStyle="1">
    <w:name w:val="Нумерованный список ур2"/>
    <w:basedOn w:val="Standard"/>
    <w:qFormat/>
    <w:pPr>
      <w:numPr>
        <w:ilvl w:val="0"/>
        <w:numId w:val="2"/>
      </w:num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29" w:customStyle="1">
    <w:name w:val="Пункт"/>
    <w:basedOn w:val="Standard"/>
    <w:qFormat/>
    <w:pPr>
      <w:widowControl w:val="false"/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10" w:customStyle="1">
    <w:name w:val="Абзац списка1"/>
    <w:basedOn w:val="Standard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Style30" w:customStyle="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1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qFormat/>
    <w:pPr>
      <w:tabs>
        <w:tab w:val="clear" w:pos="2268"/>
        <w:tab w:val="left" w:pos="10208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27" w:customStyle="1">
    <w:name w:val="УРОВЕНЬ_Абзац_тип2"/>
    <w:basedOn w:val="ListParagraph"/>
    <w:qFormat/>
    <w:p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p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0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pPr>
      <w:keepLines/>
      <w:tabs>
        <w:tab w:val="clear" w:pos="1224"/>
        <w:tab w:val="left" w:pos="1134" w:leader="none"/>
      </w:tabs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" w:customStyle="1">
    <w:name w:val="Endnote"/>
    <w:basedOn w:val="Standard"/>
    <w:qFormat/>
    <w:pPr/>
    <w:rPr>
      <w:sz w:val="20"/>
      <w:szCs w:val="20"/>
    </w:rPr>
  </w:style>
  <w:style w:type="paragraph" w:styleId="28" w:customStyle="1">
    <w:name w:val="Заголовок 2 КВВ"/>
    <w:basedOn w:val="Standard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Standard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Standard"/>
    <w:qFormat/>
    <w:pPr>
      <w:spacing w:before="280" w:after="280"/>
    </w:pPr>
    <w:rPr>
      <w:sz w:val="24"/>
      <w:szCs w:val="24"/>
    </w:rPr>
  </w:style>
  <w:style w:type="paragraph" w:styleId="112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Contents6" w:customStyle="1">
    <w:name w:val="Contents 6"/>
    <w:basedOn w:val="Standard"/>
    <w:next w:val="Standard"/>
    <w:autoRedefine/>
    <w:qFormat/>
    <w:pPr>
      <w:ind w:left="1120" w:hanging="0"/>
    </w:pPr>
    <w:rPr>
      <w:rFonts w:ascii="Calibri" w:hAnsi="Calibri" w:eastAsia="Calibri" w:cs="Calibri"/>
      <w:sz w:val="20"/>
      <w:szCs w:val="20"/>
    </w:rPr>
  </w:style>
  <w:style w:type="paragraph" w:styleId="Contents7" w:customStyle="1">
    <w:name w:val="Contents 7"/>
    <w:basedOn w:val="Standard"/>
    <w:next w:val="Standard"/>
    <w:autoRedefine/>
    <w:qFormat/>
    <w:pPr>
      <w:ind w:left="1400" w:hanging="0"/>
    </w:pPr>
    <w:rPr>
      <w:rFonts w:ascii="Calibri" w:hAnsi="Calibri" w:eastAsia="Calibri" w:cs="Calibri"/>
      <w:sz w:val="20"/>
      <w:szCs w:val="20"/>
    </w:rPr>
  </w:style>
  <w:style w:type="paragraph" w:styleId="Contents8" w:customStyle="1">
    <w:name w:val="Contents 8"/>
    <w:basedOn w:val="Standard"/>
    <w:next w:val="Standard"/>
    <w:autoRedefine/>
    <w:qFormat/>
    <w:pPr>
      <w:ind w:left="1680" w:hanging="0"/>
    </w:pPr>
    <w:rPr>
      <w:rFonts w:ascii="Calibri" w:hAnsi="Calibri" w:eastAsia="Calibri" w:cs="Calibri"/>
      <w:sz w:val="20"/>
      <w:szCs w:val="20"/>
    </w:rPr>
  </w:style>
  <w:style w:type="paragraph" w:styleId="Style35" w:customStyle="1">
    <w:name w:val="Содержимое врезки"/>
    <w:basedOn w:val="Standard"/>
    <w:qFormat/>
    <w:pPr/>
    <w:rPr/>
  </w:style>
  <w:style w:type="paragraph" w:styleId="Style3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Xmsonormal" w:customStyle="1">
    <w:name w:val="x_msonormal"/>
    <w:basedOn w:val="Standard"/>
    <w:qFormat/>
    <w:pPr>
      <w:spacing w:before="280" w:after="280"/>
    </w:pPr>
    <w:rPr>
      <w:sz w:val="24"/>
      <w:szCs w:val="24"/>
    </w:rPr>
  </w:style>
  <w:style w:type="paragraph" w:styleId="Style38" w:customStyle="1">
    <w:name w:val="Другое"/>
    <w:basedOn w:val="Standard"/>
    <w:qFormat/>
    <w:pPr>
      <w:shd w:val="clear" w:color="auto" w:fill="FFFFFF"/>
    </w:pPr>
    <w:rPr>
      <w:rFonts w:ascii="Arial" w:hAnsi="Arial" w:eastAsia="Arial" w:cs="Arial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057a2"/>
    <w:pPr>
      <w:spacing w:before="0" w:after="100"/>
    </w:pPr>
    <w:rPr/>
  </w:style>
  <w:style w:type="paragraph" w:styleId="TOC4">
    <w:name w:val="TOC 4"/>
    <w:basedOn w:val="Normal"/>
    <w:next w:val="Normal"/>
    <w:autoRedefine/>
    <w:uiPriority w:val="39"/>
    <w:unhideWhenUsed/>
    <w:rsid w:val="000057a2"/>
    <w:pPr>
      <w:spacing w:before="0" w:after="100"/>
      <w:ind w:left="60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0057a2"/>
    <w:pPr>
      <w:spacing w:before="0" w:after="100"/>
      <w:ind w:left="400" w:hanging="0"/>
    </w:pPr>
    <w:rPr/>
  </w:style>
  <w:style w:type="paragraph" w:styleId="113" w:customStyle="1">
    <w:name w:val="Заголовок №1"/>
    <w:basedOn w:val="Normal"/>
    <w:qFormat/>
    <w:pPr>
      <w:suppressAutoHyphens w:val="false"/>
      <w:ind w:firstLine="1000"/>
      <w:textAlignment w:val="auto"/>
      <w:outlineLvl w:val="0"/>
    </w:pPr>
    <w:rPr>
      <w:rFonts w:ascii="Arial" w:hAnsi="Arial" w:eastAsia="Arial" w:cs="Arial"/>
      <w:sz w:val="38"/>
      <w:szCs w:val="38"/>
    </w:rPr>
  </w:style>
  <w:style w:type="numbering" w:styleId="Style39" w:customStyle="1">
    <w:name w:val="Без списка"/>
    <w:qFormat/>
  </w:style>
  <w:style w:type="numbering" w:styleId="114" w:customStyle="1">
    <w:name w:val="Стиль1"/>
    <w:qFormat/>
  </w:style>
  <w:style w:type="numbering" w:styleId="29" w:customStyle="1">
    <w:name w:val="Стиль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AlterOffice/3.4.0.9$Linux_X86_64 LibreOffice_project/b8daf9e823b1a5463a2f48435ddc2e8696e7d4fc</Application>
  <AppVersion>15.0000</AppVersion>
  <Pages>11</Pages>
  <Words>3053</Words>
  <Characters>18064</Characters>
  <CharactersWithSpaces>20374</CharactersWithSpaces>
  <Paragraphs>758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2026-07-03T10:28:00Z</dcterms:created>
  <dc:creator>Быстров Олег Геннадьевич</dc:creator>
  <dc:description/>
  <dc:language>ru-RU</dc:language>
  <cp:lastModifiedBy/>
  <dcterms:modified xsi:type="dcterms:W3CDTF">2026-07-14T16:07:42Z</dcterms:modified>
  <cp:revision>14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