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contextualSpacing/>
        <w:jc w:val="left"/>
        <w:rPr>
          <w:rFonts w:ascii="Arial" w:hAnsi="Arial" w:eastAsia="Times New Roman" w:cs="Arial"/>
          <w:color w:val="000000"/>
          <w:sz w:val="10"/>
          <w:szCs w:val="10"/>
        </w:rPr>
      </w:pPr>
      <w:r>
        <w:rPr>
          <w:rFonts w:eastAsia="Times New Roman" w:cs="Arial" w:ascii="Arial" w:hAnsi="Arial"/>
          <w:color w:val="000000"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righ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</w:rPr>
      </w:pPr>
      <w:r>
        <w:rPr>
          <w:rFonts w:eastAsia="Times New Roman" w:cs="Arial" w:ascii="Arial" w:hAnsi="Arial"/>
          <w:bCs/>
          <w:sz w:val="30"/>
          <w:szCs w:val="3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2181860</wp:posOffset>
            </wp:positionH>
            <wp:positionV relativeFrom="paragraph">
              <wp:posOffset>29845</wp:posOffset>
            </wp:positionV>
            <wp:extent cx="1732915" cy="563245"/>
            <wp:effectExtent l="0" t="0" r="0" b="0"/>
            <wp:wrapThrough wrapText="bothSides">
              <wp:wrapPolygon edited="0">
                <wp:start x="1640" y="0"/>
                <wp:lineTo x="-24" y="3584"/>
                <wp:lineTo x="-24" y="19661"/>
                <wp:lineTo x="2349" y="21122"/>
                <wp:lineTo x="12323" y="21122"/>
                <wp:lineTo x="21346" y="21122"/>
                <wp:lineTo x="21346" y="13815"/>
                <wp:lineTo x="15648" y="11623"/>
                <wp:lineTo x="18734" y="8700"/>
                <wp:lineTo x="18500" y="0"/>
                <wp:lineTo x="1640" y="0"/>
              </wp:wrapPolygon>
            </wp:wrapThrough>
            <wp:docPr id="1" name="Рисунок 1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righ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righ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0"/>
        <w:rPr>
          <w:rFonts w:ascii="Arial" w:hAnsi="Arial" w:eastAsia="Times New Roman" w:cs="Arial"/>
          <w:b/>
          <w:bCs/>
          <w:sz w:val="10"/>
          <w:szCs w:val="10"/>
        </w:rPr>
      </w:pPr>
      <w:r>
        <w:rPr>
          <w:rFonts w:eastAsia="Times New Roman" w:cs="Arial" w:ascii="Arial" w:hAnsi="Arial"/>
          <w:b/>
          <w:bCs/>
          <w:sz w:val="10"/>
          <w:szCs w:val="10"/>
        </w:rPr>
      </w:r>
    </w:p>
    <w:tbl>
      <w:tblPr>
        <w:tblW w:w="1042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>
        <w:trPr>
          <w:trHeight w:val="709" w:hRule="atLeast"/>
        </w:trPr>
        <w:tc>
          <w:tcPr>
            <w:tcW w:w="1042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20" w:after="0"/>
              <w:ind w:left="0" w:righ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ru-RU" w:bidi="ar-SA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ФИЛИАЛ «ХАБАРОВСКИЕ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421" w:type="dxa"/>
            <w:tcBorders/>
            <w:vAlign w:val="center"/>
          </w:tcPr>
          <w:tbl>
            <w:tblPr>
              <w:tblW w:w="101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74"/>
            </w:tblGrid>
            <w:tr>
              <w:trPr>
                <w:trHeight w:val="227" w:hRule="atLeast"/>
              </w:trPr>
              <w:tc>
                <w:tcPr>
                  <w:tcW w:w="1017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18"/>
                      <w:szCs w:val="18"/>
                      <w:lang w:val="ru-RU" w:bidi="ar-SA"/>
                    </w:rPr>
                    <w:t>ул. Промышленная,13, г. Хабаровск, 680009, Российская Федерация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0174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eastAsia="Times New Roman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Style w:val="Hyperlink"/>
                      <w:rFonts w:eastAsia="Times New Roman" w:cs="Arial" w:ascii="Arial" w:hAnsi="Arial"/>
                      <w:kern w:val="0"/>
                      <w:sz w:val="18"/>
                      <w:szCs w:val="18"/>
                      <w:lang w:val="en-US" w:bidi="ar-SA"/>
                    </w:rPr>
                    <w:t>doc@ khab.drsk.ru;  http://www.drsk.ru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spacing w:before="120" w:after="0"/>
        <w:rPr>
          <w:lang w:val="en-US"/>
        </w:rPr>
      </w:pPr>
      <w:r>
        <w:rPr>
          <w:lang w:val="en-US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Times New Roman" w:ascii="Liberation Serif" w:hAnsi="Liberation Serif"/>
          <w:sz w:val="28"/>
          <w:szCs w:val="28"/>
        </w:rPr>
        <w:t>С целью формирования плановой цены стоимости монтируемых систем видеонаблюдения проводит мониторинг рынка цен на поставку оборудования  и приглашает к участию потенциальных поставщиков:</w:t>
      </w:r>
    </w:p>
    <w:p>
      <w:pPr>
        <w:pStyle w:val="Normal"/>
        <w:spacing w:before="120" w:after="0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</w:r>
    </w:p>
    <w:tbl>
      <w:tblPr>
        <w:tblW w:w="5000" w:type="pct"/>
        <w:jc w:val="left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2"/>
        <w:gridCol w:w="4033"/>
        <w:gridCol w:w="789"/>
        <w:gridCol w:w="581"/>
        <w:gridCol w:w="1344"/>
        <w:gridCol w:w="1413"/>
        <w:gridCol w:w="1413"/>
      </w:tblGrid>
      <w:tr>
        <w:trPr/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/>
            </w:pPr>
            <w:r>
              <w:rPr/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Ед. изм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Кол-во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Цена за 1 ед. руб. без НДС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Всего  за 1 ед. руб с НДС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реестровой записи</w:t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Wi-Fi роутер Cudy LT500 Outdoor(#9087059)</w:t>
            </w:r>
          </w:p>
          <w:p>
            <w:pPr>
              <w:pStyle w:val="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>IP-ка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>м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ера Hikvision DS-2CD2083G2-IU 4 mm(#5344332)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Инжектор PoE ORIENT SAP-C48POE 1A(№1338277)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Распределительная коробка LEXMAN D 150x110x70 мм 10 вводов(#87964082) 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Крепежная пластина 400x80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Моллюск 12/3 источник питания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>
          <w:trHeight w:val="537" w:hRule="atLeast"/>
        </w:trPr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POE коммутатор Ай Тек ПРО 106Р4WATCHDOG 65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Перфорированная лента прямая LP 12x0.5 25 м оцинкованная сталь цвет серебро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left"/>
              <w:rPr/>
            </w:pPr>
            <w:r>
              <w:rPr/>
              <w:t>8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  <w:p>
            <w:pPr>
              <w:pStyle w:val="Style16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ИТОГО:</w:t>
            </w:r>
          </w:p>
          <w:p>
            <w:pPr>
              <w:pStyle w:val="Style16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39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/>
            </w:pPr>
            <w:r>
              <w:rPr/>
              <w:t>9</w:t>
            </w:r>
          </w:p>
        </w:tc>
        <w:tc>
          <w:tcPr>
            <w:tcW w:w="4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в том числе НДС: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ab/>
      </w:r>
    </w:p>
    <w:p>
      <w:pPr>
        <w:pStyle w:val="Normal"/>
        <w:rPr>
          <w:rFonts w:ascii="Liberation Serif" w:hAnsi="Liberation Serif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Оборудование должно быть включено в Реестр </w:t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российской промышленной продукции (ПП РФ 719 от 17.07.2015)</w:t>
      </w:r>
    </w:p>
    <w:p>
      <w:pPr>
        <w:pStyle w:val="Normal"/>
        <w:rPr>
          <w:rFonts w:ascii="Liberation Serif" w:hAnsi="Liberation Serif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Liberation Serif" w:hAnsi="Liberation Serif"/>
          <w:b w:val="false"/>
          <w:bCs w:val="false"/>
          <w:i/>
          <w:iCs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footerReference w:type="default" r:id="rId3"/>
      <w:type w:val="nextPage"/>
      <w:pgSz w:w="11906" w:h="16838"/>
      <w:pgMar w:left="1134" w:right="567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9">
    <w:name w:val="Текст выноски Знак"/>
    <w:basedOn w:val="DefaultParagraphFont"/>
    <w:link w:val="BalloonText"/>
    <w:qFormat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0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1">
    <w:name w:val="Нижний колонтитул Знак"/>
    <w:basedOn w:val="DefaultParagraphFont"/>
    <w:qFormat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qFormat/>
    <w:pPr/>
    <w:rPr>
      <w:rFonts w:ascii="Tahoma" w:hAnsi="Tahoma" w:cs="Tahoma"/>
      <w:sz w:val="16"/>
      <w:szCs w:val="16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AlterOffice/2025.3.1.0$Linux_X86_64 LibreOffice_project/431cd1b79110582f53535c95ed0a2449aadc8bf9</Application>
  <AppVersion>15.0000</AppVersion>
  <Pages>2</Pages>
  <Words>153</Words>
  <Characters>902</Characters>
  <CharactersWithSpaces>1015</CharactersWithSpaces>
  <Paragraphs>46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2019-12-18T04:06:00Z</dcterms:created>
  <dc:creator>Фоменко Светлана Анатольевна</dc:creator>
  <dc:description/>
  <dc:language>ru-RU</dc:language>
  <cp:lastModifiedBy/>
  <cp:lastPrinted>2019-10-16T05:58:00Z</cp:lastPrinted>
  <dcterms:modified xsi:type="dcterms:W3CDTF">2026-07-16T14:59:59Z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