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E0" w:rsidRDefault="004C14E0">
      <w:pPr>
        <w:keepNext/>
        <w:keepLines/>
        <w:jc w:val="right"/>
        <w:rPr>
          <w:b/>
          <w:bCs/>
          <w:sz w:val="26"/>
          <w:szCs w:val="26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E36303">
      <w:pPr>
        <w:pStyle w:val="24"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auto"/>
        <w:spacing w:after="343" w:line="310" w:lineRule="exact"/>
      </w:pPr>
      <w:r>
        <w:rPr>
          <w:rStyle w:val="23"/>
          <w:rFonts w:eastAsia="Calibri"/>
          <w:b/>
          <w:color w:val="000000"/>
        </w:rPr>
        <w:t>ТЕХНИЧЕСКИЕ ТРЕБОВАНИЯ</w:t>
      </w:r>
    </w:p>
    <w:p w:rsidR="004C14E0" w:rsidRDefault="00E363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«Поставка пожарного инвентаря для нужд филиала ПАО «РусГидро»-</w:t>
      </w:r>
      <w:r>
        <w:rPr>
          <w:rStyle w:val="a3"/>
          <w:rFonts w:eastAsia="Calibri"/>
          <w:sz w:val="30"/>
          <w:szCs w:val="30"/>
        </w:rPr>
        <w:t xml:space="preserve"> </w:t>
      </w:r>
      <w:r>
        <w:rPr>
          <w:rStyle w:val="23"/>
          <w:rFonts w:eastAsia="Calibri"/>
          <w:sz w:val="30"/>
          <w:szCs w:val="30"/>
        </w:rPr>
        <w:t>«Чебоксарская ГЭС» на 2026 год</w:t>
      </w: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E36303">
      <w:pPr>
        <w:tabs>
          <w:tab w:val="left" w:pos="3406"/>
        </w:tabs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ab/>
      </w: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jc w:val="center"/>
        <w:rPr>
          <w:rStyle w:val="23"/>
          <w:rFonts w:eastAsia="Calibri"/>
          <w:sz w:val="30"/>
          <w:szCs w:val="30"/>
        </w:rPr>
      </w:pPr>
    </w:p>
    <w:p w:rsidR="004C14E0" w:rsidRDefault="004C14E0">
      <w:pPr>
        <w:rPr>
          <w:sz w:val="26"/>
          <w:szCs w:val="26"/>
        </w:rPr>
      </w:pPr>
    </w:p>
    <w:p w:rsidR="004C14E0" w:rsidRDefault="00E36303">
      <w:pPr>
        <w:jc w:val="center"/>
      </w:pPr>
      <w:r>
        <w:rPr>
          <w:b/>
        </w:rPr>
        <w:lastRenderedPageBreak/>
        <w:t>СОДЕРЖАНИЕ</w:t>
      </w:r>
    </w:p>
    <w:sdt>
      <w:sdtPr>
        <w:id w:val="-1244098711"/>
        <w:docPartObj>
          <w:docPartGallery w:val="Table of Contents"/>
          <w:docPartUnique/>
        </w:docPartObj>
      </w:sdtPr>
      <w:sdtEndPr/>
      <w:sdtContent>
        <w:p w:rsidR="004C14E0" w:rsidRDefault="00E3630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d"/>
              <w:webHidden/>
            </w:rPr>
            <w:instrText xml:space="preserve"> TOC \z \o "1-4" \u \h</w:instrText>
          </w:r>
          <w:r>
            <w:rPr>
              <w:rStyle w:val="afd"/>
            </w:rPr>
            <w:fldChar w:fldCharType="separate"/>
          </w:r>
          <w:hyperlink w:anchor="_Toc212449184">
            <w:r>
              <w:rPr>
                <w:rStyle w:val="afd"/>
                <w:webHidden/>
              </w:rPr>
              <w:t>1.</w:t>
            </w:r>
            <w:r>
              <w:rPr>
                <w:rStyle w:val="a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Общие сведения</w:t>
            </w:r>
            <w:r>
              <w:rPr>
                <w:rStyle w:val="afd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85">
            <w:r>
              <w:rPr>
                <w:rStyle w:val="afd"/>
                <w:iCs/>
                <w:webHidden/>
              </w:rPr>
              <w:t>1.1.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Обозначения и сокращения</w:t>
            </w:r>
            <w:r>
              <w:rPr>
                <w:rStyle w:val="afd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87">
            <w:r>
              <w:rPr>
                <w:rStyle w:val="afd"/>
                <w:iCs/>
                <w:webHidden/>
              </w:rPr>
              <w:t>1.2.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Цель использования закупаемой продукции: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4C14E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</w:p>
        <w:p w:rsidR="004C14E0" w:rsidRDefault="00E3630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2449194">
            <w:r>
              <w:rPr>
                <w:rStyle w:val="afd"/>
                <w:webHidden/>
              </w:rPr>
              <w:t>2.</w:t>
            </w:r>
            <w:r>
              <w:rPr>
                <w:rStyle w:val="a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Требования к продукции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95">
            <w:r>
              <w:rPr>
                <w:rStyle w:val="afd"/>
                <w:iCs/>
                <w:webHidden/>
              </w:rPr>
              <w:t>2.1.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Требования к объемам и срокам поставки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96">
            <w:r>
              <w:rPr>
                <w:rStyle w:val="afd"/>
                <w:webHidden/>
              </w:rPr>
              <w:t>2.1.1.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Перечень и объем закупаемой продукции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97">
            <w:r>
              <w:rPr>
                <w:rStyle w:val="afd"/>
                <w:webHidden/>
              </w:rPr>
              <w:t>2.1.2.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Таблица 1.1 Перечень и объем закупаемой продукции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98">
            <w:r>
              <w:rPr>
                <w:rStyle w:val="afd"/>
                <w:webHidden/>
              </w:rPr>
              <w:t>2.1.3.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Треб</w:t>
            </w:r>
            <w:r>
              <w:rPr>
                <w:rStyle w:val="afd"/>
              </w:rPr>
              <w:t>ования к срокам поставки продукции и оказания сопутствующих услуг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199">
            <w:r>
              <w:rPr>
                <w:rStyle w:val="afd"/>
                <w:webHidden/>
              </w:rPr>
              <w:t>2.1.4.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_Toc212449199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Таблица 2.1 Требования по срокам поставки продукции</w:t>
            </w:r>
            <w:r>
              <w:rPr>
                <w:rStyle w:val="a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200">
            <w:r>
              <w:rPr>
                <w:rStyle w:val="afd"/>
                <w:iCs/>
                <w:webHidden/>
              </w:rPr>
              <w:t>2.2.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_Toc212449200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Требования к качеству продукции</w:t>
            </w:r>
            <w:r>
              <w:rPr>
                <w:rStyle w:val="afd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449201">
            <w:r>
              <w:rPr>
                <w:rStyle w:val="afd"/>
                <w:webHidden/>
              </w:rPr>
              <w:t>2.2.1.</w:t>
            </w:r>
            <w:r>
              <w:rPr>
                <w:rStyle w:val="a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_Toc212449201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>Таблица 3. Требования к продукции</w:t>
            </w:r>
            <w:r>
              <w:rPr>
                <w:rStyle w:val="afd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4C14E0" w:rsidRDefault="00E3630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2449202">
            <w:r>
              <w:rPr>
                <w:rStyle w:val="afd"/>
                <w:webHidden/>
              </w:rPr>
              <w:t>3.</w:t>
            </w:r>
            <w:r>
              <w:rPr>
                <w:rStyle w:val="a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_Toc212449202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d"/>
              </w:rPr>
              <w:t xml:space="preserve">Требования к документации по ценообразованию </w:t>
            </w:r>
            <w:r>
              <w:rPr>
                <w:rStyle w:val="afd"/>
              </w:rPr>
              <w:t>на этапе закупки</w:t>
            </w:r>
            <w:r>
              <w:rPr>
                <w:rStyle w:val="afd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d"/>
            </w:rPr>
            <w:fldChar w:fldCharType="end"/>
          </w:r>
        </w:p>
      </w:sdtContent>
    </w:sdt>
    <w:p w:rsidR="004C14E0" w:rsidRDefault="004C14E0">
      <w:pPr>
        <w:pStyle w:val="17"/>
        <w:tabs>
          <w:tab w:val="right" w:leader="dot" w:pos="9921"/>
        </w:tabs>
        <w:rPr>
          <w:sz w:val="26"/>
          <w:szCs w:val="26"/>
        </w:rPr>
      </w:pPr>
    </w:p>
    <w:p w:rsidR="004C14E0" w:rsidRDefault="004C14E0">
      <w:pPr>
        <w:pStyle w:val="17"/>
        <w:tabs>
          <w:tab w:val="right" w:leader="dot" w:pos="9921"/>
        </w:tabs>
        <w:rPr>
          <w:sz w:val="26"/>
          <w:szCs w:val="26"/>
        </w:rPr>
      </w:pPr>
    </w:p>
    <w:p w:rsidR="004C14E0" w:rsidRDefault="004C14E0">
      <w:pPr>
        <w:pStyle w:val="3"/>
        <w:numPr>
          <w:ilvl w:val="0"/>
          <w:numId w:val="0"/>
        </w:numPr>
        <w:ind w:left="1224"/>
      </w:pPr>
    </w:p>
    <w:p w:rsidR="004C14E0" w:rsidRDefault="00E3630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C14E0" w:rsidRDefault="00E36303">
      <w:pPr>
        <w:pStyle w:val="1"/>
        <w:numPr>
          <w:ilvl w:val="0"/>
          <w:numId w:val="1"/>
        </w:numPr>
        <w:ind w:left="3828"/>
        <w:rPr>
          <w:caps/>
        </w:rPr>
      </w:pPr>
      <w:bookmarkStart w:id="0" w:name="_Toc51339692"/>
      <w:bookmarkStart w:id="1" w:name="_Toc212449184"/>
      <w:bookmarkStart w:id="2" w:name="_Toc123200594"/>
      <w:bookmarkStart w:id="3" w:name="_Toc156825734"/>
      <w:bookmarkEnd w:id="0"/>
      <w:r>
        <w:lastRenderedPageBreak/>
        <w:t>Общие сведения</w:t>
      </w:r>
      <w:bookmarkEnd w:id="1"/>
      <w:bookmarkEnd w:id="2"/>
      <w:bookmarkEnd w:id="3"/>
    </w:p>
    <w:p w:rsidR="004C14E0" w:rsidRDefault="00E36303">
      <w:pPr>
        <w:pStyle w:val="4"/>
        <w:numPr>
          <w:ilvl w:val="1"/>
          <w:numId w:val="1"/>
        </w:numPr>
        <w:rPr>
          <w:sz w:val="26"/>
          <w:szCs w:val="26"/>
        </w:rPr>
      </w:pPr>
      <w:bookmarkStart w:id="4" w:name="_Toc46743505"/>
      <w:bookmarkStart w:id="5" w:name="_Toc212449185"/>
      <w:bookmarkStart w:id="6" w:name="_Toc156825735"/>
      <w:bookmarkStart w:id="7" w:name="_Toc123200595"/>
      <w:bookmarkEnd w:id="4"/>
      <w:r>
        <w:rPr>
          <w:sz w:val="26"/>
          <w:szCs w:val="26"/>
        </w:rPr>
        <w:t>Обозначения и сокращения</w:t>
      </w:r>
      <w:bookmarkEnd w:id="5"/>
      <w:bookmarkEnd w:id="6"/>
      <w:bookmarkEnd w:id="7"/>
    </w:p>
    <w:p w:rsidR="004C14E0" w:rsidRDefault="004C14E0">
      <w:pPr>
        <w:rPr>
          <w:rStyle w:val="af6"/>
          <w:sz w:val="26"/>
          <w:szCs w:val="26"/>
        </w:rPr>
      </w:pPr>
    </w:p>
    <w:tbl>
      <w:tblPr>
        <w:tblW w:w="978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6"/>
                <w:bCs/>
                <w:i w:val="0"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6"/>
                <w:bCs/>
                <w:i w:val="0"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стандарт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6"/>
                <w:bCs/>
                <w:iCs/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6"/>
                <w:bCs/>
                <w:i w:val="0"/>
                <w:iCs/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гидроэлектростанция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материально-технические ресурсы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обособленное </w:t>
            </w:r>
            <w:r>
              <w:rPr>
                <w:sz w:val="26"/>
                <w:szCs w:val="26"/>
              </w:rPr>
              <w:t>подразделение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6"/>
                <w:bCs/>
                <w:i w:val="0"/>
                <w:iCs/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6"/>
                <w:bCs/>
                <w:i w:val="0"/>
                <w:iCs/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публичное акционерное общество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товарно-материальные ценности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 w:rsidR="004C14E0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технические условия</w:t>
            </w:r>
          </w:p>
        </w:tc>
      </w:tr>
    </w:tbl>
    <w:p w:rsidR="004C14E0" w:rsidRDefault="004C14E0">
      <w:pPr>
        <w:keepNext/>
        <w:keepLines/>
        <w:jc w:val="both"/>
        <w:rPr>
          <w:sz w:val="24"/>
          <w:szCs w:val="24"/>
        </w:rPr>
      </w:pPr>
    </w:p>
    <w:p w:rsidR="004C14E0" w:rsidRDefault="004C14E0">
      <w:pPr>
        <w:keepNext/>
        <w:keepLines/>
        <w:jc w:val="both"/>
        <w:rPr>
          <w:sz w:val="24"/>
          <w:szCs w:val="24"/>
        </w:rPr>
      </w:pPr>
    </w:p>
    <w:p w:rsidR="004C14E0" w:rsidRDefault="00E36303">
      <w:pPr>
        <w:keepNext/>
        <w:keepLines/>
        <w:rPr>
          <w:sz w:val="24"/>
          <w:szCs w:val="24"/>
        </w:rPr>
      </w:pPr>
      <w:r>
        <w:br w:type="page"/>
      </w:r>
    </w:p>
    <w:p w:rsidR="004C14E0" w:rsidRDefault="00E36303">
      <w:pPr>
        <w:tabs>
          <w:tab w:val="left" w:pos="3406"/>
        </w:tabs>
        <w:rPr>
          <w:b/>
          <w:sz w:val="26"/>
          <w:szCs w:val="26"/>
        </w:rPr>
      </w:pPr>
      <w:bookmarkStart w:id="8" w:name="_Toc46743506"/>
      <w:bookmarkStart w:id="9" w:name="_Toc123200596"/>
      <w:bookmarkStart w:id="10" w:name="_Toc156825736"/>
      <w:bookmarkEnd w:id="8"/>
      <w:r>
        <w:rPr>
          <w:b/>
          <w:sz w:val="26"/>
          <w:szCs w:val="26"/>
        </w:rPr>
        <w:lastRenderedPageBreak/>
        <w:t>1.1. Наименование закупаемой продукции</w:t>
      </w:r>
      <w:bookmarkEnd w:id="9"/>
      <w:bookmarkEnd w:id="10"/>
      <w:r>
        <w:rPr>
          <w:b/>
          <w:sz w:val="26"/>
          <w:szCs w:val="26"/>
        </w:rPr>
        <w:t>.</w:t>
      </w:r>
    </w:p>
    <w:p w:rsidR="004C14E0" w:rsidRDefault="00E36303">
      <w:pPr>
        <w:pStyle w:val="4"/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11" w:name="_Toc212449186"/>
      <w:r>
        <w:rPr>
          <w:rStyle w:val="23"/>
          <w:b/>
          <w:sz w:val="26"/>
          <w:szCs w:val="26"/>
        </w:rPr>
        <w:t>«Поставка пожарного инвентаря» для нужд филиала ПАО «РусГидро»-</w:t>
      </w:r>
      <w:r>
        <w:rPr>
          <w:rStyle w:val="23"/>
          <w:b/>
          <w:sz w:val="30"/>
          <w:szCs w:val="30"/>
        </w:rPr>
        <w:t>«</w:t>
      </w:r>
      <w:r>
        <w:rPr>
          <w:rStyle w:val="23"/>
          <w:b/>
          <w:sz w:val="26"/>
          <w:szCs w:val="26"/>
        </w:rPr>
        <w:t>Чебоксарская ГЭС» на 2026 год</w:t>
      </w:r>
      <w:bookmarkEnd w:id="11"/>
    </w:p>
    <w:p w:rsidR="004C14E0" w:rsidRDefault="004C14E0">
      <w:pPr>
        <w:pStyle w:val="4"/>
        <w:spacing w:before="0" w:after="0"/>
        <w:ind w:left="431" w:firstLine="0"/>
        <w:rPr>
          <w:b w:val="0"/>
          <w:sz w:val="26"/>
          <w:szCs w:val="26"/>
        </w:rPr>
      </w:pPr>
    </w:p>
    <w:p w:rsidR="004C14E0" w:rsidRDefault="00E36303">
      <w:pPr>
        <w:pStyle w:val="4"/>
        <w:numPr>
          <w:ilvl w:val="1"/>
          <w:numId w:val="1"/>
        </w:numPr>
        <w:spacing w:before="0"/>
        <w:rPr>
          <w:sz w:val="26"/>
          <w:szCs w:val="26"/>
        </w:rPr>
      </w:pPr>
      <w:bookmarkStart w:id="12" w:name="_Toc46743507"/>
      <w:bookmarkStart w:id="13" w:name="_Toc156825737"/>
      <w:bookmarkStart w:id="14" w:name="_Toc123200597"/>
      <w:bookmarkStart w:id="15" w:name="_Toc21244918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>использования закупаемой продукции</w:t>
      </w:r>
      <w:bookmarkEnd w:id="13"/>
      <w:bookmarkEnd w:id="14"/>
      <w:r>
        <w:rPr>
          <w:sz w:val="26"/>
          <w:szCs w:val="26"/>
        </w:rPr>
        <w:t>:</w:t>
      </w:r>
      <w:bookmarkEnd w:id="15"/>
      <w:r>
        <w:rPr>
          <w:sz w:val="26"/>
          <w:szCs w:val="26"/>
        </w:rPr>
        <w:t xml:space="preserve"> </w:t>
      </w:r>
    </w:p>
    <w:p w:rsidR="004C14E0" w:rsidRDefault="00E36303">
      <w:pPr>
        <w:pStyle w:val="4"/>
        <w:ind w:left="432" w:hanging="432"/>
      </w:pPr>
      <w:bookmarkStart w:id="16" w:name="_Toc212449188"/>
      <w:r>
        <w:rPr>
          <w:b w:val="0"/>
          <w:sz w:val="26"/>
          <w:szCs w:val="26"/>
        </w:rPr>
        <w:t>Поставка пожарного инвентаря производится для:</w:t>
      </w:r>
      <w:bookmarkEnd w:id="16"/>
    </w:p>
    <w:p w:rsidR="004C14E0" w:rsidRDefault="00E36303">
      <w:pPr>
        <w:pStyle w:val="4"/>
        <w:numPr>
          <w:ilvl w:val="0"/>
          <w:numId w:val="5"/>
        </w:numPr>
      </w:pPr>
      <w:bookmarkStart w:id="17" w:name="_Toc212449189"/>
      <w:r>
        <w:rPr>
          <w:b w:val="0"/>
          <w:sz w:val="26"/>
          <w:szCs w:val="26"/>
        </w:rPr>
        <w:t>обеспечения пожарной безопасности объектов и оборудования филиала ПАО «РусГидро»- «Чебоксарская ГЭС»;</w:t>
      </w:r>
      <w:bookmarkEnd w:id="17"/>
    </w:p>
    <w:p w:rsidR="004C14E0" w:rsidRPr="00E36303" w:rsidRDefault="00E36303">
      <w:pPr>
        <w:pStyle w:val="4"/>
        <w:numPr>
          <w:ilvl w:val="0"/>
          <w:numId w:val="5"/>
        </w:numPr>
      </w:pPr>
      <w:bookmarkStart w:id="18" w:name="_Toc212449190"/>
      <w:r w:rsidRPr="00E36303">
        <w:rPr>
          <w:b w:val="0"/>
          <w:sz w:val="26"/>
          <w:szCs w:val="26"/>
          <w:shd w:val="clear" w:color="auto" w:fill="FFFF00"/>
        </w:rPr>
        <w:t xml:space="preserve">поддержания оснащенности филиала </w:t>
      </w:r>
      <w:r w:rsidRPr="00E36303">
        <w:rPr>
          <w:b w:val="0"/>
          <w:sz w:val="26"/>
          <w:szCs w:val="26"/>
          <w:shd w:val="clear" w:color="auto" w:fill="FFFF00"/>
        </w:rPr>
        <w:t>ПАО «РусГидро»- «Чебоксарская ГЭС» первичными средствами пожаротушения (для замены непригодных к дальнейшей эксплуатации, с истекшим сроком службы и взамен утерянных);</w:t>
      </w:r>
      <w:bookmarkEnd w:id="18"/>
    </w:p>
    <w:p w:rsidR="004C14E0" w:rsidRPr="00E36303" w:rsidRDefault="00E36303">
      <w:pPr>
        <w:pStyle w:val="4"/>
        <w:numPr>
          <w:ilvl w:val="0"/>
          <w:numId w:val="5"/>
        </w:numPr>
        <w:spacing w:before="0"/>
      </w:pPr>
      <w:bookmarkStart w:id="19" w:name="_Toc212449191"/>
      <w:r w:rsidRPr="00E36303">
        <w:rPr>
          <w:b w:val="0"/>
          <w:sz w:val="26"/>
          <w:szCs w:val="26"/>
        </w:rPr>
        <w:t xml:space="preserve">соответствия требованиям Правил пожарной безопасности для энергетических предприятий РД </w:t>
      </w:r>
      <w:r w:rsidRPr="00E36303">
        <w:rPr>
          <w:b w:val="0"/>
          <w:sz w:val="26"/>
          <w:szCs w:val="26"/>
        </w:rPr>
        <w:t>153-34.0</w:t>
      </w:r>
      <w:bookmarkStart w:id="20" w:name="_GoBack"/>
      <w:bookmarkEnd w:id="20"/>
      <w:r w:rsidRPr="00E36303">
        <w:rPr>
          <w:b w:val="0"/>
          <w:sz w:val="26"/>
          <w:szCs w:val="26"/>
        </w:rPr>
        <w:t>-03.301-00 (ВППБ</w:t>
      </w:r>
      <w:r w:rsidRPr="00E36303">
        <w:rPr>
          <w:sz w:val="26"/>
          <w:szCs w:val="26"/>
        </w:rPr>
        <w:t xml:space="preserve"> 01-02-</w:t>
      </w:r>
      <w:r w:rsidRPr="00E36303">
        <w:rPr>
          <w:b w:val="0"/>
          <w:sz w:val="26"/>
          <w:szCs w:val="26"/>
        </w:rPr>
        <w:t>95*), Правил противопожарного режима в Российской Федерации.</w:t>
      </w:r>
      <w:bookmarkEnd w:id="19"/>
    </w:p>
    <w:p w:rsidR="004C14E0" w:rsidRPr="00E36303" w:rsidRDefault="004C14E0">
      <w:pPr>
        <w:pStyle w:val="4"/>
        <w:spacing w:before="0"/>
        <w:ind w:left="432" w:firstLine="0"/>
        <w:rPr>
          <w:b w:val="0"/>
          <w:sz w:val="26"/>
          <w:szCs w:val="26"/>
        </w:rPr>
      </w:pPr>
    </w:p>
    <w:p w:rsidR="004C14E0" w:rsidRPr="00E36303" w:rsidRDefault="00E36303">
      <w:pPr>
        <w:pStyle w:val="4"/>
        <w:numPr>
          <w:ilvl w:val="1"/>
          <w:numId w:val="1"/>
        </w:numPr>
        <w:spacing w:before="0"/>
        <w:rPr>
          <w:sz w:val="26"/>
          <w:szCs w:val="26"/>
        </w:rPr>
      </w:pPr>
      <w:bookmarkStart w:id="21" w:name="_Toc212449192"/>
      <w:bookmarkStart w:id="22" w:name="_Toc156825738"/>
      <w:bookmarkStart w:id="23" w:name="_Toc46743508"/>
      <w:bookmarkStart w:id="24" w:name="_Toc123200598"/>
      <w:r w:rsidRPr="00E36303">
        <w:rPr>
          <w:sz w:val="26"/>
          <w:szCs w:val="26"/>
        </w:rPr>
        <w:t>Существующее положение</w:t>
      </w:r>
      <w:bookmarkEnd w:id="21"/>
      <w:bookmarkEnd w:id="22"/>
      <w:bookmarkEnd w:id="23"/>
      <w:bookmarkEnd w:id="24"/>
      <w:r w:rsidRPr="00E36303">
        <w:rPr>
          <w:sz w:val="26"/>
          <w:szCs w:val="26"/>
        </w:rPr>
        <w:t xml:space="preserve"> </w:t>
      </w:r>
    </w:p>
    <w:p w:rsidR="004C14E0" w:rsidRPr="00E36303" w:rsidRDefault="004C14E0">
      <w:pPr>
        <w:pStyle w:val="4"/>
        <w:spacing w:before="0"/>
        <w:ind w:left="432" w:firstLine="0"/>
        <w:rPr>
          <w:sz w:val="26"/>
          <w:szCs w:val="26"/>
        </w:rPr>
      </w:pPr>
    </w:p>
    <w:p w:rsidR="004C14E0" w:rsidRPr="00E36303" w:rsidRDefault="00E36303">
      <w:pPr>
        <w:pStyle w:val="4"/>
        <w:spacing w:before="0"/>
        <w:ind w:firstLine="432"/>
        <w:jc w:val="both"/>
        <w:rPr>
          <w:b w:val="0"/>
          <w:sz w:val="26"/>
          <w:szCs w:val="26"/>
          <w:shd w:val="clear" w:color="auto" w:fill="FFFF00"/>
        </w:rPr>
      </w:pPr>
      <w:bookmarkStart w:id="25" w:name="_Toc212449193"/>
      <w:r w:rsidRPr="00E36303">
        <w:rPr>
          <w:b w:val="0"/>
          <w:sz w:val="26"/>
          <w:szCs w:val="26"/>
          <w:shd w:val="clear" w:color="auto" w:fill="FFFF00"/>
        </w:rPr>
        <w:t xml:space="preserve">Трансформаторные подстанции ТП-10Н, ТП-35Н, ТП-52Н, ТП-61Н, помещения ГЦ-103, ком. блока № 2, тех. подполья маслохозяйства МП не оснащены </w:t>
      </w:r>
      <w:r w:rsidRPr="00E36303">
        <w:rPr>
          <w:b w:val="0"/>
          <w:sz w:val="26"/>
          <w:szCs w:val="26"/>
          <w:shd w:val="clear" w:color="auto" w:fill="FFFF00"/>
        </w:rPr>
        <w:t>пожарными шкафами для хранения огнетушителей.</w:t>
      </w:r>
    </w:p>
    <w:p w:rsidR="004C14E0" w:rsidRPr="00E36303" w:rsidRDefault="00E36303">
      <w:pPr>
        <w:pStyle w:val="4"/>
        <w:spacing w:before="0"/>
        <w:ind w:firstLine="432"/>
        <w:jc w:val="both"/>
        <w:rPr>
          <w:b w:val="0"/>
          <w:sz w:val="26"/>
          <w:szCs w:val="26"/>
          <w:shd w:val="clear" w:color="auto" w:fill="FFFF00"/>
        </w:rPr>
      </w:pPr>
      <w:r w:rsidRPr="00E36303">
        <w:rPr>
          <w:b w:val="0"/>
          <w:sz w:val="26"/>
          <w:szCs w:val="26"/>
          <w:shd w:val="clear" w:color="auto" w:fill="FFFF00"/>
        </w:rPr>
        <w:t>Огнетушители, установленные в коридоре МНУ на отм. 64.2 м. здания ГЭС, изготовлены в 2017 г., истекает срок службы согласно паспортным данным. Пожарные рукава для пожарных кранов (на отм. 54,3 м, на отм. 59,4 м</w:t>
      </w:r>
      <w:r w:rsidRPr="00E36303">
        <w:rPr>
          <w:b w:val="0"/>
          <w:sz w:val="26"/>
          <w:szCs w:val="26"/>
          <w:shd w:val="clear" w:color="auto" w:fill="FFFF00"/>
        </w:rPr>
        <w:t>) имеют недопустимые дефекты (высыхание внутреннего слоя латекса, не соответствие после ремонтов требуемой длины, протечки по всей длине).</w:t>
      </w:r>
    </w:p>
    <w:p w:rsidR="004C14E0" w:rsidRPr="00E36303" w:rsidRDefault="00E36303">
      <w:pPr>
        <w:pStyle w:val="4"/>
        <w:spacing w:before="0"/>
        <w:ind w:firstLine="432"/>
        <w:jc w:val="both"/>
        <w:rPr>
          <w:shd w:val="clear" w:color="auto" w:fill="FFFF00"/>
        </w:rPr>
      </w:pPr>
      <w:r w:rsidRPr="00E36303">
        <w:rPr>
          <w:b w:val="0"/>
          <w:sz w:val="26"/>
          <w:szCs w:val="26"/>
          <w:shd w:val="clear" w:color="auto" w:fill="FFFF00"/>
        </w:rPr>
        <w:t>Пожарные шкафы, ящики с песком установлены на открытой территории ОРУ-500/220 кВ при вводе оборудования в эксплуатаци</w:t>
      </w:r>
      <w:r w:rsidRPr="00E36303">
        <w:rPr>
          <w:b w:val="0"/>
          <w:sz w:val="26"/>
          <w:szCs w:val="26"/>
          <w:shd w:val="clear" w:color="auto" w:fill="FFFF00"/>
        </w:rPr>
        <w:t xml:space="preserve">ю, </w:t>
      </w:r>
      <w:r w:rsidRPr="00E36303">
        <w:rPr>
          <w:b w:val="0"/>
          <w:bCs w:val="0"/>
          <w:sz w:val="26"/>
          <w:szCs w:val="26"/>
          <w:shd w:val="clear" w:color="auto" w:fill="FFFF00"/>
        </w:rPr>
        <w:t>морально устарели, физически изношены и имеют недопустимые дефекты, поэтому</w:t>
      </w:r>
      <w:r w:rsidRPr="00E36303">
        <w:rPr>
          <w:b w:val="0"/>
          <w:sz w:val="26"/>
          <w:szCs w:val="26"/>
          <w:shd w:val="clear" w:color="auto" w:fill="FFFF00"/>
        </w:rPr>
        <w:t xml:space="preserve"> возникает необходимость их обновления.</w:t>
      </w:r>
      <w:bookmarkEnd w:id="25"/>
    </w:p>
    <w:p w:rsidR="004C14E0" w:rsidRPr="00E36303" w:rsidRDefault="00E36303">
      <w:pPr>
        <w:pStyle w:val="1"/>
        <w:numPr>
          <w:ilvl w:val="0"/>
          <w:numId w:val="1"/>
        </w:numPr>
        <w:spacing w:before="0"/>
        <w:ind w:left="3828" w:hanging="425"/>
        <w:rPr>
          <w:sz w:val="26"/>
          <w:szCs w:val="26"/>
        </w:rPr>
      </w:pPr>
      <w:bookmarkStart w:id="26" w:name="_Toc51339693"/>
      <w:bookmarkStart w:id="27" w:name="_Hlk48209761"/>
      <w:bookmarkStart w:id="28" w:name="_Toc212449194"/>
      <w:bookmarkStart w:id="29" w:name="_Toc156825739"/>
      <w:bookmarkStart w:id="30" w:name="_Toc123200599"/>
      <w:bookmarkEnd w:id="26"/>
      <w:bookmarkEnd w:id="27"/>
      <w:r w:rsidRPr="00E36303">
        <w:rPr>
          <w:sz w:val="26"/>
          <w:szCs w:val="26"/>
        </w:rPr>
        <w:t>Требования к продукции</w:t>
      </w:r>
      <w:bookmarkEnd w:id="28"/>
      <w:bookmarkEnd w:id="29"/>
      <w:bookmarkEnd w:id="30"/>
    </w:p>
    <w:p w:rsidR="004C14E0" w:rsidRPr="00E36303" w:rsidRDefault="00E36303">
      <w:pPr>
        <w:pStyle w:val="4"/>
        <w:numPr>
          <w:ilvl w:val="1"/>
          <w:numId w:val="1"/>
        </w:numPr>
        <w:spacing w:before="0"/>
        <w:rPr>
          <w:sz w:val="26"/>
          <w:szCs w:val="26"/>
        </w:rPr>
      </w:pPr>
      <w:bookmarkStart w:id="31" w:name="_Toc212449195"/>
      <w:bookmarkStart w:id="32" w:name="_Toc123200600"/>
      <w:bookmarkStart w:id="33" w:name="_Toc156825740"/>
      <w:r w:rsidRPr="00E36303">
        <w:rPr>
          <w:sz w:val="26"/>
          <w:szCs w:val="26"/>
        </w:rPr>
        <w:t>Требования к объемам и срокам поставки</w:t>
      </w:r>
      <w:bookmarkEnd w:id="31"/>
      <w:bookmarkEnd w:id="32"/>
      <w:bookmarkEnd w:id="33"/>
    </w:p>
    <w:p w:rsidR="004C14E0" w:rsidRDefault="00E36303">
      <w:pPr>
        <w:pStyle w:val="3"/>
        <w:spacing w:before="0"/>
        <w:ind w:left="567" w:hanging="567"/>
        <w:rPr>
          <w:sz w:val="26"/>
          <w:szCs w:val="26"/>
        </w:rPr>
      </w:pPr>
      <w:bookmarkStart w:id="34" w:name="_Toc212449196"/>
      <w:bookmarkStart w:id="35" w:name="_Toc156825741"/>
      <w:bookmarkStart w:id="36" w:name="_Toc123200601"/>
      <w:r>
        <w:rPr>
          <w:sz w:val="26"/>
          <w:szCs w:val="26"/>
        </w:rPr>
        <w:t>Перечень и объем закупаемой продукции</w:t>
      </w:r>
      <w:bookmarkEnd w:id="34"/>
      <w:bookmarkEnd w:id="35"/>
      <w:bookmarkEnd w:id="36"/>
    </w:p>
    <w:p w:rsidR="004C14E0" w:rsidRDefault="00E36303">
      <w:pPr>
        <w:pStyle w:val="3"/>
        <w:spacing w:before="0"/>
        <w:ind w:left="709" w:hanging="709"/>
        <w:rPr>
          <w:sz w:val="26"/>
          <w:szCs w:val="26"/>
        </w:rPr>
      </w:pPr>
      <w:bookmarkStart w:id="37" w:name="_Toc51339695"/>
      <w:bookmarkStart w:id="38" w:name="_Toc212449197"/>
      <w:bookmarkStart w:id="39" w:name="_Toc156825742"/>
      <w:bookmarkStart w:id="40" w:name="_Toc123200602"/>
      <w:r>
        <w:rPr>
          <w:sz w:val="26"/>
          <w:szCs w:val="26"/>
        </w:rPr>
        <w:t xml:space="preserve">Таблица 1.1 Перечень </w:t>
      </w:r>
      <w:bookmarkEnd w:id="37"/>
      <w:r>
        <w:rPr>
          <w:sz w:val="26"/>
          <w:szCs w:val="26"/>
        </w:rPr>
        <w:t>и объем закупаемо</w:t>
      </w:r>
      <w:r>
        <w:rPr>
          <w:sz w:val="26"/>
          <w:szCs w:val="26"/>
        </w:rPr>
        <w:t>й продукции</w:t>
      </w:r>
      <w:bookmarkEnd w:id="38"/>
      <w:bookmarkEnd w:id="39"/>
      <w:bookmarkEnd w:id="40"/>
    </w:p>
    <w:tbl>
      <w:tblPr>
        <w:tblW w:w="9960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76"/>
        <w:gridCol w:w="3014"/>
        <w:gridCol w:w="1413"/>
        <w:gridCol w:w="3402"/>
        <w:gridCol w:w="709"/>
        <w:gridCol w:w="746"/>
      </w:tblGrid>
      <w:tr w:rsidR="004C14E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 о национальном режиме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4C14E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C14E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</w:pP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П</w:t>
            </w:r>
            <w:r>
              <w:rPr>
                <w:color w:val="000000"/>
                <w:sz w:val="26"/>
              </w:rPr>
              <w:t>ожарный шкаф открытого типа ШПО-100 НОК</w:t>
            </w:r>
          </w:p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25.99.21.111</w:t>
            </w:r>
          </w:p>
          <w:p w:rsidR="004C14E0" w:rsidRDefault="004C14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|Применяется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4C14E0"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</w:pPr>
            <w:r>
              <w:t>‍</w:t>
            </w:r>
          </w:p>
        </w:tc>
        <w:tc>
          <w:tcPr>
            <w:tcW w:w="3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Лопата совковая песочная с черенком ЛСП-4-1300</w:t>
            </w:r>
          </w:p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25.99.29.120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Применяется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4C14E0"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</w:pPr>
            <w:r>
              <w:t>‍</w:t>
            </w:r>
          </w:p>
        </w:tc>
        <w:tc>
          <w:tcPr>
            <w:tcW w:w="3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Рукав напорный для </w:t>
            </w:r>
            <w:r>
              <w:rPr>
                <w:color w:val="000000"/>
                <w:sz w:val="26"/>
              </w:rPr>
              <w:lastRenderedPageBreak/>
              <w:t>пожарных кранов РПК-Н/В (В)-1,0-УХЛ1 с ГР-50</w:t>
            </w:r>
          </w:p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22.19.30.13</w:t>
            </w: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Не применяется (установлено </w:t>
            </w:r>
            <w:r>
              <w:rPr>
                <w:color w:val="000000"/>
                <w:sz w:val="24"/>
                <w:szCs w:val="24"/>
              </w:rPr>
              <w:lastRenderedPageBreak/>
              <w:t>ограничение закупок товаров иностранного происхождения</w:t>
            </w:r>
            <w:r>
              <w:t>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4C14E0"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</w:pPr>
            <w:r>
              <w:t>‍</w:t>
            </w:r>
          </w:p>
        </w:tc>
        <w:tc>
          <w:tcPr>
            <w:tcW w:w="3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Стенд пожарный с ящиком 0,5 м. куб.</w:t>
            </w:r>
          </w:p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28.99.39.190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</w:t>
            </w:r>
            <w:r>
              <w:rPr>
                <w:color w:val="000000"/>
                <w:sz w:val="24"/>
                <w:szCs w:val="24"/>
              </w:rPr>
              <w:t>применяется (установлено ограничение закупок товаров иностранного происхождения)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</w:tr>
      <w:tr w:rsidR="004C14E0"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</w:pPr>
            <w:r>
              <w:t>‍</w:t>
            </w:r>
          </w:p>
        </w:tc>
        <w:tc>
          <w:tcPr>
            <w:tcW w:w="3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Огнетушитель порошковый закачной ОП-8(з)-АВСЕ-01</w:t>
            </w:r>
          </w:p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28.29.22.110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Применяется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</w:tr>
    </w:tbl>
    <w:p w:rsidR="004C14E0" w:rsidRDefault="00E36303">
      <w:pPr>
        <w:pStyle w:val="3"/>
      </w:pPr>
      <w:bookmarkStart w:id="41" w:name="_Toc51339696"/>
      <w:bookmarkStart w:id="42" w:name="_Toc212449198"/>
      <w:bookmarkStart w:id="43" w:name="_Toc156825743"/>
      <w:bookmarkStart w:id="44" w:name="_Toc123200603"/>
      <w:r>
        <w:t xml:space="preserve">Требования </w:t>
      </w:r>
      <w:bookmarkEnd w:id="41"/>
      <w:r>
        <w:t>к срокам поставки продукции и оказания сопутствующих услуг</w:t>
      </w:r>
      <w:bookmarkEnd w:id="42"/>
      <w:bookmarkEnd w:id="43"/>
      <w:bookmarkEnd w:id="44"/>
    </w:p>
    <w:p w:rsidR="004C14E0" w:rsidRDefault="00E36303">
      <w:pPr>
        <w:pStyle w:val="3"/>
      </w:pPr>
      <w:bookmarkStart w:id="45" w:name="_Toc50125126"/>
      <w:bookmarkStart w:id="46" w:name="_Toc51339697"/>
      <w:bookmarkStart w:id="47" w:name="_Toc50125127"/>
      <w:bookmarkStart w:id="48" w:name="_Toc212449199"/>
      <w:bookmarkStart w:id="49" w:name="_Toc123200604"/>
      <w:bookmarkStart w:id="50" w:name="_Toc156825744"/>
      <w:bookmarkEnd w:id="45"/>
      <w:r>
        <w:t xml:space="preserve">Таблица 2.1 </w:t>
      </w:r>
      <w:bookmarkStart w:id="51" w:name="_Hlk50465284"/>
      <w:r>
        <w:t xml:space="preserve">Требования по срокам </w:t>
      </w:r>
      <w:bookmarkEnd w:id="46"/>
      <w:bookmarkEnd w:id="47"/>
      <w:bookmarkEnd w:id="51"/>
      <w:r>
        <w:t>поставки продукции</w:t>
      </w:r>
      <w:bookmarkEnd w:id="48"/>
      <w:bookmarkEnd w:id="49"/>
      <w:bookmarkEnd w:id="50"/>
      <w:r>
        <w:t xml:space="preserve"> </w:t>
      </w:r>
    </w:p>
    <w:tbl>
      <w:tblPr>
        <w:tblW w:w="9776" w:type="dxa"/>
        <w:tblInd w:w="31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35"/>
        <w:gridCol w:w="2547"/>
        <w:gridCol w:w="2989"/>
        <w:gridCol w:w="3105"/>
      </w:tblGrid>
      <w:tr w:rsidR="004C14E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C14E0">
        <w:trPr>
          <w:trHeight w:val="254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E36303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C14E0">
        <w:trPr>
          <w:trHeight w:val="70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14E0" w:rsidRDefault="004C14E0">
            <w:pPr>
              <w:pStyle w:val="afffa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  28.29.22 Поставка пожарного инвентаря для нужд филиала </w:t>
            </w:r>
            <w:r>
              <w:rPr>
                <w:sz w:val="24"/>
                <w:szCs w:val="24"/>
              </w:rPr>
              <w:t>ПАО «РусГидро»-</w:t>
            </w:r>
            <w:r>
              <w:rPr>
                <w:rStyle w:val="a3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23"/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Чебоксарская ГЭС»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Начало – с даты, следующей за датой заключения Договора.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Окончание – </w:t>
            </w:r>
            <w:r>
              <w:rPr>
                <w:rFonts w:eastAsia="Calibri"/>
                <w:sz w:val="24"/>
                <w:szCs w:val="24"/>
                <w:highlight w:val="yellow"/>
              </w:rPr>
              <w:t>31.08.2026</w:t>
            </w:r>
          </w:p>
        </w:tc>
      </w:tr>
    </w:tbl>
    <w:p w:rsidR="004C14E0" w:rsidRDefault="004C14E0">
      <w:pPr>
        <w:sectPr w:rsidR="004C14E0">
          <w:headerReference w:type="default" r:id="rId8"/>
          <w:headerReference w:type="first" r:id="rId9"/>
          <w:pgSz w:w="11906" w:h="16838"/>
          <w:pgMar w:top="1134" w:right="851" w:bottom="851" w:left="1134" w:header="680" w:footer="0" w:gutter="0"/>
          <w:cols w:space="720"/>
          <w:formProt w:val="0"/>
          <w:titlePg/>
          <w:docGrid w:linePitch="360"/>
        </w:sectPr>
      </w:pPr>
    </w:p>
    <w:p w:rsidR="004C14E0" w:rsidRDefault="00E36303">
      <w:pPr>
        <w:pStyle w:val="4"/>
        <w:numPr>
          <w:ilvl w:val="1"/>
          <w:numId w:val="1"/>
        </w:numPr>
        <w:rPr>
          <w:sz w:val="26"/>
          <w:szCs w:val="26"/>
        </w:rPr>
      </w:pPr>
      <w:bookmarkStart w:id="52" w:name="_Toc46743511"/>
      <w:bookmarkStart w:id="53" w:name="_Toc156825745"/>
      <w:bookmarkStart w:id="54" w:name="_Toc123200605"/>
      <w:bookmarkStart w:id="55" w:name="_Toc212449200"/>
      <w:bookmarkStart w:id="56" w:name="_Toc51339698"/>
      <w:r>
        <w:rPr>
          <w:sz w:val="26"/>
          <w:szCs w:val="26"/>
        </w:rPr>
        <w:lastRenderedPageBreak/>
        <w:t xml:space="preserve">Требования к </w:t>
      </w:r>
      <w:bookmarkEnd w:id="52"/>
      <w:r>
        <w:rPr>
          <w:sz w:val="26"/>
          <w:szCs w:val="26"/>
        </w:rPr>
        <w:t>качеству продукции</w:t>
      </w:r>
      <w:bookmarkEnd w:id="53"/>
      <w:bookmarkEnd w:id="54"/>
      <w:bookmarkEnd w:id="55"/>
    </w:p>
    <w:p w:rsidR="004C14E0" w:rsidRDefault="00E36303">
      <w:pPr>
        <w:pStyle w:val="3"/>
        <w:ind w:left="709" w:hanging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bookmarkStart w:id="57" w:name="_Toc156825746"/>
      <w:bookmarkStart w:id="58" w:name="_Toc212449201"/>
      <w:bookmarkStart w:id="59" w:name="_Toc123200606"/>
      <w:r>
        <w:rPr>
          <w:b w:val="0"/>
          <w:sz w:val="26"/>
          <w:szCs w:val="26"/>
        </w:rPr>
        <w:t>Таблица 3. Требования к продукции</w:t>
      </w:r>
      <w:bookmarkEnd w:id="56"/>
      <w:bookmarkEnd w:id="57"/>
      <w:bookmarkEnd w:id="58"/>
      <w:bookmarkEnd w:id="59"/>
      <w:r>
        <w:rPr>
          <w:b w:val="0"/>
          <w:sz w:val="26"/>
          <w:szCs w:val="26"/>
        </w:rPr>
        <w:t xml:space="preserve"> </w:t>
      </w:r>
    </w:p>
    <w:p w:rsidR="004C14E0" w:rsidRDefault="00E36303">
      <w:pPr>
        <w:pStyle w:val="afffa"/>
        <w:ind w:left="0" w:firstLine="346"/>
        <w:jc w:val="both"/>
        <w:rPr>
          <w:sz w:val="26"/>
          <w:szCs w:val="26"/>
          <w:highlight w:val="green"/>
        </w:rPr>
      </w:pPr>
      <w:r>
        <w:rPr>
          <w:bCs/>
          <w:sz w:val="26"/>
          <w:szCs w:val="26"/>
        </w:rPr>
        <w:t xml:space="preserve">Продукция должна быть новой, ранее не использованной, </w:t>
      </w:r>
      <w:r>
        <w:rPr>
          <w:sz w:val="26"/>
          <w:szCs w:val="26"/>
        </w:rPr>
        <w:t>не бывшей в употреблении, не восстановленной после ремонта, не выставочным экземпляром, технически исправной.</w:t>
      </w:r>
    </w:p>
    <w:p w:rsidR="004C14E0" w:rsidRDefault="00E36303">
      <w:pPr>
        <w:pStyle w:val="afffa"/>
        <w:ind w:left="0" w:firstLine="346"/>
        <w:jc w:val="both"/>
        <w:rPr>
          <w:bCs/>
          <w:sz w:val="26"/>
          <w:szCs w:val="26"/>
          <w:highlight w:val="green"/>
        </w:rPr>
      </w:pPr>
      <w:r>
        <w:rPr>
          <w:bCs/>
          <w:sz w:val="26"/>
          <w:szCs w:val="26"/>
        </w:rPr>
        <w:t xml:space="preserve">По качеству и комплектности должна соответствовать </w:t>
      </w:r>
      <w:r>
        <w:rPr>
          <w:bCs/>
          <w:sz w:val="26"/>
          <w:szCs w:val="26"/>
        </w:rPr>
        <w:t>действующим на момент поставки ТУ, указанным в соответствующих сертификатах (паспортах).</w:t>
      </w:r>
    </w:p>
    <w:p w:rsidR="004C14E0" w:rsidRDefault="004C14E0">
      <w:pPr>
        <w:pStyle w:val="afffa"/>
        <w:ind w:left="0" w:firstLine="346"/>
        <w:jc w:val="both"/>
        <w:rPr>
          <w:bCs/>
          <w:sz w:val="26"/>
          <w:szCs w:val="26"/>
          <w:highlight w:val="green"/>
        </w:rPr>
      </w:pPr>
    </w:p>
    <w:tbl>
      <w:tblPr>
        <w:tblStyle w:val="affffb"/>
        <w:tblW w:w="15099" w:type="dxa"/>
        <w:tblInd w:w="31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07"/>
        <w:gridCol w:w="2668"/>
        <w:gridCol w:w="5529"/>
        <w:gridCol w:w="2127"/>
        <w:gridCol w:w="1986"/>
        <w:gridCol w:w="1982"/>
      </w:tblGrid>
      <w:tr w:rsidR="004C14E0">
        <w:tc>
          <w:tcPr>
            <w:tcW w:w="806" w:type="dxa"/>
            <w:vMerge w:val="restart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Требование </w:t>
            </w:r>
            <w:r>
              <w:rPr>
                <w:b/>
                <w:bCs/>
                <w:sz w:val="22"/>
                <w:szCs w:val="22"/>
                <w:lang w:val="en-US"/>
              </w:rPr>
              <w:t>Покупателя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C14E0">
        <w:tc>
          <w:tcPr>
            <w:tcW w:w="806" w:type="dxa"/>
            <w:vMerge/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vMerge/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C14E0">
        <w:trPr>
          <w:trHeight w:val="77"/>
        </w:trPr>
        <w:tc>
          <w:tcPr>
            <w:tcW w:w="806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197" w:type="dxa"/>
            <w:gridSpan w:val="2"/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7" w:type="dxa"/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shd w:val="clear" w:color="auto" w:fill="auto"/>
          </w:tcPr>
          <w:p w:rsidR="004C14E0" w:rsidRDefault="00E363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Пожарный </w:t>
            </w:r>
            <w:r>
              <w:rPr>
                <w:color w:val="000000"/>
                <w:sz w:val="22"/>
                <w:szCs w:val="22"/>
              </w:rPr>
              <w:t>шкаф открытого типа ШПО-100 НОК</w:t>
            </w:r>
          </w:p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>П</w:t>
            </w:r>
            <w:r>
              <w:rPr>
                <w:color w:val="000000"/>
                <w:sz w:val="26"/>
              </w:rPr>
              <w:t>ожарный шкаф открытого типа, красного цвета, навесной, с габаритами (мм) 300х730х210, для хранения одного огнетушителя от 6 до 12 кг</w:t>
            </w:r>
          </w:p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технических характеристик</w:t>
            </w: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hd w:val="clear" w:color="auto" w:fill="FFFF0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t>Лопата совковая песочная с черенком ЛСП-4-1300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Лопата совковая песочная с черенком с полушаровой головкой длиной 1300 мм ЛСП-4-1300</w:t>
            </w:r>
          </w:p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2"/>
                <w:szCs w:val="22"/>
              </w:rPr>
            </w:pPr>
            <w:r>
              <w:t>Указание технических характеристик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t>Рукав напорный для пожарных кранов РПК-Н/В (В)-1,0-УХЛ1 с ГР-50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Рукав напорный для пожарных кранов с внутренним полимерным </w:t>
            </w:r>
            <w:r>
              <w:rPr>
                <w:color w:val="000000"/>
                <w:sz w:val="26"/>
              </w:rPr>
              <w:t>покрытием, скатка по 20 м, внутренний диаметр 51 мм, с двумя навязанными алюминиевыми головками ГР-50</w:t>
            </w:r>
          </w:p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2"/>
                <w:szCs w:val="22"/>
              </w:rPr>
            </w:pPr>
            <w:r>
              <w:t>Указание технических характеристик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‍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t>Стенд пожарный с ящиком 0,5 м. куб.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Стенд пожарный закрытого типа (с толщиной металла 1,5-2 мм) с окнами </w:t>
            </w:r>
            <w:r>
              <w:rPr>
                <w:color w:val="000000"/>
                <w:sz w:val="26"/>
              </w:rPr>
              <w:t>(стекло), красного цвета, напольный, с габаритами (мм) 1200х1600х900 (ДхВхШ), для хранения не менее двух огнетушителей, с ящиком для песка 0,5 м. куб. для наружной установки (защита от солнца и атмосферных осадков).</w:t>
            </w:r>
          </w:p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2"/>
                <w:szCs w:val="22"/>
              </w:rPr>
            </w:pPr>
            <w:r>
              <w:t>Указание технических характеристик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Огнетушитель порошковый закачной ОП-8(з)-АВСЕ-01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Огнетушитель порошковый закачной для тушения пожаров классов А, В, С, Е с огнетушащей способностью не менее 4А 144В с массой огнетушащего вещества 8 кг (латунные ЗПУ)</w:t>
            </w:r>
          </w:p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sz w:val="22"/>
                <w:szCs w:val="22"/>
              </w:rPr>
            </w:pPr>
            <w:r>
              <w:t>Указание технических характеристик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197" w:type="dxa"/>
            <w:gridSpan w:val="2"/>
            <w:shd w:val="clear" w:color="auto" w:fill="auto"/>
            <w:vAlign w:val="center"/>
          </w:tcPr>
          <w:p w:rsidR="004C14E0" w:rsidRDefault="004C14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гарантии</w:t>
            </w:r>
          </w:p>
        </w:tc>
        <w:tc>
          <w:tcPr>
            <w:tcW w:w="5529" w:type="dxa"/>
            <w:shd w:val="clear" w:color="auto" w:fill="auto"/>
          </w:tcPr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Гарантийный срок на Товар, поставленный по Договору, составляет 12 (двенадцать) месяцев и начинает действовать с даты подписания Сторонами накладной ТОРГ-12(УПД). Гарантийный срок может быть продлен в соответствии с условиями </w:t>
            </w:r>
            <w:r>
              <w:rPr>
                <w:color w:val="000000"/>
                <w:sz w:val="22"/>
                <w:szCs w:val="22"/>
              </w:rPr>
              <w:t>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Предложение по сроку гарантии на оборудование и запасные части.</w:t>
            </w: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197" w:type="dxa"/>
            <w:gridSpan w:val="2"/>
            <w:shd w:val="clear" w:color="auto" w:fill="auto"/>
            <w:vAlign w:val="center"/>
          </w:tcPr>
          <w:p w:rsidR="004C14E0" w:rsidRDefault="00E36303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и документам, поставляемым вместе с </w:t>
            </w:r>
            <w:r>
              <w:rPr>
                <w:b/>
                <w:sz w:val="24"/>
                <w:szCs w:val="24"/>
              </w:rPr>
              <w:t>продукцией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Документы, передаваемые вместе с оборудованием</w:t>
            </w:r>
          </w:p>
        </w:tc>
        <w:tc>
          <w:tcPr>
            <w:tcW w:w="5529" w:type="dxa"/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сертификаты качества;</w:t>
            </w:r>
          </w:p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технические паспорта;</w:t>
            </w:r>
          </w:p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руководства </w:t>
            </w:r>
            <w:r>
              <w:rPr>
                <w:color w:val="000000"/>
                <w:sz w:val="22"/>
                <w:szCs w:val="22"/>
              </w:rPr>
              <w:t>по эксплуатации;</w:t>
            </w:r>
          </w:p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упаковочные листы, упаковочные ярлыки;</w:t>
            </w:r>
          </w:p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товарно-транспортную накладную формы №1-Т;</w:t>
            </w:r>
          </w:p>
          <w:p w:rsidR="004C14E0" w:rsidRDefault="00E36303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товарную накладную унифицированной формы ТОРГ-12(УПД) в 2 экз.;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197" w:type="dxa"/>
            <w:gridSpan w:val="2"/>
            <w:shd w:val="clear" w:color="auto" w:fill="auto"/>
            <w:vAlign w:val="center"/>
          </w:tcPr>
          <w:p w:rsidR="004C14E0" w:rsidRDefault="00E36303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обязательствам Поставщика, влияющим на исполнение </w:t>
            </w:r>
            <w:r>
              <w:rPr>
                <w:b/>
                <w:sz w:val="24"/>
                <w:szCs w:val="24"/>
              </w:rPr>
              <w:t>договора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Требование к поставке МТР</w:t>
            </w:r>
          </w:p>
        </w:tc>
        <w:tc>
          <w:tcPr>
            <w:tcW w:w="5529" w:type="dxa"/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 обязан обеспечить поставку указанных ТМЦ на складские помещения Покупателя по адресу: 429965, Чувашская Республика, г. Новочебоксарск, ул. Набережная, влд. 34 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197" w:type="dxa"/>
            <w:gridSpan w:val="2"/>
            <w:shd w:val="clear" w:color="auto" w:fill="auto"/>
            <w:vAlign w:val="center"/>
          </w:tcPr>
          <w:p w:rsidR="004C14E0" w:rsidRDefault="00E36303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</w:t>
            </w:r>
            <w:r>
              <w:rPr>
                <w:b/>
                <w:sz w:val="24"/>
                <w:szCs w:val="24"/>
              </w:rPr>
              <w:t>(дополнительные) требования к продукции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4C14E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4"/>
                <w:szCs w:val="24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происхождению поставляемой продукции</w:t>
            </w:r>
          </w:p>
        </w:tc>
        <w:tc>
          <w:tcPr>
            <w:tcW w:w="5529" w:type="dxa"/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продукции, в отношении которой подлежит </w:t>
            </w:r>
            <w:r>
              <w:rPr>
                <w:sz w:val="22"/>
                <w:szCs w:val="22"/>
              </w:rPr>
              <w:t xml:space="preserve">применению законодательство о национальном режиме в соответствии с требованием столбца 4 Таблицы 1.1. «Перечень и </w:t>
            </w:r>
            <w:r>
              <w:rPr>
                <w:sz w:val="22"/>
                <w:szCs w:val="22"/>
              </w:rPr>
              <w:t>объем закупаемой продукции» настоящих технических требований,</w:t>
            </w:r>
            <w:r>
              <w:rPr>
                <w:color w:val="000000"/>
                <w:sz w:val="22"/>
                <w:szCs w:val="22"/>
              </w:rPr>
              <w:t xml:space="preserve"> информацией и документами, подтверждающими страну происхождения, являются:</w:t>
            </w:r>
          </w:p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номер реестровой записи из реестра российской промышленной продукции, предусмотренного статьей 17.1 Федерального зако</w:t>
            </w:r>
            <w:r>
              <w:rPr>
                <w:sz w:val="22"/>
                <w:szCs w:val="22"/>
              </w:rPr>
              <w:t>на "О промышленной политике в Российской Федерации";</w:t>
            </w:r>
          </w:p>
          <w:p w:rsidR="004C14E0" w:rsidRDefault="00E36303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</w:t>
            </w:r>
            <w:r>
              <w:rPr>
                <w:color w:val="000000"/>
                <w:sz w:val="22"/>
                <w:szCs w:val="22"/>
              </w:rPr>
              <w:t>номического союза.</w:t>
            </w:r>
            <w:bookmarkStart w:id="60" w:name="_GoBack_Копия_1"/>
            <w:bookmarkEnd w:id="60"/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</w:t>
            </w:r>
            <w:r>
              <w:rPr>
                <w:color w:val="000000"/>
                <w:sz w:val="22"/>
                <w:szCs w:val="22"/>
              </w:rPr>
              <w:t xml:space="preserve"> (реестровых записей) соответствующих реестров</w:t>
            </w: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2"/>
                <w:szCs w:val="22"/>
              </w:rPr>
            </w:pPr>
          </w:p>
        </w:tc>
      </w:tr>
      <w:tr w:rsidR="004C14E0">
        <w:tc>
          <w:tcPr>
            <w:tcW w:w="806" w:type="dxa"/>
            <w:shd w:val="clear" w:color="auto" w:fill="auto"/>
            <w:vAlign w:val="center"/>
          </w:tcPr>
          <w:p w:rsidR="004C14E0" w:rsidRDefault="004C14E0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сроку полезного использования</w:t>
            </w:r>
          </w:p>
        </w:tc>
        <w:tc>
          <w:tcPr>
            <w:tcW w:w="5529" w:type="dxa"/>
            <w:shd w:val="clear" w:color="auto" w:fill="auto"/>
          </w:tcPr>
          <w:p w:rsidR="004C14E0" w:rsidRDefault="00E36303">
            <w:pPr>
              <w:widowControl w:val="0"/>
              <w:rPr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Не менее 10 лет (за исключением лопат)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C14E0" w:rsidRDefault="00E36303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Согласие с требованиями</w:t>
            </w:r>
          </w:p>
        </w:tc>
        <w:tc>
          <w:tcPr>
            <w:tcW w:w="1986" w:type="dxa"/>
            <w:shd w:val="clear" w:color="auto" w:fill="auto"/>
          </w:tcPr>
          <w:p w:rsidR="004C14E0" w:rsidRDefault="00E3630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полезного использования должен быть подтвержден паспортом изделия</w:t>
            </w:r>
          </w:p>
        </w:tc>
        <w:tc>
          <w:tcPr>
            <w:tcW w:w="1982" w:type="dxa"/>
            <w:shd w:val="clear" w:color="auto" w:fill="auto"/>
          </w:tcPr>
          <w:p w:rsidR="004C14E0" w:rsidRDefault="004C14E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C14E0" w:rsidRDefault="004C14E0">
      <w:pPr>
        <w:sectPr w:rsidR="004C14E0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4C14E0" w:rsidRDefault="00E36303">
      <w:pPr>
        <w:pStyle w:val="1"/>
        <w:numPr>
          <w:ilvl w:val="0"/>
          <w:numId w:val="1"/>
        </w:numPr>
        <w:ind w:left="1560" w:hanging="284"/>
        <w:jc w:val="center"/>
        <w:rPr>
          <w:sz w:val="24"/>
          <w:szCs w:val="24"/>
        </w:rPr>
      </w:pPr>
      <w:bookmarkStart w:id="61" w:name="_Toc53393312"/>
      <w:bookmarkStart w:id="62" w:name="_Toc212449202"/>
      <w:bookmarkStart w:id="63" w:name="_Toc156825747"/>
      <w:bookmarkStart w:id="64" w:name="_Toc123200607"/>
      <w:r>
        <w:lastRenderedPageBreak/>
        <w:t>Требования к документации по ценообразованию</w:t>
      </w:r>
      <w:bookmarkEnd w:id="61"/>
      <w:r>
        <w:t xml:space="preserve"> на этапе </w:t>
      </w:r>
      <w:r>
        <w:rPr>
          <w:sz w:val="24"/>
          <w:szCs w:val="24"/>
        </w:rPr>
        <w:t>закупки</w:t>
      </w:r>
      <w:bookmarkEnd w:id="62"/>
      <w:bookmarkEnd w:id="63"/>
      <w:bookmarkEnd w:id="64"/>
    </w:p>
    <w:p w:rsidR="004C14E0" w:rsidRDefault="00E36303">
      <w:pPr>
        <w:tabs>
          <w:tab w:val="left" w:pos="567"/>
        </w:tabs>
        <w:spacing w:after="1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сборов, разгрузку на складе П</w:t>
      </w:r>
      <w:r>
        <w:rPr>
          <w:bCs/>
          <w:iCs/>
          <w:sz w:val="26"/>
          <w:szCs w:val="26"/>
        </w:rPr>
        <w:t>окупателя и все остальные расходы, связанные с исполнением обязательств Участника по договору.</w:t>
      </w:r>
    </w:p>
    <w:p w:rsidR="004C14E0" w:rsidRDefault="004C14E0">
      <w:pPr>
        <w:pStyle w:val="3"/>
        <w:numPr>
          <w:ilvl w:val="0"/>
          <w:numId w:val="0"/>
        </w:numPr>
        <w:ind w:left="720"/>
      </w:pPr>
    </w:p>
    <w:p w:rsidR="004C14E0" w:rsidRDefault="004C14E0">
      <w:pPr>
        <w:rPr>
          <w:sz w:val="24"/>
          <w:szCs w:val="24"/>
        </w:rPr>
      </w:pPr>
      <w:bookmarkStart w:id="65" w:name="_Toc75446584"/>
      <w:bookmarkEnd w:id="65"/>
    </w:p>
    <w:sectPr w:rsidR="004C14E0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6303">
      <w:r>
        <w:separator/>
      </w:r>
    </w:p>
  </w:endnote>
  <w:endnote w:type="continuationSeparator" w:id="0">
    <w:p w:rsidR="00000000" w:rsidRDefault="00E3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6303">
      <w:r>
        <w:separator/>
      </w:r>
    </w:p>
  </w:footnote>
  <w:footnote w:type="continuationSeparator" w:id="0">
    <w:p w:rsidR="00000000" w:rsidRDefault="00E3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E0" w:rsidRDefault="00E36303">
    <w:pPr>
      <w:pStyle w:val="aff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E0" w:rsidRDefault="004C14E0">
    <w:pPr>
      <w:pStyle w:val="aff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E0" w:rsidRDefault="00E36303">
    <w:pPr>
      <w:pStyle w:val="aff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E0" w:rsidRDefault="004C14E0">
    <w:pPr>
      <w:pStyle w:val="affd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E0" w:rsidRDefault="00E36303">
    <w:pPr>
      <w:pStyle w:val="aff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E0" w:rsidRDefault="004C14E0">
    <w:pPr>
      <w:pStyle w:val="af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493E"/>
    <w:multiLevelType w:val="multilevel"/>
    <w:tmpl w:val="41DE3A3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C1BED"/>
    <w:multiLevelType w:val="multilevel"/>
    <w:tmpl w:val="339087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999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F457F04"/>
    <w:multiLevelType w:val="multilevel"/>
    <w:tmpl w:val="1C3ED35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6"/>
        <w:szCs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13926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B0609CE"/>
    <w:multiLevelType w:val="multilevel"/>
    <w:tmpl w:val="9EB64A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4E0"/>
    <w:rsid w:val="004C14E0"/>
    <w:rsid w:val="00E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2846B-46AC-42E2-88FD-2134E460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B3"/>
    <w:rPr>
      <w:sz w:val="28"/>
      <w:szCs w:val="28"/>
    </w:rPr>
  </w:style>
  <w:style w:type="paragraph" w:styleId="1">
    <w:name w:val="heading 1"/>
    <w:basedOn w:val="3"/>
    <w:link w:val="10"/>
    <w:qFormat/>
    <w:rsid w:val="00353A27"/>
    <w:pPr>
      <w:numPr>
        <w:ilvl w:val="0"/>
        <w:numId w:val="0"/>
      </w:numPr>
      <w:ind w:hanging="1082"/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ind w:firstLine="0"/>
      <w:outlineLvl w:val="1"/>
    </w:pPr>
  </w:style>
  <w:style w:type="paragraph" w:styleId="3">
    <w:name w:val="heading 3"/>
    <w:basedOn w:val="a"/>
    <w:link w:val="30"/>
    <w:autoRedefine/>
    <w:qFormat/>
    <w:rsid w:val="008613E7"/>
    <w:pPr>
      <w:keepNext/>
      <w:numPr>
        <w:ilvl w:val="2"/>
        <w:numId w:val="1"/>
      </w:numPr>
      <w:spacing w:before="120" w:after="60"/>
      <w:ind w:hanging="1082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rsid w:val="006629C9"/>
    <w:pPr>
      <w:numPr>
        <w:ilvl w:val="0"/>
        <w:numId w:val="0"/>
      </w:numPr>
      <w:ind w:hanging="1082"/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A478FF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styleId="a6">
    <w:name w:val="Hyperlink"/>
    <w:basedOn w:val="a0"/>
    <w:uiPriority w:val="99"/>
    <w:unhideWhenUsed/>
    <w:rsid w:val="00023A0F"/>
    <w:rPr>
      <w:color w:val="0563C1" w:themeColor="hyperlink"/>
      <w:u w:val="single"/>
    </w:rPr>
  </w:style>
  <w:style w:type="character" w:styleId="a7">
    <w:name w:val="annotation reference"/>
    <w:uiPriority w:val="99"/>
    <w:semiHidden/>
    <w:qFormat/>
    <w:rsid w:val="00B714B0"/>
    <w:rPr>
      <w:sz w:val="16"/>
      <w:szCs w:val="16"/>
    </w:rPr>
  </w:style>
  <w:style w:type="character" w:styleId="a8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qFormat/>
    <w:rsid w:val="008613E7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9">
    <w:name w:val="Название Знак"/>
    <w:uiPriority w:val="10"/>
    <w:qFormat/>
    <w:rsid w:val="00D22F6D"/>
    <w:rPr>
      <w:sz w:val="28"/>
    </w:rPr>
  </w:style>
  <w:style w:type="character" w:customStyle="1" w:styleId="aa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b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c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d">
    <w:name w:val="Subtle Emphasis"/>
    <w:uiPriority w:val="19"/>
    <w:qFormat/>
    <w:rsid w:val="00D22F6D"/>
    <w:rPr>
      <w:i/>
      <w:iCs/>
      <w:color w:val="808080"/>
    </w:rPr>
  </w:style>
  <w:style w:type="character" w:styleId="a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2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qFormat/>
    <w:locked/>
    <w:rsid w:val="00D22F6D"/>
    <w:rPr>
      <w:sz w:val="28"/>
    </w:rPr>
  </w:style>
  <w:style w:type="character" w:customStyle="1" w:styleId="af3">
    <w:name w:val="Текст сноски Знак"/>
    <w:qFormat/>
    <w:rsid w:val="00D22F6D"/>
  </w:style>
  <w:style w:type="character" w:customStyle="1" w:styleId="af4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5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6">
    <w:name w:val="комментарий"/>
    <w:qFormat/>
    <w:rsid w:val="0025139E"/>
    <w:rPr>
      <w:i/>
      <w:shd w:val="clear" w:color="auto" w:fill="FFFF99"/>
    </w:rPr>
  </w:style>
  <w:style w:type="character" w:customStyle="1" w:styleId="af7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9">
    <w:name w:val="Текст примечания Знак"/>
    <w:semiHidden/>
    <w:qFormat/>
    <w:rsid w:val="00DC0F7D"/>
  </w:style>
  <w:style w:type="character" w:customStyle="1" w:styleId="afa">
    <w:name w:val="Текст концевой сноски Знак"/>
    <w:basedOn w:val="a0"/>
    <w:qFormat/>
    <w:rsid w:val="003879D4"/>
  </w:style>
  <w:style w:type="character" w:customStyle="1" w:styleId="afb">
    <w:name w:val="Символ концевой сноски"/>
    <w:qFormat/>
    <w:rsid w:val="00A478FF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2">
    <w:name w:val="Пункт2 Знак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d">
    <w:name w:val="Ссылка указателя"/>
    <w:qFormat/>
    <w:rsid w:val="00A478FF"/>
  </w:style>
  <w:style w:type="character" w:customStyle="1" w:styleId="afe">
    <w:name w:val="Маркеры списка"/>
    <w:qFormat/>
    <w:rsid w:val="00A478FF"/>
    <w:rPr>
      <w:rFonts w:ascii="OpenSymbol" w:eastAsia="OpenSymbol" w:hAnsi="OpenSymbol" w:cs="OpenSymbol"/>
    </w:rPr>
  </w:style>
  <w:style w:type="character" w:customStyle="1" w:styleId="aff">
    <w:name w:val="Маркеры"/>
    <w:qFormat/>
    <w:rsid w:val="00A478FF"/>
    <w:rPr>
      <w:rFonts w:ascii="OpenSymbol" w:eastAsia="OpenSymbol" w:hAnsi="OpenSymbol" w:cs="OpenSymbol"/>
    </w:rPr>
  </w:style>
  <w:style w:type="character" w:customStyle="1" w:styleId="aff0">
    <w:name w:val="Символ нумерации"/>
    <w:qFormat/>
    <w:rsid w:val="00A478FF"/>
  </w:style>
  <w:style w:type="character" w:customStyle="1" w:styleId="item-with-dotstext">
    <w:name w:val="item-with-dots__text"/>
    <w:basedOn w:val="a0"/>
    <w:qFormat/>
    <w:rsid w:val="00625E8E"/>
  </w:style>
  <w:style w:type="character" w:customStyle="1" w:styleId="item-with-dotstext-with-divider">
    <w:name w:val="item-with-dots__text-with-divider"/>
    <w:basedOn w:val="a0"/>
    <w:qFormat/>
    <w:rsid w:val="00625E8E"/>
  </w:style>
  <w:style w:type="character" w:styleId="aff1">
    <w:name w:val="FollowedHyperlink"/>
    <w:rsid w:val="00A478FF"/>
    <w:rPr>
      <w:color w:val="800000"/>
      <w:u w:val="single"/>
    </w:rPr>
  </w:style>
  <w:style w:type="character" w:customStyle="1" w:styleId="23">
    <w:name w:val="Основной текст (2)_"/>
    <w:basedOn w:val="a0"/>
    <w:link w:val="24"/>
    <w:uiPriority w:val="99"/>
    <w:qFormat/>
    <w:locked/>
    <w:rsid w:val="00A96EAC"/>
    <w:rPr>
      <w:b/>
      <w:bCs/>
      <w:sz w:val="31"/>
      <w:szCs w:val="31"/>
      <w:shd w:val="clear" w:color="auto" w:fill="FFFFFF"/>
    </w:rPr>
  </w:style>
  <w:style w:type="character" w:customStyle="1" w:styleId="14">
    <w:name w:val="Основной текст Знак1"/>
    <w:basedOn w:val="a0"/>
    <w:link w:val="aff2"/>
    <w:uiPriority w:val="99"/>
    <w:qFormat/>
    <w:locked/>
    <w:rsid w:val="00EF048C"/>
    <w:rPr>
      <w:sz w:val="28"/>
      <w:szCs w:val="28"/>
    </w:rPr>
  </w:style>
  <w:style w:type="character" w:customStyle="1" w:styleId="product-info-specifications-valuevalue">
    <w:name w:val="product-info-specifications-value__value"/>
    <w:basedOn w:val="a0"/>
    <w:qFormat/>
    <w:rsid w:val="009B2F09"/>
  </w:style>
  <w:style w:type="character" w:customStyle="1" w:styleId="product-info-specifications-valueseparator">
    <w:name w:val="product-info-specifications-value__separator"/>
    <w:basedOn w:val="a0"/>
    <w:qFormat/>
    <w:rsid w:val="009B2F09"/>
  </w:style>
  <w:style w:type="character" w:customStyle="1" w:styleId="product-info-specifications-valueunit">
    <w:name w:val="product-info-specifications-value__unit"/>
    <w:basedOn w:val="a0"/>
    <w:qFormat/>
    <w:rsid w:val="009B2F09"/>
  </w:style>
  <w:style w:type="character" w:customStyle="1" w:styleId="linenumber1">
    <w:name w:val="line number1"/>
    <w:qFormat/>
  </w:style>
  <w:style w:type="character" w:styleId="aff3">
    <w:name w:val="line number"/>
  </w:style>
  <w:style w:type="paragraph" w:styleId="aff4">
    <w:name w:val="Title"/>
    <w:basedOn w:val="a"/>
    <w:next w:val="aff2"/>
    <w:qFormat/>
    <w:rsid w:val="00A478FF"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2">
    <w:name w:val="Body Text"/>
    <w:basedOn w:val="a"/>
    <w:link w:val="14"/>
    <w:rsid w:val="0076353A"/>
    <w:pPr>
      <w:spacing w:after="120"/>
    </w:pPr>
  </w:style>
  <w:style w:type="paragraph" w:styleId="aff5">
    <w:name w:val="List"/>
    <w:basedOn w:val="aff2"/>
    <w:rsid w:val="00A478FF"/>
  </w:style>
  <w:style w:type="paragraph" w:styleId="aff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7">
    <w:name w:val="index heading"/>
    <w:basedOn w:val="aff4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4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4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4"/>
    <w:qFormat/>
  </w:style>
  <w:style w:type="paragraph" w:customStyle="1" w:styleId="caption1111">
    <w:name w:val="caption1111"/>
    <w:basedOn w:val="a"/>
    <w:qFormat/>
    <w:rsid w:val="00A478F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4"/>
    <w:qFormat/>
    <w:rsid w:val="00A478FF"/>
  </w:style>
  <w:style w:type="paragraph" w:customStyle="1" w:styleId="caption11111">
    <w:name w:val="caption11111"/>
    <w:basedOn w:val="a"/>
    <w:qFormat/>
    <w:rsid w:val="00A478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4"/>
    <w:qFormat/>
    <w:rsid w:val="00A478FF"/>
  </w:style>
  <w:style w:type="paragraph" w:customStyle="1" w:styleId="caption111111">
    <w:name w:val="caption111111"/>
    <w:basedOn w:val="a"/>
    <w:qFormat/>
    <w:rsid w:val="00A478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4"/>
    <w:qFormat/>
    <w:rsid w:val="00A478FF"/>
  </w:style>
  <w:style w:type="paragraph" w:customStyle="1" w:styleId="caption1111111">
    <w:name w:val="caption1111111"/>
    <w:basedOn w:val="a"/>
    <w:qFormat/>
    <w:rsid w:val="00A478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4"/>
    <w:qFormat/>
    <w:rsid w:val="00A478FF"/>
  </w:style>
  <w:style w:type="paragraph" w:customStyle="1" w:styleId="caption11111111">
    <w:name w:val="caption11111111"/>
    <w:basedOn w:val="a"/>
    <w:qFormat/>
    <w:rsid w:val="00A478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4"/>
    <w:qFormat/>
    <w:rsid w:val="00A478FF"/>
  </w:style>
  <w:style w:type="paragraph" w:customStyle="1" w:styleId="caption111111111">
    <w:name w:val="caption111111111"/>
    <w:basedOn w:val="a"/>
    <w:qFormat/>
    <w:rsid w:val="00A478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4"/>
    <w:qFormat/>
    <w:rsid w:val="00A478FF"/>
  </w:style>
  <w:style w:type="paragraph" w:customStyle="1" w:styleId="caption1111111111">
    <w:name w:val="caption11111111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1111">
    <w:name w:val="index heading1111111111"/>
    <w:basedOn w:val="aff4"/>
    <w:qFormat/>
    <w:rsid w:val="00A478FF"/>
  </w:style>
  <w:style w:type="paragraph" w:customStyle="1" w:styleId="aff8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9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a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b">
    <w:name w:val="footnote text"/>
    <w:basedOn w:val="a"/>
    <w:qFormat/>
    <w:rsid w:val="00D561D9"/>
    <w:rPr>
      <w:sz w:val="20"/>
      <w:szCs w:val="20"/>
    </w:rPr>
  </w:style>
  <w:style w:type="paragraph" w:customStyle="1" w:styleId="15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rsid w:val="00BD4014"/>
    <w:pPr>
      <w:jc w:val="center"/>
    </w:pPr>
    <w:rPr>
      <w:szCs w:val="20"/>
    </w:rPr>
  </w:style>
  <w:style w:type="paragraph" w:customStyle="1" w:styleId="affc">
    <w:name w:val="Колонтитул"/>
    <w:basedOn w:val="a"/>
    <w:qFormat/>
    <w:rsid w:val="00A478FF"/>
  </w:style>
  <w:style w:type="paragraph" w:styleId="affd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e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f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qFormat/>
    <w:rsid w:val="0076353A"/>
    <w:pPr>
      <w:spacing w:after="120" w:line="480" w:lineRule="auto"/>
    </w:pPr>
  </w:style>
  <w:style w:type="paragraph" w:styleId="afff0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f1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"/>
    <w:qFormat/>
    <w:rsid w:val="00E228FA"/>
  </w:style>
  <w:style w:type="paragraph" w:customStyle="1" w:styleId="afff3">
    <w:name w:val="Приложение к регламенту"/>
    <w:basedOn w:val="a"/>
    <w:qFormat/>
    <w:rsid w:val="00E228FA"/>
    <w:pPr>
      <w:jc w:val="right"/>
    </w:pPr>
  </w:style>
  <w:style w:type="paragraph" w:styleId="28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5">
    <w:name w:val="annotation text"/>
    <w:basedOn w:val="a"/>
    <w:uiPriority w:val="99"/>
    <w:qFormat/>
    <w:rsid w:val="00B714B0"/>
    <w:rPr>
      <w:sz w:val="20"/>
      <w:szCs w:val="20"/>
    </w:rPr>
  </w:style>
  <w:style w:type="paragraph" w:styleId="afff6">
    <w:name w:val="annotation subject"/>
    <w:basedOn w:val="afff5"/>
    <w:semiHidden/>
    <w:qFormat/>
    <w:rsid w:val="00B714B0"/>
    <w:rPr>
      <w:b/>
      <w:bCs/>
    </w:rPr>
  </w:style>
  <w:style w:type="paragraph" w:customStyle="1" w:styleId="18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9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9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a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a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ffb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c">
    <w:name w:val="TOC Heading"/>
    <w:basedOn w:val="1"/>
    <w:uiPriority w:val="39"/>
    <w:qFormat/>
    <w:rsid w:val="00D22F6D"/>
    <w:pPr>
      <w:keepLines/>
      <w:spacing w:before="480"/>
      <w:ind w:firstLine="0"/>
    </w:pPr>
    <w:rPr>
      <w:rFonts w:ascii="Cambria" w:hAnsi="Cambria"/>
      <w:bCs/>
      <w:color w:val="365F91"/>
    </w:rPr>
  </w:style>
  <w:style w:type="paragraph" w:styleId="afffd">
    <w:name w:val="E-mail Signature"/>
    <w:basedOn w:val="a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e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310">
    <w:name w:val="Список 3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b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2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3">
    <w:name w:val="Подподпункт"/>
    <w:basedOn w:val="afff1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ffff4">
    <w:name w:val="УРОВЕНЬ_(а)"/>
    <w:basedOn w:val="afffa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a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c">
    <w:name w:val="УРОВЕНЬ_Абзац_тип2"/>
    <w:basedOn w:val="afffa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11">
    <w:name w:val="Основной текст с отступом 3 Знак1"/>
    <w:basedOn w:val="afffa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5">
    <w:name w:val="УРОВЕНЬ_Подпись"/>
    <w:basedOn w:val="afffa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f6">
    <w:name w:val="endnote text"/>
    <w:basedOn w:val="a"/>
    <w:qFormat/>
    <w:rsid w:val="003879D4"/>
    <w:rPr>
      <w:sz w:val="20"/>
      <w:szCs w:val="20"/>
    </w:rPr>
  </w:style>
  <w:style w:type="paragraph" w:customStyle="1" w:styleId="2d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</w:rPr>
  </w:style>
  <w:style w:type="paragraph" w:customStyle="1" w:styleId="affff7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ffa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таблицы"/>
    <w:basedOn w:val="a"/>
    <w:qFormat/>
    <w:rsid w:val="00A478FF"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rsid w:val="00A478FF"/>
    <w:pPr>
      <w:jc w:val="center"/>
    </w:pPr>
    <w:rPr>
      <w:b/>
      <w:bCs/>
    </w:rPr>
  </w:style>
  <w:style w:type="paragraph" w:customStyle="1" w:styleId="24">
    <w:name w:val="Основной текст (2)"/>
    <w:basedOn w:val="a"/>
    <w:link w:val="23"/>
    <w:uiPriority w:val="99"/>
    <w:qFormat/>
    <w:rsid w:val="00A96EAC"/>
    <w:pPr>
      <w:widowControl w:val="0"/>
      <w:shd w:val="clear" w:color="auto" w:fill="FFFFFF"/>
      <w:suppressAutoHyphens w:val="0"/>
      <w:spacing w:after="480" w:line="240" w:lineRule="atLeast"/>
      <w:jc w:val="center"/>
    </w:pPr>
    <w:rPr>
      <w:b/>
      <w:bCs/>
      <w:sz w:val="31"/>
      <w:szCs w:val="31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b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1364-49E0-43E1-AB2F-67C1FD55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9</Pages>
  <Words>1416</Words>
  <Characters>8075</Characters>
  <Application>Microsoft Office Word</Application>
  <DocSecurity>0</DocSecurity>
  <Lines>67</Lines>
  <Paragraphs>18</Paragraphs>
  <ScaleCrop>false</ScaleCrop>
  <Company>Microsoft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Яковлева Елена Олеговна</cp:lastModifiedBy>
  <cp:revision>244</cp:revision>
  <cp:lastPrinted>2026-01-20T10:58:00Z</cp:lastPrinted>
  <dcterms:created xsi:type="dcterms:W3CDTF">2025-02-27T04:15:00Z</dcterms:created>
  <dcterms:modified xsi:type="dcterms:W3CDTF">2026-07-03T11:01:00Z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