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rFonts w:eastAsia="Calibri"/>
          <w:b/>
          <w:sz w:val="30"/>
          <w:szCs w:val="30"/>
        </w:rPr>
        <w:t>Технические требования на поставку МТР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/>
      </w:pPr>
      <w:r>
        <w:rPr>
          <w:rStyle w:val="Style8"/>
          <w:rFonts w:eastAsia="Calibri" w:cs="Times New Roman"/>
          <w:i w:val="false"/>
          <w:color w:val="000000"/>
          <w:kern w:val="0"/>
          <w:sz w:val="30"/>
          <w:szCs w:val="30"/>
          <w:shd w:fill="auto" w:val="clear"/>
          <w:lang w:val="ru-RU" w:eastAsia="ru-RU" w:bidi="ar-SA"/>
        </w:rPr>
        <w:t>«ОКПД2 26.30.Поставк</w:t>
      </w:r>
      <w:r>
        <w:rPr>
          <w:rStyle w:val="Style8"/>
          <w:rFonts w:eastAsia="Calibri"/>
          <w:i w:val="false"/>
          <w:sz w:val="30"/>
          <w:szCs w:val="30"/>
          <w:shd w:fill="auto" w:val="clear"/>
        </w:rPr>
        <w:t>а материалов для объектов связи</w:t>
      </w:r>
      <w:r>
        <w:rPr>
          <w:rFonts w:eastAsia="Calibri"/>
          <w:b/>
          <w:sz w:val="30"/>
          <w:szCs w:val="30"/>
        </w:rPr>
        <w:t>»</w:t>
      </w:r>
      <w:r>
        <w:rPr>
          <w:rStyle w:val="FootnoteReference"/>
          <w:rFonts w:eastAsia="Calibri"/>
          <w:b/>
          <w:sz w:val="30"/>
          <w:szCs w:val="30"/>
        </w:rPr>
        <w:footnoteReference w:id="2"/>
      </w:r>
    </w:p>
    <w:p>
      <w:pPr>
        <w:pStyle w:val="Normal"/>
        <w:keepNext w:val="true"/>
        <w:keepLines/>
        <w:jc w:val="center"/>
        <w:rPr>
          <w:rStyle w:val="Style8"/>
          <w:rFonts w:eastAsia="Calibri"/>
          <w:i w:val="false"/>
          <w:i w:val="false"/>
          <w:sz w:val="30"/>
          <w:szCs w:val="30"/>
          <w:shd w:fill="auto" w:val="clear"/>
        </w:rPr>
      </w:pPr>
      <w:r>
        <w:rPr>
          <w:rFonts w:eastAsia="Calibri"/>
          <w:i w:val="false"/>
          <w:sz w:val="30"/>
          <w:szCs w:val="30"/>
          <w:shd w:fill="auto" w:val="clear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  <w:highlight w:val="none"/>
          <w:shd w:fill="auto" w:val="clear"/>
        </w:rPr>
      </w:pPr>
      <w:r>
        <w:rPr>
          <w:rFonts w:eastAsia="Calibri"/>
          <w:b/>
          <w:i/>
          <w:sz w:val="26"/>
          <w:szCs w:val="26"/>
          <w:shd w:fill="auto" w:val="clear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75446566"/>
      <w:bookmarkStart w:id="1" w:name="_Toc51339692"/>
      <w:r>
        <w:rPr>
          <w:lang w:val="ru-RU"/>
        </w:rPr>
        <w:t>Общие сведения</w:t>
      </w:r>
      <w:bookmarkEnd w:id="0"/>
      <w:bookmarkEnd w:id="1"/>
    </w:p>
    <w:p>
      <w:pPr>
        <w:pStyle w:val="Heading4"/>
        <w:tabs>
          <w:tab w:val="clear" w:pos="0"/>
        </w:tabs>
        <w:ind w:left="432" w:hanging="0"/>
        <w:rPr/>
      </w:pPr>
      <w:r>
        <w:rPr/>
        <w:t xml:space="preserve">1.1. </w:t>
      </w:r>
      <w:bookmarkStart w:id="2" w:name="_Toc46743506"/>
      <w:bookmarkStart w:id="3" w:name="_Toc75446568"/>
      <w:r>
        <w:rPr/>
        <w:t>Наименование закупаемой продукции</w:t>
      </w:r>
      <w:bookmarkEnd w:id="2"/>
      <w:bookmarkEnd w:id="3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rStyle w:val="Style8"/>
          <w:b w:val="false"/>
          <w:bCs/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«Материалы на содержание и эксплуатацию оборудования связи»</w:t>
      </w:r>
      <w:r>
        <w:rPr>
          <w:rFonts w:eastAsia="Calibri"/>
          <w:i/>
          <w:lang w:eastAsia="x-none"/>
        </w:rPr>
        <w:br/>
      </w:r>
    </w:p>
    <w:p>
      <w:pPr>
        <w:pStyle w:val="Heading4"/>
        <w:tabs>
          <w:tab w:val="clear" w:pos="0"/>
        </w:tabs>
        <w:spacing w:before="240" w:after="60"/>
        <w:ind w:left="0" w:hanging="0"/>
        <w:rPr/>
      </w:pPr>
      <w:r>
        <w:rPr/>
        <w:t xml:space="preserve">1.2. </w:t>
      </w:r>
      <w:bookmarkStart w:id="4" w:name="_Toc75446569"/>
      <w:bookmarkStart w:id="5" w:name="_Toc46743507"/>
      <w:r>
        <w:rPr/>
        <w:t xml:space="preserve">Цель </w:t>
      </w:r>
      <w:bookmarkEnd w:id="5"/>
      <w:r>
        <w:rPr>
          <w:lang w:val="ru-RU"/>
        </w:rPr>
        <w:t xml:space="preserve">использования закупаемой продукции </w:t>
      </w:r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i w:val="false"/>
          <w:sz w:val="24"/>
          <w:szCs w:val="24"/>
          <w:shd w:fill="auto" w:val="clear"/>
        </w:rPr>
        <w:t>МТР, расходные материалы и запасные части закупаются для выполнения работ по организации выделенного канала связи, в соответствии с прилагаемым перечнем (Приложение №1).</w:t>
      </w:r>
      <w:bookmarkStart w:id="6" w:name="_Hlk48209761"/>
      <w:bookmarkEnd w:id="6"/>
    </w:p>
    <w:p>
      <w:pPr>
        <w:pStyle w:val="Heading4"/>
        <w:tabs>
          <w:tab w:val="clear" w:pos="0"/>
        </w:tabs>
        <w:ind w:left="432" w:hanging="0"/>
        <w:rPr>
          <w:rStyle w:val="Style8"/>
          <w:lang w:val="ru-RU"/>
        </w:rPr>
      </w:pPr>
      <w:r>
        <w:rPr>
          <w:lang w:val="ru-RU"/>
        </w:rPr>
      </w:r>
      <w:bookmarkStart w:id="7" w:name="_Toc50125126"/>
      <w:bookmarkStart w:id="8" w:name="_Toc50125126"/>
      <w:bookmarkEnd w:id="8"/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9" w:name="_Toc75446573"/>
      <w:bookmarkStart w:id="10" w:name="_Toc51339693"/>
      <w:r>
        <w:rPr>
          <w:iCs/>
        </w:rPr>
        <w:t>Требования к продукции</w:t>
      </w:r>
      <w:bookmarkEnd w:id="9"/>
      <w:bookmarkEnd w:id="10"/>
    </w:p>
    <w:p>
      <w:pPr>
        <w:pStyle w:val="Heading4"/>
        <w:numPr>
          <w:ilvl w:val="1"/>
          <w:numId w:val="3"/>
        </w:numPr>
        <w:rPr/>
      </w:pPr>
      <w:bookmarkStart w:id="11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1"/>
    </w:p>
    <w:p>
      <w:pPr>
        <w:pStyle w:val="Heading3"/>
        <w:numPr>
          <w:ilvl w:val="2"/>
          <w:numId w:val="3"/>
        </w:numPr>
        <w:rPr/>
      </w:pPr>
      <w:bookmarkStart w:id="12" w:name="_Toc75446575"/>
      <w:r>
        <w:rPr>
          <w:lang w:val="ru-RU"/>
        </w:rPr>
        <w:t>Перечень и объем закупаемой продукции</w:t>
      </w:r>
      <w:bookmarkEnd w:id="1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13" w:name="_Toc75446576"/>
      <w:bookmarkStart w:id="14" w:name="_Toc51339695"/>
      <w:r>
        <w:rPr>
          <w:b w:val="false"/>
          <w:sz w:val="24"/>
          <w:szCs w:val="24"/>
          <w:lang w:val="ru-RU"/>
        </w:rPr>
        <w:t xml:space="preserve">Перечень </w:t>
      </w:r>
      <w:bookmarkEnd w:id="14"/>
      <w:r>
        <w:rPr>
          <w:b w:val="false"/>
          <w:sz w:val="24"/>
          <w:szCs w:val="24"/>
          <w:lang w:val="ru-RU"/>
        </w:rPr>
        <w:t>и объем закупаемой продукции</w:t>
      </w:r>
      <w:bookmarkEnd w:id="13"/>
      <w:r>
        <w:rPr>
          <w:b w:val="false"/>
          <w:sz w:val="24"/>
          <w:szCs w:val="24"/>
          <w:lang w:val="ru-RU"/>
        </w:rPr>
        <w:t xml:space="preserve"> обозначены в Таблице (Приложение №1), являющейся неотъемлемой частью данных ТТ</w:t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15" w:name="_Toc75446578"/>
      <w:bookmarkStart w:id="16" w:name="_Toc51339696"/>
      <w:r>
        <w:rPr>
          <w:lang w:val="ru-RU"/>
        </w:rPr>
        <w:t xml:space="preserve">Требования </w:t>
      </w:r>
      <w:bookmarkEnd w:id="16"/>
      <w:r>
        <w:rPr>
          <w:lang w:val="ru-RU"/>
        </w:rPr>
        <w:t>к срокам поставки продукции и оказания сопутствующих услуг</w:t>
      </w:r>
      <w:bookmarkEnd w:id="15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7" w:name="_Toc75446579"/>
      <w:bookmarkStart w:id="18" w:name="_Toc51339697"/>
      <w:bookmarkStart w:id="19" w:name="_Toc50125127"/>
      <w:bookmarkStart w:id="20" w:name="_Toc50125126_Копия_1"/>
      <w:bookmarkEnd w:id="20"/>
      <w:r>
        <w:rPr>
          <w:sz w:val="24"/>
          <w:szCs w:val="24"/>
        </w:rPr>
        <w:t xml:space="preserve"> </w:t>
      </w:r>
      <w:bookmarkStart w:id="21" w:name="_Hlk50465284"/>
      <w:r>
        <w:rPr>
          <w:sz w:val="24"/>
          <w:szCs w:val="24"/>
        </w:rPr>
        <w:t xml:space="preserve">Требования по срокам </w:t>
      </w:r>
      <w:bookmarkEnd w:id="18"/>
      <w:bookmarkEnd w:id="19"/>
      <w:bookmarkEnd w:id="21"/>
      <w:r>
        <w:rPr>
          <w:sz w:val="24"/>
          <w:szCs w:val="24"/>
          <w:lang w:val="ru-RU"/>
        </w:rPr>
        <w:t>поставки продукции</w:t>
      </w:r>
      <w:bookmarkEnd w:id="17"/>
      <w:r>
        <w:rPr>
          <w:sz w:val="24"/>
          <w:szCs w:val="24"/>
          <w:lang w:val="ru-RU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Требования к началу срока поставки продукции – с даты заключения договора; Требования к окончанию срока поставки продукции – в течение 20 дней с даты заключения договора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Поставка производится одним этапом всего комплекта МТР указанная в Таблице (Приложение №1)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bookmarkStart w:id="22" w:name="_Toc46743510"/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В случае возникновения срочной потребности в продукции – поставка необходимых комплектующих в течение 3-х суток (сумма в пределах заключенного договора).</w:t>
      </w:r>
      <w:bookmarkEnd w:id="22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yle8"/>
          <w:bCs/>
          <w:i w:val="false"/>
          <w:sz w:val="24"/>
          <w:szCs w:val="24"/>
          <w:shd w:fill="auto" w:val="clear"/>
        </w:rPr>
        <w:t xml:space="preserve"> </w:t>
      </w:r>
      <w:r>
        <w:rPr>
          <w:rStyle w:val="Style8"/>
          <w:bCs/>
          <w:i w:val="false"/>
          <w:sz w:val="24"/>
          <w:szCs w:val="24"/>
          <w:shd w:fill="auto" w:val="clear"/>
        </w:rPr>
        <w:t>Требования к перечню и объему закупаемых сопутствующих услуг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yle8"/>
          <w:b w:val="false"/>
          <w:i w:val="false"/>
          <w:sz w:val="24"/>
          <w:szCs w:val="24"/>
          <w:shd w:fill="auto" w:val="clear"/>
        </w:rPr>
        <w:t xml:space="preserve">Доставка МТР до склада Заказчика в объеме и на сумму, указанную в договоре поставки производится по адресу: 369244, Карачаево-Черкесская Республика, Карачаевский район, пгт. Правокубанский, Зеленчукская ГЭС Филиала «ПАО РусГидро» - «Карачаево-Черкесский филиал».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yle8"/>
          <w:bCs/>
          <w:i w:val="false"/>
          <w:sz w:val="24"/>
          <w:szCs w:val="24"/>
          <w:shd w:fill="auto" w:val="clear"/>
        </w:rPr>
        <w:t>2.2. Требования к качеству продукции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yle8"/>
          <w:bCs/>
          <w:i w:val="false"/>
          <w:sz w:val="24"/>
          <w:szCs w:val="24"/>
          <w:shd w:fill="auto" w:val="clear"/>
        </w:rPr>
        <w:t xml:space="preserve">Требования к продукции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yle8"/>
          <w:b w:val="false"/>
          <w:i w:val="false"/>
          <w:sz w:val="24"/>
          <w:szCs w:val="24"/>
          <w:shd w:fill="auto" w:val="clear"/>
        </w:rPr>
        <w:t>Все МТР должны соответствовать требованиям ГОСТов и иметь сертификаты соответствия государственных органов (Система сертификации ГОСТ Госстандарт России) и, если это дополнительно указано в настоящих ТТ, сертификаты соответствия, выданные отраслевыми органами сертификации.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yle8"/>
          <w:b w:val="false"/>
          <w:i w:val="false"/>
          <w:sz w:val="24"/>
          <w:szCs w:val="24"/>
          <w:shd w:fill="auto" w:val="clear"/>
        </w:rPr>
        <w:t xml:space="preserve">        </w:t>
      </w:r>
      <w:r>
        <w:rPr>
          <w:rStyle w:val="Style8"/>
          <w:b w:val="false"/>
          <w:i w:val="false"/>
          <w:sz w:val="24"/>
          <w:szCs w:val="24"/>
          <w:shd w:fill="auto" w:val="clear"/>
        </w:rPr>
        <w:t>Наличие сертификатов соответствия обязательно.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yle8"/>
          <w:b w:val="false"/>
          <w:i w:val="false"/>
          <w:sz w:val="24"/>
          <w:szCs w:val="24"/>
          <w:shd w:fill="auto" w:val="clear"/>
        </w:rPr>
        <w:t>Доставка товара Заказчику осуществляется силами Поставщика и за его же счет и производится на склад Заказчика в рабочее время с 08-00 до 16-00 согласно графика поставки.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yle8"/>
          <w:b w:val="false"/>
          <w:i w:val="false"/>
          <w:sz w:val="24"/>
          <w:szCs w:val="24"/>
          <w:shd w:fill="auto" w:val="clear"/>
        </w:rPr>
        <w:t>Приемка товара по качеству и количеству осуществляется на складе Заказчика.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yle8"/>
          <w:b w:val="false"/>
          <w:i w:val="false"/>
          <w:sz w:val="24"/>
          <w:szCs w:val="24"/>
          <w:shd w:fill="auto" w:val="clear"/>
        </w:rPr>
        <w:t>Товар без документов не принимается, ответственность за его сохранность Заказчик не несет.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yle8"/>
          <w:b w:val="false"/>
          <w:i w:val="false"/>
          <w:sz w:val="24"/>
          <w:szCs w:val="24"/>
          <w:shd w:fill="auto" w:val="clear"/>
        </w:rPr>
        <w:t xml:space="preserve">  </w:t>
      </w:r>
      <w:r>
        <w:rPr>
          <w:rStyle w:val="Style8"/>
          <w:b w:val="false"/>
          <w:i w:val="false"/>
          <w:sz w:val="24"/>
          <w:szCs w:val="24"/>
          <w:shd w:fill="auto" w:val="clear"/>
        </w:rPr>
        <w:t>Упаковка товара должна обеспечивать его сохранность при транспортировке и хранении.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yle8"/>
          <w:b w:val="false"/>
          <w:i w:val="false"/>
          <w:sz w:val="24"/>
          <w:szCs w:val="24"/>
          <w:shd w:fill="auto" w:val="clear"/>
        </w:rPr>
        <w:t xml:space="preserve">    </w:t>
      </w:r>
      <w:r>
        <w:rPr>
          <w:rStyle w:val="Style8"/>
          <w:b w:val="false"/>
          <w:i w:val="false"/>
          <w:sz w:val="24"/>
          <w:szCs w:val="24"/>
          <w:shd w:fill="auto" w:val="clear"/>
        </w:rPr>
        <w:t xml:space="preserve">Год выпуска расходных материалов и запасных частей: Не позднее 2025 года.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yle8"/>
          <w:b w:val="false"/>
          <w:i w:val="false"/>
          <w:sz w:val="24"/>
          <w:szCs w:val="24"/>
          <w:shd w:fill="auto" w:val="clear"/>
        </w:rPr>
        <w:t>Гарантийный срок на поставленные МТР должен составлять не менее одного года с момента поставки.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yle8"/>
          <w:b w:val="false"/>
          <w:i w:val="false"/>
          <w:sz w:val="24"/>
          <w:szCs w:val="24"/>
          <w:shd w:fill="auto" w:val="clear"/>
        </w:rPr>
        <w:t xml:space="preserve"> </w:t>
      </w:r>
      <w:r>
        <w:rPr>
          <w:rStyle w:val="Style8"/>
          <w:b w:val="false"/>
          <w:i w:val="false"/>
          <w:sz w:val="24"/>
          <w:szCs w:val="24"/>
          <w:shd w:fill="auto" w:val="clear"/>
        </w:rPr>
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i w:val="false"/>
          <w:i w:val="false"/>
          <w:sz w:val="24"/>
          <w:szCs w:val="24"/>
          <w:shd w:fill="auto" w:val="clear"/>
        </w:rPr>
      </w:pPr>
      <w:r>
        <w:rPr>
          <w:b w:val="false"/>
          <w:i w:val="false"/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yle8"/>
          <w:bCs/>
          <w:i w:val="false"/>
          <w:sz w:val="24"/>
          <w:szCs w:val="24"/>
          <w:shd w:fill="auto" w:val="clear"/>
        </w:rPr>
        <w:t>3. Требования к документации по ценообразованию на этапе закупки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yle8"/>
          <w:b w:val="false"/>
          <w:i w:val="false"/>
          <w:sz w:val="24"/>
          <w:szCs w:val="24"/>
          <w:shd w:fill="auto" w:val="clear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yle8"/>
          <w:b w:val="false"/>
          <w:i w:val="false"/>
          <w:sz w:val="24"/>
          <w:szCs w:val="24"/>
          <w:shd w:fill="auto" w:val="clear"/>
        </w:rPr>
        <w:t>3.2. Дополнительные документы по ценообразованию в состав заявки не включаются.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i w:val="false"/>
          <w:i w:val="false"/>
          <w:sz w:val="24"/>
          <w:szCs w:val="24"/>
          <w:shd w:fill="auto" w:val="clear"/>
        </w:rPr>
      </w:pPr>
      <w:r>
        <w:rPr>
          <w:b w:val="false"/>
          <w:i w:val="false"/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yle8"/>
          <w:bCs/>
          <w:i w:val="false"/>
          <w:sz w:val="24"/>
          <w:szCs w:val="24"/>
          <w:shd w:fill="auto" w:val="clear"/>
        </w:rPr>
        <w:t>4. Приложения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Cs/>
          <w:i w:val="false"/>
          <w:i w:val="false"/>
          <w:sz w:val="24"/>
          <w:szCs w:val="24"/>
          <w:shd w:fill="auto" w:val="clear"/>
        </w:rPr>
      </w:pPr>
      <w:r>
        <w:rPr>
          <w:bCs/>
          <w:i w:val="false"/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/>
          <w:bCs/>
          <w:sz w:val="24"/>
          <w:szCs w:val="24"/>
        </w:rPr>
      </w:pPr>
      <w:r>
        <w:rPr>
          <w:rStyle w:val="Style8"/>
          <w:b w:val="false"/>
          <w:i w:val="false"/>
          <w:sz w:val="24"/>
          <w:szCs w:val="24"/>
          <w:shd w:fill="auto" w:val="clear"/>
        </w:rPr>
        <w:t>4.1. Приложение № 1, Перечень МТР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Cs/>
          <w:i w:val="false"/>
          <w:i w:val="false"/>
          <w:sz w:val="24"/>
          <w:szCs w:val="24"/>
          <w:shd w:fill="auto" w:val="clear"/>
        </w:rPr>
      </w:pPr>
      <w:r>
        <w:rPr>
          <w:bCs/>
          <w:i w:val="false"/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Cs/>
          <w:i w:val="false"/>
          <w:i w:val="false"/>
          <w:sz w:val="24"/>
          <w:szCs w:val="24"/>
          <w:shd w:fill="auto" w:val="clear"/>
        </w:rPr>
      </w:pPr>
      <w:r>
        <w:rPr>
          <w:bCs/>
          <w:i w:val="false"/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/>
          <w:bCs/>
          <w:sz w:val="24"/>
          <w:szCs w:val="24"/>
        </w:rPr>
      </w:pPr>
      <w:r>
        <w:rPr/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Cs/>
          <w:i w:val="false"/>
          <w:i w:val="false"/>
          <w:sz w:val="24"/>
          <w:szCs w:val="24"/>
          <w:shd w:fill="auto" w:val="clear"/>
        </w:rPr>
      </w:pPr>
      <w:r>
        <w:rPr>
          <w:bCs/>
          <w:i w:val="false"/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Cs/>
          <w:i w:val="false"/>
          <w:i w:val="false"/>
          <w:sz w:val="24"/>
          <w:szCs w:val="24"/>
          <w:shd w:fill="auto" w:val="clear"/>
        </w:rPr>
      </w:pPr>
      <w:r>
        <w:rPr>
          <w:bCs/>
          <w:i w:val="false"/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Cs/>
          <w:i w:val="false"/>
          <w:i w:val="false"/>
          <w:sz w:val="24"/>
          <w:szCs w:val="24"/>
          <w:shd w:fill="auto" w:val="clear"/>
        </w:rPr>
      </w:pPr>
      <w:r>
        <w:rPr>
          <w:bCs/>
          <w:i w:val="false"/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Cs/>
          <w:i w:val="false"/>
          <w:i w:val="false"/>
          <w:sz w:val="24"/>
          <w:szCs w:val="24"/>
          <w:shd w:fill="auto" w:val="clear"/>
        </w:rPr>
      </w:pPr>
      <w:r>
        <w:rPr>
          <w:bCs/>
          <w:i w:val="false"/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Cs/>
          <w:i w:val="false"/>
          <w:i w:val="false"/>
          <w:sz w:val="24"/>
          <w:szCs w:val="24"/>
          <w:shd w:fill="auto" w:val="clear"/>
        </w:rPr>
      </w:pPr>
      <w:r>
        <w:rPr>
          <w:bCs/>
          <w:i w:val="false"/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Cs/>
          <w:i w:val="false"/>
          <w:i w:val="false"/>
          <w:sz w:val="24"/>
          <w:szCs w:val="24"/>
          <w:shd w:fill="auto" w:val="clear"/>
        </w:rPr>
      </w:pPr>
      <w:r>
        <w:rPr>
          <w:bCs/>
          <w:i w:val="false"/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Cs/>
          <w:i w:val="false"/>
          <w:i w:val="false"/>
          <w:sz w:val="24"/>
          <w:szCs w:val="24"/>
          <w:shd w:fill="auto" w:val="clear"/>
        </w:rPr>
      </w:pPr>
      <w:r>
        <w:rPr>
          <w:bCs/>
          <w:i w:val="false"/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Cs/>
          <w:i w:val="false"/>
          <w:i w:val="false"/>
          <w:sz w:val="24"/>
          <w:szCs w:val="24"/>
          <w:shd w:fill="auto" w:val="clear"/>
        </w:rPr>
      </w:pPr>
      <w:r>
        <w:rPr>
          <w:bCs/>
          <w:i w:val="false"/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Cs/>
          <w:i w:val="false"/>
          <w:i w:val="false"/>
          <w:sz w:val="24"/>
          <w:szCs w:val="24"/>
          <w:shd w:fill="auto" w:val="clear"/>
        </w:rPr>
      </w:pPr>
      <w:r>
        <w:rPr>
          <w:bCs/>
          <w:i w:val="false"/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Cs/>
          <w:i w:val="false"/>
          <w:i w:val="false"/>
          <w:sz w:val="24"/>
          <w:szCs w:val="24"/>
          <w:shd w:fill="auto" w:val="clear"/>
        </w:rPr>
      </w:pPr>
      <w:r>
        <w:rPr>
          <w:bCs/>
          <w:i w:val="false"/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Cs/>
          <w:i w:val="false"/>
          <w:i w:val="false"/>
          <w:sz w:val="24"/>
          <w:szCs w:val="24"/>
          <w:shd w:fill="auto" w:val="clear"/>
        </w:rPr>
      </w:pPr>
      <w:r>
        <w:rPr>
          <w:bCs/>
          <w:i w:val="false"/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Cs/>
          <w:i w:val="false"/>
          <w:i w:val="false"/>
          <w:sz w:val="24"/>
          <w:szCs w:val="24"/>
          <w:shd w:fill="auto" w:val="clear"/>
        </w:rPr>
      </w:pPr>
      <w:r>
        <w:rPr>
          <w:bCs/>
          <w:i w:val="false"/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Cs/>
          <w:i w:val="false"/>
          <w:i w:val="false"/>
          <w:sz w:val="24"/>
          <w:szCs w:val="24"/>
          <w:shd w:fill="auto" w:val="clear"/>
        </w:rPr>
      </w:pPr>
      <w:r>
        <w:rPr>
          <w:bCs/>
          <w:i w:val="false"/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Cs/>
          <w:i w:val="false"/>
          <w:i w:val="false"/>
          <w:sz w:val="24"/>
          <w:szCs w:val="24"/>
          <w:shd w:fill="auto" w:val="clear"/>
        </w:rPr>
      </w:pPr>
      <w:r>
        <w:rPr>
          <w:bCs/>
          <w:i w:val="false"/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Cs/>
          <w:i w:val="false"/>
          <w:i w:val="false"/>
          <w:sz w:val="24"/>
          <w:szCs w:val="24"/>
          <w:shd w:fill="auto" w:val="clear"/>
        </w:rPr>
      </w:pPr>
      <w:r>
        <w:rPr>
          <w:bCs/>
          <w:i w:val="false"/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Cs/>
          <w:i w:val="false"/>
          <w:i w:val="false"/>
          <w:sz w:val="24"/>
          <w:szCs w:val="24"/>
          <w:shd w:fill="auto" w:val="clear"/>
        </w:rPr>
      </w:pPr>
      <w:r>
        <w:rPr>
          <w:bCs/>
          <w:i w:val="false"/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Cs/>
          <w:i w:val="false"/>
          <w:i w:val="false"/>
          <w:sz w:val="24"/>
          <w:szCs w:val="24"/>
          <w:shd w:fill="auto" w:val="clear"/>
        </w:rPr>
      </w:pPr>
      <w:r>
        <w:rPr>
          <w:bCs/>
          <w:i w:val="false"/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Cs/>
          <w:i w:val="false"/>
          <w:i w:val="false"/>
          <w:sz w:val="24"/>
          <w:szCs w:val="24"/>
          <w:shd w:fill="auto" w:val="clear"/>
        </w:rPr>
      </w:pPr>
      <w:r>
        <w:rPr>
          <w:bCs/>
          <w:i w:val="false"/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Cs/>
          <w:i w:val="false"/>
          <w:i w:val="false"/>
          <w:sz w:val="24"/>
          <w:szCs w:val="24"/>
          <w:shd w:fill="auto" w:val="clear"/>
        </w:rPr>
      </w:pPr>
      <w:r>
        <w:rPr>
          <w:bCs/>
          <w:i w:val="false"/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Cs/>
          <w:i w:val="false"/>
          <w:i w:val="false"/>
          <w:sz w:val="24"/>
          <w:szCs w:val="24"/>
          <w:shd w:fill="auto" w:val="clear"/>
        </w:rPr>
      </w:pPr>
      <w:r>
        <w:rPr>
          <w:bCs/>
          <w:i w:val="false"/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right"/>
        <w:rPr/>
      </w:pPr>
      <w:r>
        <w:rPr>
          <w:rStyle w:val="Style8"/>
          <w:b w:val="false"/>
          <w:i w:val="false"/>
          <w:sz w:val="24"/>
          <w:szCs w:val="24"/>
          <w:shd w:fill="auto" w:val="clear"/>
        </w:rPr>
        <w:t>Приложение № 1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right"/>
        <w:rPr/>
      </w:pPr>
      <w:r>
        <w:rPr>
          <w:rStyle w:val="Style8"/>
          <w:b w:val="false"/>
          <w:i w:val="false"/>
          <w:sz w:val="24"/>
          <w:szCs w:val="24"/>
          <w:shd w:fill="auto" w:val="clear"/>
        </w:rPr>
        <w:t>к техническим требованиям на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right"/>
        <w:rPr/>
      </w:pPr>
      <w:r>
        <w:rPr>
          <w:rStyle w:val="Style8"/>
          <w:b w:val="false"/>
          <w:i w:val="false"/>
          <w:sz w:val="24"/>
          <w:szCs w:val="24"/>
          <w:shd w:fill="auto" w:val="clear"/>
        </w:rPr>
        <w:t>поставку материалов и запасных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right"/>
        <w:rPr/>
      </w:pPr>
      <w:r>
        <w:rPr>
          <w:rStyle w:val="Style8"/>
          <w:b w:val="false"/>
          <w:i w:val="false"/>
          <w:sz w:val="24"/>
          <w:szCs w:val="24"/>
          <w:shd w:fill="auto" w:val="clear"/>
        </w:rPr>
        <w:t xml:space="preserve">частей на эксплуатацию систем и оборудования ССИиТС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right"/>
        <w:rPr>
          <w:rStyle w:val="Style8"/>
          <w:b w:val="false"/>
          <w:i w:val="false"/>
          <w:i w:val="false"/>
          <w:sz w:val="24"/>
          <w:szCs w:val="24"/>
          <w:shd w:fill="auto" w:val="clear"/>
        </w:rPr>
      </w:pPr>
      <w:r>
        <w:rPr>
          <w:b w:val="false"/>
          <w:i w:val="false"/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b/>
          <w:bCs/>
        </w:rPr>
      </w:pPr>
      <w:r>
        <w:rPr>
          <w:b/>
          <w:bCs/>
        </w:rPr>
        <w:t>Перечень МТР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b/>
          <w:bCs/>
        </w:rPr>
      </w:pPr>
      <w:r>
        <w:rPr>
          <w:b/>
          <w:bCs/>
        </w:rPr>
      </w:r>
    </w:p>
    <w:tbl>
      <w:tblPr>
        <w:tblW w:w="9975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noVBand="1" w:val="04a0" w:noHBand="0" w:lastColumn="0" w:firstColumn="1" w:lastRow="0" w:firstRow="1"/>
      </w:tblPr>
      <w:tblGrid>
        <w:gridCol w:w="601"/>
        <w:gridCol w:w="7199"/>
        <w:gridCol w:w="1079"/>
        <w:gridCol w:w="1095"/>
      </w:tblGrid>
      <w:tr>
        <w:trPr>
          <w:trHeight w:val="330" w:hRule="atLeast"/>
        </w:trPr>
        <w:tc>
          <w:tcPr>
            <w:tcW w:w="601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7199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/>
              <w:t>Наименование материала и</w:t>
            </w:r>
          </w:p>
        </w:tc>
        <w:tc>
          <w:tcPr>
            <w:tcW w:w="1079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/>
              <w:t>Ед. изм.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/>
              <w:t>Кол-во</w:t>
            </w:r>
          </w:p>
        </w:tc>
      </w:tr>
      <w:tr>
        <w:trPr>
          <w:trHeight w:val="690" w:hRule="atLeast"/>
        </w:trPr>
        <w:tc>
          <w:tcPr>
            <w:tcW w:w="601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99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/>
              <w:t>оборудования</w:t>
            </w:r>
          </w:p>
        </w:tc>
        <w:tc>
          <w:tcPr>
            <w:tcW w:w="1079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270" w:hRule="atLeast"/>
        </w:trPr>
        <w:tc>
          <w:tcPr>
            <w:tcW w:w="601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</w:rPr>
              <w:t>1</w:t>
            </w:r>
          </w:p>
        </w:tc>
        <w:tc>
          <w:tcPr>
            <w:tcW w:w="7199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</w:rPr>
              <w:t>2</w:t>
            </w:r>
          </w:p>
        </w:tc>
        <w:tc>
          <w:tcPr>
            <w:tcW w:w="1079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</w:rPr>
              <w:t>3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</w:rPr>
              <w:t>4</w:t>
            </w:r>
          </w:p>
        </w:tc>
      </w:tr>
      <w:tr>
        <w:trPr>
          <w:trHeight w:val="443" w:hRule="atLeast"/>
        </w:trPr>
        <w:tc>
          <w:tcPr>
            <w:tcW w:w="601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/>
              <w:t>1</w:t>
            </w:r>
          </w:p>
        </w:tc>
        <w:tc>
          <w:tcPr>
            <w:tcW w:w="7199" w:type="dxa"/>
            <w:tcBorders/>
            <w:vAlign w:val="center"/>
          </w:tcPr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rFonts w:ascii="Arial;Tahoma;Verdana;sans-serif" w:hAnsi="Arial;Tahoma;Verdana;sans-serif"/>
                <w:b w:val="false"/>
                <w:bCs/>
                <w:i w:val="false"/>
                <w:caps w:val="false"/>
                <w:smallCaps w:val="false"/>
                <w:color w:val="2C2D2E"/>
                <w:spacing w:val="0"/>
                <w:sz w:val="23"/>
              </w:rPr>
              <w:t>Базовая станция Sigrand SG-17R-1RU-CP1-4ETH/DC</w:t>
            </w:r>
          </w:p>
        </w:tc>
        <w:tc>
          <w:tcPr>
            <w:tcW w:w="1079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/>
              <w:t>шт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/>
              <w:t>2</w:t>
            </w:r>
          </w:p>
        </w:tc>
      </w:tr>
      <w:tr>
        <w:trPr>
          <w:trHeight w:val="315" w:hRule="atLeast"/>
        </w:trPr>
        <w:tc>
          <w:tcPr>
            <w:tcW w:w="601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/>
              <w:t>2</w:t>
            </w:r>
          </w:p>
        </w:tc>
        <w:tc>
          <w:tcPr>
            <w:tcW w:w="7199" w:type="dxa"/>
            <w:tcBorders/>
            <w:vAlign w:val="center"/>
          </w:tcPr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rFonts w:ascii="Arial;Tahoma;Verdana;sans-serif" w:hAnsi="Arial;Tahoma;Verdana;sans-serif"/>
                <w:b w:val="false"/>
                <w:bCs/>
                <w:i w:val="false"/>
                <w:caps w:val="false"/>
                <w:smallCaps w:val="false"/>
                <w:color w:val="2C2D2E"/>
                <w:spacing w:val="0"/>
                <w:sz w:val="23"/>
              </w:rPr>
              <w:t>Модуль Sigrand SG-MR-17V8</w:t>
            </w:r>
          </w:p>
        </w:tc>
        <w:tc>
          <w:tcPr>
            <w:tcW w:w="1079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/>
              <w:t>шт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/>
              <w:t>2</w:t>
            </w:r>
          </w:p>
        </w:tc>
      </w:tr>
      <w:tr>
        <w:trPr>
          <w:trHeight w:val="315" w:hRule="atLeast"/>
        </w:trPr>
        <w:tc>
          <w:tcPr>
            <w:tcW w:w="601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/>
              <w:t>3</w:t>
            </w:r>
          </w:p>
        </w:tc>
        <w:tc>
          <w:tcPr>
            <w:tcW w:w="7199" w:type="dxa"/>
            <w:tcBorders/>
            <w:vAlign w:val="center"/>
          </w:tcPr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rFonts w:ascii="Arial;Tahoma;Verdana;sans-serif" w:hAnsi="Arial;Tahoma;Verdana;sans-serif"/>
                <w:b w:val="false"/>
                <w:bCs/>
                <w:i w:val="false"/>
                <w:caps w:val="false"/>
                <w:smallCaps w:val="false"/>
                <w:color w:val="2C2D2E"/>
                <w:spacing w:val="0"/>
                <w:sz w:val="23"/>
              </w:rPr>
              <w:t>Субмодуль SMR-17VF</w:t>
            </w:r>
          </w:p>
        </w:tc>
        <w:tc>
          <w:tcPr>
            <w:tcW w:w="1079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/>
              <w:t>шт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/>
              <w:t>4</w:t>
            </w:r>
          </w:p>
        </w:tc>
      </w:tr>
      <w:tr>
        <w:trPr>
          <w:trHeight w:val="436" w:hRule="atLeast"/>
        </w:trPr>
        <w:tc>
          <w:tcPr>
            <w:tcW w:w="601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/>
              <w:t>4</w:t>
            </w:r>
          </w:p>
        </w:tc>
        <w:tc>
          <w:tcPr>
            <w:tcW w:w="7199" w:type="dxa"/>
            <w:tcBorders/>
            <w:vAlign w:val="center"/>
          </w:tcPr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rFonts w:ascii="Arial;Tahoma;Verdana;sans-serif" w:hAnsi="Arial;Tahoma;Verdana;sans-serif"/>
                <w:b w:val="false"/>
                <w:bCs/>
                <w:i w:val="false"/>
                <w:caps w:val="false"/>
                <w:smallCaps w:val="false"/>
                <w:color w:val="2C2D2E"/>
                <w:spacing w:val="0"/>
                <w:sz w:val="23"/>
              </w:rPr>
              <w:t>Прибор КомТех ПА-1</w:t>
            </w:r>
          </w:p>
        </w:tc>
        <w:tc>
          <w:tcPr>
            <w:tcW w:w="1079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/>
              <w:t>шт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/>
              <w:t>2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footnotePr>
            <w:numFmt w:val="decimal"/>
          </w:footnotePr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sectPr>
      <w:headerReference w:type="default" r:id="rId5"/>
      <w:headerReference w:type="first" r:id="rId6"/>
      <w:footnotePr>
        <w:numFmt w:val="decimal"/>
      </w:footnotePr>
      <w:type w:val="nextPage"/>
      <w:pgSz w:orient="landscape" w:w="16838" w:h="11906"/>
      <w:pgMar w:left="992" w:right="567" w:gutter="0" w:header="680" w:top="851" w:footer="0" w:bottom="85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Arial">
    <w:altName w:val="Tahoma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jc w:val="both"/>
        <w:rPr>
          <w:rStyle w:val="Style8"/>
          <w:b w:val="false"/>
          <w:bCs/>
          <w:iCs/>
        </w:rPr>
      </w:pPr>
      <w:r>
        <w:rPr>
          <w:rStyle w:val="Style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5F99B25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5F99B25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>
    <w:name w:val="Strong1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rong">
    <w:name w:val="Strong"/>
    <w:qFormat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footnotes" Target="footnotes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3AFB7-77FD-434B-A3E7-956FE92FC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Application>AlterOffice/3.4.0.9$Linux_X86_64 LibreOffice_project/b8daf9e823b1a5463a2f48435ddc2e8696e7d4fc</Application>
  <AppVersion>15.0000</AppVersion>
  <Pages>5</Pages>
  <Words>451</Words>
  <Characters>2964</Characters>
  <CharactersWithSpaces>3372</CharactersWithSpaces>
  <Paragraphs>65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2021-04-05T15:04:00Z</dcterms:created>
  <dc:creator>Быстров Олег Геннадьевич</dc:creator>
  <dc:description/>
  <dc:language>ru-RU</dc:language>
  <cp:lastModifiedBy>zabelkinans@corp.gidroogk.com</cp:lastModifiedBy>
  <cp:lastPrinted>2006-07-26T14:04:00Z</cp:lastPrinted>
  <dcterms:modified xsi:type="dcterms:W3CDTF">2026-07-16T11:02:31Z</dcterms:modified>
  <cp:revision>30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