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ind w:firstLine="709"/>
        <w:jc w:val="center"/>
        <w:rPr>
          <w:b/>
          <w:sz w:val="24"/>
          <w:szCs w:val="24"/>
        </w:rPr>
      </w:pPr>
      <w:r>
        <w:rPr>
          <w:bCs/>
          <w:sz w:val="22"/>
          <w:szCs w:val="22"/>
        </w:rPr>
        <w:t xml:space="preserve"> </w:t>
      </w:r>
      <w:r>
        <w:rPr>
          <w:b/>
          <w:bCs/>
          <w:sz w:val="24"/>
          <w:szCs w:val="24"/>
        </w:rPr>
        <w:t>Договор поставки</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ind w:firstLine="709"/>
        <w:jc w:val="right"/>
        <w:rPr>
          <w:bCs/>
          <w:sz w:val="24"/>
          <w:szCs w:val="24"/>
        </w:rPr>
      </w:pPr>
      <w:r>
        <w:rPr>
          <w:bCs/>
          <w:sz w:val="24"/>
          <w:szCs w:val="24"/>
        </w:rPr>
      </w:r>
    </w:p>
    <w:p>
      <w:pPr>
        <w:pStyle w:val="Normal"/>
        <w:ind w:firstLine="709"/>
        <w:jc w:val="both"/>
        <w:rPr>
          <w:sz w:val="24"/>
          <w:szCs w:val="24"/>
        </w:rPr>
      </w:pPr>
      <w:r>
        <w:rPr>
          <w:spacing w:val="4"/>
          <w:sz w:val="24"/>
          <w:szCs w:val="24"/>
        </w:rPr>
        <w:t>Публичное акционерное общество «Федеральная гидрогенерирующая компания – РусГидро» (ПАО «РусГидро»), (далее – «Покупатель»), в лице Директора филиала ПАО «РусГидро» – «Зейская ГЭС», действующего на основании ________, с одной стороны, и</w:t>
      </w:r>
      <w:r>
        <w:rPr>
          <w:spacing w:val="10"/>
          <w:sz w:val="24"/>
          <w:szCs w:val="24"/>
        </w:rPr>
        <w:t xml:space="preserve"> </w:t>
      </w:r>
      <w:r>
        <w:rPr>
          <w:b/>
          <w:spacing w:val="10"/>
          <w:sz w:val="24"/>
          <w:szCs w:val="24"/>
        </w:rPr>
        <w:t>____________________</w:t>
      </w:r>
      <w:r>
        <w:rPr>
          <w:bCs/>
          <w:sz w:val="24"/>
          <w:szCs w:val="24"/>
        </w:rPr>
        <w:t xml:space="preserve"> </w:t>
      </w:r>
      <w:r>
        <w:rPr>
          <w:sz w:val="24"/>
          <w:szCs w:val="24"/>
        </w:rPr>
        <w:t>(далее – «Поставщик»), в лице _________________________, действующего на основании ___________________, с другой стороны, 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hd w:val="clear" w:color="auto" w:fill="FFFFFF"/>
        <w:ind w:firstLine="709"/>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sz w:val="24"/>
          <w:szCs w:val="24"/>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ListParagraph"/>
        <w:shd w:val="clear" w:color="auto" w:fill="FFFFFF"/>
        <w:tabs>
          <w:tab w:val="clear" w:pos="709"/>
          <w:tab w:val="left" w:pos="0" w:leader="none"/>
        </w:tabs>
        <w:overflowPunct w:val="true"/>
        <w:ind w:left="0" w:firstLine="709"/>
        <w:jc w:val="both"/>
        <w:textAlignment w:val="baseline"/>
        <w:rPr/>
      </w:pPr>
      <w:r>
        <w:rPr>
          <w:b/>
          <w:bCs/>
          <w:color w:val="auto"/>
          <w:sz w:val="24"/>
          <w:szCs w:val="24"/>
          <w:lang w:eastAsia="en-US"/>
        </w:rPr>
        <w:t>«Партия Товара»</w:t>
      </w:r>
      <w:r>
        <w:rPr>
          <w:color w:val="auto"/>
          <w:sz w:val="24"/>
          <w:szCs w:val="24"/>
          <w:lang w:eastAsia="en-US"/>
        </w:rPr>
        <w:t xml:space="preserve"> </w:t>
      </w:r>
      <w:r>
        <w:rPr>
          <w:b w:val="false"/>
          <w:color w:val="auto"/>
          <w:sz w:val="24"/>
          <w:szCs w:val="24"/>
          <w:lang w:eastAsia="en-US"/>
        </w:rPr>
        <w:t xml:space="preserve">– часть Товара, единовременно поставляемая Покупателю Поставщиком, </w:t>
      </w:r>
      <w:r>
        <w:rPr>
          <w:b w:val="false"/>
          <w:color w:val="auto"/>
          <w:sz w:val="24"/>
          <w:szCs w:val="24"/>
          <w:lang w:val="ru-RU" w:eastAsia="en-US"/>
        </w:rPr>
        <w:t>характеристики</w:t>
      </w:r>
      <w:r>
        <w:rPr>
          <w:b w:val="false"/>
          <w:color w:val="auto"/>
          <w:sz w:val="24"/>
          <w:szCs w:val="24"/>
          <w:lang w:eastAsia="en-US"/>
        </w:rPr>
        <w:t xml:space="preserve"> которой определя</w:t>
      </w:r>
      <w:r>
        <w:rPr>
          <w:b w:val="false"/>
          <w:color w:val="auto"/>
          <w:sz w:val="24"/>
          <w:szCs w:val="24"/>
          <w:lang w:val="ru-RU" w:eastAsia="en-US"/>
        </w:rPr>
        <w:t>ю</w:t>
      </w:r>
      <w:r>
        <w:rPr>
          <w:b w:val="false"/>
          <w:color w:val="auto"/>
          <w:sz w:val="24"/>
          <w:szCs w:val="24"/>
          <w:lang w:eastAsia="en-US"/>
        </w:rPr>
        <w:t xml:space="preserve">тся </w:t>
      </w:r>
      <w:r>
        <w:rPr>
          <w:b w:val="false"/>
          <w:color w:val="auto"/>
          <w:sz w:val="24"/>
          <w:szCs w:val="24"/>
          <w:lang w:val="ru-RU" w:eastAsia="en-US"/>
        </w:rPr>
        <w:t xml:space="preserve">Заявкой Покупателя в соответствии со </w:t>
      </w:r>
      <w:r>
        <w:rPr>
          <w:b w:val="false"/>
          <w:color w:val="auto"/>
          <w:sz w:val="24"/>
          <w:szCs w:val="24"/>
          <w:lang w:eastAsia="en-US"/>
        </w:rPr>
        <w:t>Спецификацией, являющейся приложением к Договору.</w:t>
      </w:r>
      <w:r>
        <w:rPr>
          <w:color w:val="auto"/>
          <w:sz w:val="24"/>
          <w:szCs w:val="24"/>
          <w:lang w:val="ru-RU" w:eastAsia="en-US"/>
        </w:rPr>
        <w:t>«Применимое право»</w:t>
      </w:r>
      <w:r>
        <w:rPr>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lang w:eastAsia="en-US"/>
        </w:rPr>
        <w:t>пенообразователя для тушения пожаров ПО-6, 6%</w:t>
      </w:r>
      <w:r>
        <w:rPr>
          <w:rFonts w:eastAsia="Calibri"/>
          <w:bCs/>
          <w:sz w:val="24"/>
          <w:szCs w:val="24"/>
          <w:lang w:eastAsia="en-US"/>
        </w:rPr>
        <w:t xml:space="preserve"> </w:t>
      </w:r>
      <w:r>
        <w:rPr>
          <w:bCs/>
          <w:sz w:val="24"/>
          <w:szCs w:val="24"/>
        </w:rPr>
        <w:t>(далее – «Товар») в соответствии со Спецификацией (Приложение № 2 к Договору), а Покупатель обязуется принять Товар и уплатить Цену Договора.</w:t>
      </w:r>
    </w:p>
    <w:p>
      <w:pPr>
        <w:pStyle w:val="Normal"/>
        <w:numPr>
          <w:ilvl w:val="1"/>
          <w:numId w:val="2"/>
        </w:numPr>
        <w:tabs>
          <w:tab w:val="clear" w:pos="709"/>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w:t>
      </w:r>
      <w:r>
        <w:rPr>
          <w:bCs/>
          <w:sz w:val="26"/>
          <w:szCs w:val="26"/>
          <w:highlight w:val="lightGray"/>
        </w:rPr>
        <w:t>филиала ПАО «РусГидро» - «Зейская ГЭС».</w:t>
      </w:r>
    </w:p>
    <w:p>
      <w:pPr>
        <w:pStyle w:val="Normal"/>
        <w:numPr>
          <w:ilvl w:val="1"/>
          <w:numId w:val="2"/>
        </w:numPr>
        <w:tabs>
          <w:tab w:val="clear" w:pos="709"/>
          <w:tab w:val="left" w:pos="0" w:leader="none"/>
          <w:tab w:val="left" w:pos="1134" w:leader="none"/>
        </w:tabs>
        <w:ind w:left="0" w:firstLine="709"/>
        <w:jc w:val="both"/>
        <w:rPr/>
      </w:pPr>
      <w:r>
        <w:rPr>
          <w:bCs/>
          <w:sz w:val="26"/>
          <w:szCs w:val="26"/>
          <w:highlight w:val="lightGray"/>
        </w:rPr>
        <w:t xml:space="preserve">Место поставки товара: 676244, Амурская область, г. Зея, </w:t>
      </w:r>
      <w:r>
        <w:rPr>
          <w:bCs/>
          <w:sz w:val="26"/>
          <w:szCs w:val="26"/>
          <w:highlight w:val="lightGray"/>
        </w:rPr>
        <w:t xml:space="preserve">ул. Манистральная, ст. 1, </w:t>
      </w:r>
      <w:r>
        <w:rPr>
          <w:bCs/>
          <w:sz w:val="26"/>
          <w:szCs w:val="26"/>
          <w:highlight w:val="lightGray"/>
        </w:rPr>
        <w:t>склад № 2 Филиала ПАО «РусГидро» - «Зейская ГЭС»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Начало – с даты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Окончание – не позднее </w:t>
      </w:r>
      <w:r>
        <w:rPr>
          <w:b/>
          <w:bCs/>
          <w:sz w:val="24"/>
          <w:szCs w:val="24"/>
        </w:rPr>
        <w:t>30</w:t>
      </w:r>
      <w:r>
        <w:rPr>
          <w:b/>
          <w:bCs/>
          <w:sz w:val="24"/>
          <w:szCs w:val="24"/>
        </w:rPr>
        <w:t>.0</w:t>
      </w:r>
      <w:r>
        <w:rPr>
          <w:b/>
          <w:bCs/>
          <w:sz w:val="24"/>
          <w:szCs w:val="24"/>
        </w:rPr>
        <w:t>9</w:t>
      </w:r>
      <w:r>
        <w:rPr>
          <w:b/>
          <w:bCs/>
          <w:sz w:val="24"/>
          <w:szCs w:val="24"/>
        </w:rPr>
        <w:t>.2026г.</w:t>
      </w:r>
    </w:p>
    <w:p>
      <w:pPr>
        <w:pStyle w:val="Normal"/>
        <w:numPr>
          <w:ilvl w:val="0"/>
          <w:numId w:val="0"/>
        </w:numPr>
        <w:shd w:val="clear" w:color="auto" w:fill="FFFFFF"/>
        <w:tabs>
          <w:tab w:val="clear" w:pos="709"/>
          <w:tab w:val="left" w:pos="0" w:leader="none"/>
          <w:tab w:val="left" w:pos="1134" w:leader="none"/>
          <w:tab w:val="left" w:pos="1418" w:leader="none"/>
        </w:tabs>
        <w:ind w:left="0" w:hanging="0"/>
        <w:jc w:val="both"/>
        <w:rPr>
          <w:b/>
          <w:bCs/>
          <w:sz w:val="24"/>
          <w:szCs w:val="24"/>
        </w:rPr>
      </w:pPr>
      <w:r>
        <w:rPr>
          <w:b/>
          <w:bCs/>
          <w:sz w:val="24"/>
          <w:szCs w:val="24"/>
        </w:rPr>
      </w:r>
    </w:p>
    <w:p>
      <w:pPr>
        <w:pStyle w:val="Normal"/>
        <w:shd w:val="clear" w:color="auto" w:fill="FFFFFF"/>
        <w:tabs>
          <w:tab w:val="clear" w:pos="709"/>
          <w:tab w:val="left" w:pos="540" w:leader="none"/>
        </w:tabs>
        <w:ind w:firstLine="709"/>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Цена Договора </w:t>
      </w:r>
      <w:r>
        <w:rPr>
          <w:bCs/>
          <w:sz w:val="24"/>
          <w:szCs w:val="24"/>
        </w:rPr>
        <w:t xml:space="preserve">является предельной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 </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highlight w:val="lightGray"/>
        </w:rPr>
        <w:t>Производство и / или</w:t>
      </w:r>
      <w:r>
        <w:rPr>
          <w:bCs/>
          <w:sz w:val="24"/>
          <w:szCs w:val="24"/>
        </w:rPr>
        <w:t xml:space="preserve"> приобретение Товара;</w:t>
      </w:r>
    </w:p>
    <w:p>
      <w:pPr>
        <w:pStyle w:val="ListParagraph"/>
        <w:numPr>
          <w:ilvl w:val="2"/>
          <w:numId w:val="9"/>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bCs/>
          <w:sz w:val="24"/>
          <w:szCs w:val="24"/>
        </w:rPr>
        <w:t xml:space="preserve">,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tabs>
          <w:tab w:val="clear" w:pos="709"/>
          <w:tab w:val="left" w:pos="1189" w:leader="none"/>
        </w:tabs>
        <w:ind w:left="0" w:firstLine="709"/>
        <w:jc w:val="both"/>
        <w:rPr>
          <w:bCs/>
          <w:sz w:val="24"/>
        </w:rPr>
      </w:pPr>
      <w:r>
        <w:rPr>
          <w:bCs/>
          <w:sz w:val="24"/>
        </w:rPr>
        <w:t xml:space="preserve">Оплата по Договору осуществляется Покупателем в течение </w:t>
      </w:r>
      <w:r>
        <w:rPr>
          <w:sz w:val="24"/>
          <w:szCs w:val="24"/>
          <w:highlight w:val="lightGray"/>
        </w:rPr>
        <w:t>20 (двадцати) календарных дней/ 7 (семи) рабочих дней</w:t>
      </w:r>
      <w:r>
        <w:rPr>
          <w:rStyle w:val="FootnoteReference"/>
          <w:sz w:val="24"/>
          <w:szCs w:val="24"/>
          <w:highlight w:val="lightGray"/>
        </w:rPr>
        <w:footnoteReference w:id="2"/>
      </w:r>
      <w:r>
        <w:rPr>
          <w:sz w:val="24"/>
          <w:szCs w:val="24"/>
          <w:vertAlign w:val="superscript"/>
        </w:rPr>
        <w:t xml:space="preserve"> </w:t>
      </w:r>
      <w:r>
        <w:rPr>
          <w:bCs/>
          <w:sz w:val="24"/>
        </w:rPr>
        <w:t>с даты подписания Сторонами Накладной ТОРГ-12 на основании счета, выставленного Поставщиком, и с учетом пункта 2.6 Договора.</w:t>
      </w:r>
    </w:p>
    <w:p>
      <w:pPr>
        <w:pStyle w:val="ListParagraph"/>
        <w:widowControl/>
        <w:numPr>
          <w:ilvl w:val="1"/>
          <w:numId w:val="2"/>
        </w:numPr>
        <w:shd w:val="clear" w:color="auto" w:fill="FFFFFF"/>
        <w:tabs>
          <w:tab w:val="clear" w:pos="709"/>
          <w:tab w:val="left" w:pos="0" w:leader="none"/>
          <w:tab w:val="left" w:pos="1134" w:leader="none"/>
          <w:tab w:val="left" w:pos="1276"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highlight w:val="lightGray"/>
        </w:rPr>
        <w:t>Поставщик обязан представить Покупателю счета</w:t>
      </w:r>
      <w:r>
        <w:rPr>
          <w:bCs/>
          <w:sz w:val="24"/>
          <w:szCs w:val="24"/>
          <w:highlight w:val="lightGray"/>
        </w:rPr>
        <w:t>-</w:t>
      </w:r>
      <w:r>
        <w:rPr>
          <w:sz w:val="24"/>
          <w:szCs w:val="24"/>
          <w:highlight w:val="lightGray"/>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highlight w:val="lightGray"/>
        </w:rPr>
        <w:t>-</w:t>
      </w:r>
      <w:r>
        <w:rPr>
          <w:sz w:val="24"/>
          <w:szCs w:val="24"/>
          <w:highlight w:val="lightGray"/>
        </w:rPr>
        <w:t>фактуры в течение 3 (трех) рабочих дней с даты получения соответствующего письменного требования Покупателя.</w:t>
      </w:r>
      <w:r>
        <w:rPr>
          <w:rStyle w:val="FootnoteReference"/>
          <w:sz w:val="24"/>
          <w:szCs w:val="24"/>
          <w:highlight w:val="lightGray"/>
        </w:rPr>
        <w:footnoteReference w:id="3"/>
      </w:r>
    </w:p>
    <w:p>
      <w:pPr>
        <w:pStyle w:val="Normal"/>
        <w:numPr>
          <w:ilvl w:val="1"/>
          <w:numId w:val="2"/>
        </w:numPr>
        <w:shd w:val="clear" w:color="auto" w:fill="FFFFFF"/>
        <w:tabs>
          <w:tab w:val="clear" w:pos="709"/>
          <w:tab w:val="left" w:pos="1134" w:leader="none"/>
          <w:tab w:val="left" w:pos="1189"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shd w:val="clear" w:color="auto" w:fill="FFFFFF"/>
        <w:tabs>
          <w:tab w:val="clear" w:pos="709"/>
          <w:tab w:val="left" w:pos="1189" w:leader="none"/>
        </w:tabs>
        <w:ind w:left="0" w:firstLine="709"/>
        <w:jc w:val="both"/>
        <w:rPr>
          <w:sz w:val="24"/>
          <w:szCs w:val="24"/>
        </w:rPr>
      </w:pPr>
      <w:bookmarkStart w:id="0" w:name="_GoBack"/>
      <w:bookmarkEnd w:id="0"/>
      <w:r>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ListParagraph"/>
        <w:shd w:val="clear" w:color="auto" w:fill="FFFFFF"/>
        <w:tabs>
          <w:tab w:val="clear" w:pos="709"/>
          <w:tab w:val="left" w:pos="1134" w:leader="none"/>
        </w:tabs>
        <w:ind w:left="0"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ListParagraph"/>
        <w:shd w:val="clear" w:color="auto" w:fill="FFFFFF"/>
        <w:ind w:left="709" w:hanging="0"/>
        <w:jc w:val="both"/>
        <w:rPr>
          <w:sz w:val="24"/>
          <w:szCs w:val="24"/>
          <w:highlight w:val="lightGray"/>
        </w:rPr>
      </w:pPr>
      <w:r>
        <w:rPr>
          <w:sz w:val="24"/>
          <w:szCs w:val="24"/>
          <w:highlight w:val="lightGray"/>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6"/>
          <w:szCs w:val="26"/>
        </w:rPr>
      </w:pPr>
      <w:r>
        <w:rPr>
          <w:sz w:val="26"/>
          <w:szCs w:val="26"/>
        </w:rPr>
        <w:t xml:space="preserve">Поставка товара осуществляется в Место поставки товара, указанное в п. 1.3. Договора.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6"/>
          <w:szCs w:val="26"/>
        </w:rPr>
        <w:t>Качество  комплектность, количество и ассортимент поставляемого по Договору Товара должны соответствовать требованиям Договора и Покупателя, а также Применимого права.</w:t>
      </w:r>
    </w:p>
    <w:p>
      <w:pPr>
        <w:pStyle w:val="Normal"/>
        <w:widowControl/>
        <w:shd w:val="clear" w:color="auto" w:fill="FFFFFF"/>
        <w:tabs>
          <w:tab w:val="clear" w:pos="709"/>
          <w:tab w:val="left" w:pos="1134" w:leader="none"/>
        </w:tabs>
        <w:ind w:firstLine="709"/>
        <w:jc w:val="both"/>
        <w:rPr>
          <w:bCs/>
          <w:sz w:val="24"/>
          <w:szCs w:val="24"/>
        </w:rPr>
      </w:pPr>
      <w:r>
        <w:rPr>
          <w:bCs/>
          <w:sz w:val="24"/>
          <w:szCs w:val="24"/>
          <w:highlight w:val="lightGray"/>
        </w:rPr>
        <w:t xml:space="preserve">Поставщик не вправе производить </w:t>
      </w:r>
      <w:r>
        <w:rPr>
          <w:sz w:val="24"/>
          <w:szCs w:val="24"/>
          <w:highlight w:val="lightGray"/>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товарно</w:t>
      </w:r>
      <w:r>
        <w:rPr>
          <w:color w:val="000000"/>
          <w:sz w:val="24"/>
          <w:szCs w:val="24"/>
        </w:rPr>
        <w:t>-транспортную накладную формы №1-Т (для учета товарно-материальных ценностей и расчетов за их перевозки) или железнодорожная накладная (форма № ГУ-27) в 1 (один) экз.;</w:t>
      </w:r>
    </w:p>
    <w:p>
      <w:pPr>
        <w:pStyle w:val="Normal"/>
        <w:numPr>
          <w:ilvl w:val="0"/>
          <w:numId w:val="3"/>
        </w:numPr>
        <w:tabs>
          <w:tab w:val="clear" w:pos="709"/>
          <w:tab w:val="left" w:pos="1418" w:leader="none"/>
        </w:tabs>
        <w:ind w:left="0" w:firstLine="709"/>
        <w:jc w:val="both"/>
        <w:rPr>
          <w:sz w:val="24"/>
          <w:szCs w:val="24"/>
        </w:rPr>
      </w:pPr>
      <w:r>
        <w:rPr>
          <w:sz w:val="24"/>
          <w:szCs w:val="24"/>
          <w:highlight w:val="lightGray"/>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highlight w:val="lightGray"/>
        </w:rPr>
        <w:t>накладная ТОРГ-12 в 2 (двух)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акт приема передачи товара в 2 (двух)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счета на оплату окончательных платежей в 1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shd w:val="clear" w:color="auto" w:fill="FFFFFF"/>
        <w:tabs>
          <w:tab w:val="clear" w:pos="709"/>
          <w:tab w:val="left" w:pos="1134" w:leader="none"/>
          <w:tab w:val="left" w:pos="1418" w:leader="none"/>
        </w:tabs>
        <w:ind w:left="709" w:hanging="0"/>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Цену Договора.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2" w:name="_Ref361396594"/>
      <w:r>
        <w:rPr>
          <w:sz w:val="24"/>
          <w:szCs w:val="24"/>
        </w:rPr>
        <w:t>Датой поставки Товара является дата подписания Сторонами Накладной</w:t>
        <w:br/>
        <w:t>ТОРГ-12.</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2"/>
        </w:numPr>
        <w:tabs>
          <w:tab w:val="clear" w:pos="709"/>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pPr>
        <w:pStyle w:val="ListParagraph"/>
        <w:numPr>
          <w:ilvl w:val="1"/>
          <w:numId w:val="2"/>
        </w:numPr>
        <w:tabs>
          <w:tab w:val="clear" w:pos="709"/>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bookmarkStart w:id="3"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3"/>
    </w:p>
    <w:p>
      <w:pPr>
        <w:pStyle w:val="ListParagraph"/>
        <w:numPr>
          <w:ilvl w:val="1"/>
          <w:numId w:val="2"/>
        </w:numPr>
        <w:shd w:val="clear" w:color="auto" w:fill="FFFFFF"/>
        <w:tabs>
          <w:tab w:val="clear" w:pos="709"/>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widowControl/>
        <w:shd w:val="clear" w:color="auto" w:fill="FFFFFF"/>
        <w:tabs>
          <w:tab w:val="clear" w:pos="709"/>
          <w:tab w:val="left" w:pos="1134" w:leader="none"/>
          <w:tab w:val="left" w:pos="1418" w:leader="none"/>
        </w:tabs>
        <w:ind w:firstLine="709"/>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sz w:val="24"/>
          <w:szCs w:val="24"/>
        </w:rPr>
        <w:t>начиная с 31 (тридцать первого) календарного дня просрочки (неустойка с 1 по 30 день просрочки не начисляется)</w:t>
      </w:r>
      <w:r>
        <w:rPr>
          <w:bCs/>
          <w:sz w:val="24"/>
          <w:szCs w:val="24"/>
        </w:rPr>
        <w:t xml:space="preserve">.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9"/>
          <w:tab w:val="left" w:pos="1276" w:leader="none"/>
        </w:tabs>
        <w:ind w:left="0" w:firstLine="709"/>
        <w:jc w:val="both"/>
        <w:rPr>
          <w:bCs/>
          <w:sz w:val="24"/>
          <w:szCs w:val="24"/>
          <w:highlight w:val="lightGray"/>
        </w:rPr>
      </w:pPr>
      <w:r>
        <w:rPr>
          <w:bCs/>
          <w:sz w:val="24"/>
          <w:szCs w:val="24"/>
          <w:highlight w:val="lightGray"/>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rStyle w:val="FootnoteReference"/>
          <w:bCs/>
          <w:sz w:val="24"/>
          <w:szCs w:val="24"/>
        </w:rPr>
        <w:footnoteReference w:id="4"/>
      </w:r>
      <w:r>
        <w:rPr>
          <w:bCs/>
          <w:sz w:val="24"/>
          <w:szCs w:val="24"/>
        </w:rPr>
        <w:t>.</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4"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4"/>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5"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5"/>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6"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6"/>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Pr>
          <w:bCs/>
          <w:sz w:val="24"/>
          <w:szCs w:val="24"/>
          <w:highlight w:val="lightGray"/>
        </w:rPr>
        <w:t>Амурской области</w:t>
      </w:r>
      <w:r>
        <w:rPr>
          <w:bCs/>
          <w:sz w:val="24"/>
          <w:szCs w:val="24"/>
        </w:rPr>
        <w:t xml:space="preserve"> в соответствии с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13.8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7" w:name="_Ref361337900"/>
      <w:r>
        <w:rPr>
          <w:bCs/>
        </w:rPr>
        <w:t xml:space="preserve">. </w:t>
      </w:r>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w:t>
        <w:br/>
        <w:t xml:space="preserve">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соответствующие </w:t>
      </w:r>
      <w:hyperlink r:id="rId4">
        <w:r>
          <w:rPr>
            <w:bCs/>
            <w:sz w:val="24"/>
            <w:szCs w:val="24"/>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7"/>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8"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8"/>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9" w:name="_Ref361337948"/>
      <w:r>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9"/>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0" w:name="_Ref361337980"/>
      <w:r>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0"/>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1" w:name="_Ref373243071"/>
      <w:r>
        <w:rPr>
          <w:bCs/>
          <w:sz w:val="24"/>
          <w:szCs w:val="24"/>
        </w:rPr>
        <w:t xml:space="preserve">. 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1"/>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2" w:name="_Ref361337992"/>
      <w:r>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br/>
        <w:t>При этом Покупатель не будет считаться просрочившим и / или нарушившим свои обязательства по Договору.</w:t>
      </w:r>
      <w:bookmarkEnd w:id="12"/>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r>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9"/>
          <w:tab w:val="left" w:pos="1134" w:leader="none"/>
        </w:tabs>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13.8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left" w:pos="709" w:leader="none"/>
          <w:tab w:val="left" w:pos="1418" w:leader="none"/>
        </w:tabs>
        <w:ind w:left="0" w:firstLine="709"/>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9"/>
          <w:tab w:val="left" w:pos="1134" w:leader="none"/>
          <w:tab w:val="left" w:pos="1418" w:leader="none"/>
        </w:tabs>
        <w:ind w:left="0" w:firstLine="709"/>
        <w:jc w:val="both"/>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10"/>
        </w:numPr>
        <w:shd w:val="clear" w:color="auto" w:fill="FFFFFF"/>
        <w:tabs>
          <w:tab w:val="clear" w:pos="709"/>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10"/>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10"/>
        </w:numPr>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highlight w:val="lightGray"/>
        </w:rPr>
        <w:t>Договор заключается в электронной форме с</w:t>
      </w:r>
      <w:r>
        <w:rPr>
          <w:i/>
          <w:sz w:val="24"/>
          <w:szCs w:val="24"/>
          <w:highlight w:val="lightGray"/>
        </w:rPr>
        <w:t xml:space="preserve"> </w:t>
      </w:r>
      <w:r>
        <w:rPr>
          <w:sz w:val="24"/>
          <w:szCs w:val="24"/>
          <w:highlight w:val="lightGray"/>
        </w:rPr>
        <w:t>использованием программно-аппаратных средств</w:t>
      </w:r>
      <w:r>
        <w:rPr>
          <w:i/>
          <w:sz w:val="24"/>
          <w:szCs w:val="24"/>
          <w:highlight w:val="lightGray"/>
        </w:rPr>
        <w:t xml:space="preserve"> информационной системы электронного документооборота общего пользования</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13.7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13.8</w:t>
      </w:r>
      <w:r>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13" w:name="_Ref361338004"/>
      <w:r>
        <w:rPr>
          <w:sz w:val="24"/>
          <w:szCs w:val="24"/>
        </w:rPr>
        <w:t xml:space="preserve">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w:t>
      </w:r>
      <w:r>
        <w:rPr>
          <w:sz w:val="24"/>
          <w:szCs w:val="24"/>
          <w:highlight w:val="lightGray"/>
        </w:rPr>
        <w:t>13.8</w:t>
      </w:r>
      <w:r>
        <w:rPr>
          <w:sz w:val="24"/>
          <w:szCs w:val="24"/>
        </w:rPr>
        <w:t xml:space="preserve"> Договора.</w:t>
      </w:r>
      <w:bookmarkEnd w:id="13"/>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tabs>
          <w:tab w:val="clear" w:pos="709"/>
          <w:tab w:val="left" w:pos="1532" w:leader="none"/>
        </w:tabs>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tabs>
          <w:tab w:val="clear" w:pos="709"/>
          <w:tab w:val="left" w:pos="1532" w:leader="none"/>
        </w:tabs>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tabs>
          <w:tab w:val="clear" w:pos="709"/>
          <w:tab w:val="left" w:pos="1532" w:leader="none"/>
        </w:tabs>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13.8.1 – 13.8.2</w:t>
      </w:r>
      <w:r>
        <w:rPr>
          <w:bCs/>
          <w:sz w:val="24"/>
          <w:szCs w:val="24"/>
        </w:rPr>
        <w:t xml:space="preserve"> Договора. </w:t>
      </w:r>
    </w:p>
    <w:p>
      <w:pPr>
        <w:pStyle w:val="ListParagraph"/>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0"/>
          <w:numId w:val="0"/>
        </w:numPr>
        <w:shd w:val="clear" w:color="auto" w:fill="FFFFFF"/>
        <w:tabs>
          <w:tab w:val="clear" w:pos="709"/>
          <w:tab w:val="left" w:pos="0" w:leader="none"/>
          <w:tab w:val="left" w:pos="1418" w:leader="none"/>
        </w:tabs>
        <w:ind w:left="0" w:hanging="0"/>
        <w:jc w:val="both"/>
        <w:rPr>
          <w:sz w:val="24"/>
          <w:szCs w:val="24"/>
          <w:highlight w:val="lightGray"/>
        </w:rPr>
      </w:pPr>
      <w:r>
        <w:rPr>
          <w:sz w:val="24"/>
          <w:szCs w:val="24"/>
          <w:highlight w:val="lightGray"/>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4" w:name="sub_1"/>
      <w:r>
        <w:rPr>
          <w:rFonts w:eastAsia="Calibri"/>
          <w:sz w:val="24"/>
          <w:szCs w:val="24"/>
          <w:lang w:eastAsia="en-US"/>
        </w:rPr>
        <w:t xml:space="preserve">Приложение № 1 – </w:t>
      </w:r>
      <w:r>
        <w:rPr>
          <w:rFonts w:eastAsia="Calibri"/>
          <w:bCs/>
          <w:sz w:val="24"/>
          <w:szCs w:val="24"/>
          <w:lang w:eastAsia="en-US"/>
        </w:rPr>
        <w:t>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Pr>
          <w:rFonts w:eastAsia="Calibri"/>
          <w:sz w:val="24"/>
          <w:szCs w:val="24"/>
          <w:lang w:eastAsia="en-US"/>
        </w:rPr>
        <w:t>;</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lang w:eastAsia="x-none"/>
        </w:rPr>
      </w:pPr>
      <w:r>
        <w:rPr>
          <w:sz w:val="24"/>
          <w:szCs w:val="24"/>
          <w:lang w:eastAsia="x-none"/>
        </w:rPr>
        <w:t>Приложение № 2 –</w:t>
      </w:r>
      <w:r>
        <w:rPr>
          <w:rFonts w:eastAsia="Calibri"/>
          <w:sz w:val="24"/>
          <w:szCs w:val="24"/>
          <w:lang w:eastAsia="en-US"/>
        </w:rPr>
        <w:t xml:space="preserve"> </w:t>
      </w:r>
      <w:r>
        <w:rPr>
          <w:rFonts w:eastAsia="Calibri"/>
          <w:sz w:val="24"/>
          <w:szCs w:val="24"/>
          <w:lang w:eastAsia="en-US"/>
        </w:rPr>
        <w:t>Спецификация</w:t>
      </w:r>
      <w:r>
        <w:rPr>
          <w:rFonts w:eastAsia="Calibri"/>
          <w:sz w:val="24"/>
          <w:szCs w:val="24"/>
          <w:lang w:eastAsia="en-US"/>
        </w:rPr>
        <w:t>.</w:t>
      </w:r>
      <w:bookmarkEnd w:id="14"/>
    </w:p>
    <w:p>
      <w:pPr>
        <w:pStyle w:val="Normal"/>
        <w:ind w:hanging="0"/>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firstLine="709"/>
        <w:rPr>
          <w:b/>
          <w:bCs/>
          <w:sz w:val="24"/>
          <w:szCs w:val="24"/>
        </w:rPr>
      </w:pPr>
      <w:r>
        <w:rPr>
          <w:b/>
          <w:bCs/>
          <w:sz w:val="24"/>
          <w:szCs w:val="24"/>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0"/>
        <w:gridCol w:w="143"/>
        <w:gridCol w:w="4643"/>
        <w:gridCol w:w="215"/>
      </w:tblGrid>
      <w:tr>
        <w:trPr/>
        <w:tc>
          <w:tcPr>
            <w:tcW w:w="4923" w:type="dxa"/>
            <w:gridSpan w:val="2"/>
            <w:tcBorders/>
          </w:tcPr>
          <w:p>
            <w:pPr>
              <w:pStyle w:val="Normal"/>
              <w:widowControl w:val="false"/>
              <w:rPr>
                <w:b/>
                <w:sz w:val="24"/>
                <w:szCs w:val="24"/>
              </w:rPr>
            </w:pPr>
            <w:r>
              <w:rPr>
                <w:b/>
                <w:sz w:val="24"/>
                <w:szCs w:val="24"/>
              </w:rPr>
              <w:t>Покупатель:</w:t>
            </w:r>
          </w:p>
        </w:tc>
        <w:tc>
          <w:tcPr>
            <w:tcW w:w="4858" w:type="dxa"/>
            <w:gridSpan w:val="2"/>
            <w:tcBorders/>
          </w:tcPr>
          <w:p>
            <w:pPr>
              <w:pStyle w:val="Normal"/>
              <w:widowControl w:val="false"/>
              <w:rPr>
                <w:b/>
                <w:sz w:val="24"/>
                <w:szCs w:val="24"/>
              </w:rPr>
            </w:pPr>
            <w:r>
              <w:rPr>
                <w:b/>
                <w:sz w:val="24"/>
                <w:szCs w:val="24"/>
              </w:rPr>
              <w:t>Поставщик:</w:t>
            </w:r>
          </w:p>
        </w:tc>
      </w:tr>
      <w:tr>
        <w:trPr/>
        <w:tc>
          <w:tcPr>
            <w:tcW w:w="4923" w:type="dxa"/>
            <w:gridSpan w:val="2"/>
            <w:tcBorders/>
            <w:shd w:color="auto" w:fill="BFBFBF" w:val="clear"/>
          </w:tcPr>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lang w:val="ru-RU"/>
              </w:rPr>
            </w:pPr>
            <w:r>
              <w:rPr>
                <w:sz w:val="24"/>
                <w:szCs w:val="24"/>
              </w:rPr>
            </w:r>
          </w:p>
          <w:p>
            <w:pPr>
              <w:pStyle w:val="Normal"/>
              <w:widowControl w:val="false"/>
              <w:rPr>
                <w:sz w:val="24"/>
                <w:szCs w:val="24"/>
              </w:rPr>
            </w:pPr>
            <w:r>
              <w:rPr>
                <w:sz w:val="24"/>
                <w:szCs w:val="24"/>
                <w:lang w:val="ru-RU"/>
              </w:rPr>
              <w:t xml:space="preserve">Место нахождения: </w:t>
            </w:r>
          </w:p>
          <w:p>
            <w:pPr>
              <w:pStyle w:val="Normal"/>
              <w:widowControl w:val="false"/>
              <w:rPr>
                <w:sz w:val="24"/>
                <w:szCs w:val="24"/>
              </w:rPr>
            </w:pPr>
            <w:r>
              <w:rPr>
                <w:sz w:val="24"/>
                <w:szCs w:val="24"/>
                <w:lang w:val="ru-RU"/>
              </w:rPr>
              <w:t>660049, Красноярский край, Г.О. Город Красноярск, г.Красноярск ул. Перенсона, 3 Д. 2А помещ. 1</w:t>
            </w:r>
          </w:p>
          <w:p>
            <w:pPr>
              <w:pStyle w:val="Normal"/>
              <w:widowControl w:val="false"/>
              <w:rPr>
                <w:sz w:val="24"/>
                <w:szCs w:val="24"/>
              </w:rPr>
            </w:pPr>
            <w:r>
              <w:rPr>
                <w:sz w:val="24"/>
                <w:szCs w:val="24"/>
                <w:lang w:val="ru-RU"/>
              </w:rPr>
              <w:t>Почтовый адрес:</w:t>
            </w:r>
          </w:p>
          <w:p>
            <w:pPr>
              <w:pStyle w:val="Normal"/>
              <w:widowControl w:val="false"/>
              <w:rPr>
                <w:sz w:val="24"/>
                <w:szCs w:val="24"/>
              </w:rPr>
            </w:pPr>
            <w:r>
              <w:rPr>
                <w:sz w:val="24"/>
                <w:szCs w:val="24"/>
                <w:lang w:val="ru-RU"/>
              </w:rPr>
              <w:t>660049, Красноярский край, Г.О. Город Красноярск, г.Красноярск ул. Перенсона, 3 Д. 2А помещ. 1</w:t>
            </w:r>
          </w:p>
          <w:p>
            <w:pPr>
              <w:pStyle w:val="Normal"/>
              <w:widowControl w:val="false"/>
              <w:rPr>
                <w:sz w:val="24"/>
                <w:szCs w:val="24"/>
              </w:rPr>
            </w:pPr>
            <w:r>
              <w:rPr>
                <w:sz w:val="24"/>
                <w:szCs w:val="24"/>
                <w:lang w:val="ru-RU"/>
              </w:rPr>
              <w:t>Филиал ПАО «РусГидро» -  «Зейская ГЭС»,</w:t>
            </w:r>
          </w:p>
          <w:p>
            <w:pPr>
              <w:pStyle w:val="Normal"/>
              <w:widowControl w:val="false"/>
              <w:rPr>
                <w:sz w:val="24"/>
                <w:szCs w:val="24"/>
              </w:rPr>
            </w:pPr>
            <w:r>
              <w:rPr>
                <w:sz w:val="24"/>
                <w:szCs w:val="24"/>
                <w:lang w:val="ru-RU"/>
              </w:rPr>
              <w:t xml:space="preserve">Место нахождения филиала: 676244, </w:t>
            </w:r>
          </w:p>
          <w:p>
            <w:pPr>
              <w:pStyle w:val="Normal"/>
              <w:widowControl w:val="false"/>
              <w:rPr>
                <w:sz w:val="24"/>
                <w:szCs w:val="24"/>
              </w:rPr>
            </w:pPr>
            <w:r>
              <w:rPr>
                <w:sz w:val="24"/>
                <w:szCs w:val="24"/>
                <w:lang w:val="ru-RU"/>
              </w:rPr>
              <w:t xml:space="preserve">Амурская область, г. Зея </w:t>
            </w:r>
          </w:p>
          <w:p>
            <w:pPr>
              <w:pStyle w:val="Normal"/>
              <w:widowControl w:val="false"/>
              <w:rPr>
                <w:sz w:val="24"/>
                <w:szCs w:val="24"/>
              </w:rPr>
            </w:pPr>
            <w:r>
              <w:rPr>
                <w:sz w:val="24"/>
                <w:szCs w:val="24"/>
                <w:lang w:val="ru-RU"/>
              </w:rPr>
              <w:t>ИНН 2460066195, КПП филиала 280502001</w:t>
            </w:r>
          </w:p>
          <w:p>
            <w:pPr>
              <w:pStyle w:val="Normal"/>
              <w:widowControl w:val="false"/>
              <w:rPr>
                <w:sz w:val="24"/>
                <w:szCs w:val="24"/>
              </w:rPr>
            </w:pPr>
            <w:r>
              <w:rPr>
                <w:sz w:val="24"/>
                <w:szCs w:val="24"/>
                <w:lang w:val="ru-RU"/>
              </w:rPr>
              <w:t xml:space="preserve">р/с 40702810503170007429 </w:t>
            </w:r>
          </w:p>
          <w:p>
            <w:pPr>
              <w:pStyle w:val="Normal"/>
              <w:widowControl w:val="false"/>
              <w:rPr>
                <w:sz w:val="24"/>
                <w:szCs w:val="24"/>
              </w:rPr>
            </w:pPr>
            <w:r>
              <w:rPr>
                <w:sz w:val="24"/>
                <w:szCs w:val="24"/>
                <w:lang w:val="ru-RU"/>
              </w:rPr>
              <w:t xml:space="preserve">Банк: Дальневосточный банк ПАО </w:t>
            </w:r>
          </w:p>
          <w:p>
            <w:pPr>
              <w:pStyle w:val="Normal"/>
              <w:widowControl w:val="false"/>
              <w:rPr>
                <w:sz w:val="24"/>
                <w:szCs w:val="24"/>
              </w:rPr>
            </w:pPr>
            <w:r>
              <w:rPr>
                <w:sz w:val="24"/>
                <w:szCs w:val="24"/>
                <w:lang w:val="ru-RU"/>
              </w:rPr>
              <w:t>«Сбербанк России» г. Хабаровск</w:t>
            </w:r>
          </w:p>
          <w:p>
            <w:pPr>
              <w:pStyle w:val="Normal"/>
              <w:widowControl w:val="false"/>
              <w:rPr>
                <w:sz w:val="24"/>
                <w:szCs w:val="24"/>
              </w:rPr>
            </w:pPr>
            <w:r>
              <w:rPr>
                <w:sz w:val="24"/>
                <w:szCs w:val="24"/>
                <w:lang w:val="ru-RU"/>
              </w:rPr>
              <w:t xml:space="preserve">кор. счет № 30101810600000000608 в ГРКЦ ГУ Банка России по Хабаровскому краю,  </w:t>
            </w:r>
          </w:p>
          <w:p>
            <w:pPr>
              <w:pStyle w:val="Normal"/>
              <w:widowControl w:val="false"/>
              <w:rPr>
                <w:sz w:val="24"/>
                <w:szCs w:val="24"/>
              </w:rPr>
            </w:pPr>
            <w:r>
              <w:rPr>
                <w:sz w:val="24"/>
                <w:szCs w:val="24"/>
                <w:lang w:val="ru-RU"/>
              </w:rPr>
              <w:t>БИК 040813608</w:t>
            </w:r>
          </w:p>
          <w:p>
            <w:pPr>
              <w:pStyle w:val="Normal"/>
              <w:widowControl w:val="false"/>
              <w:rPr>
                <w:sz w:val="24"/>
                <w:szCs w:val="24"/>
              </w:rPr>
            </w:pPr>
            <w:r>
              <w:rPr>
                <w:sz w:val="24"/>
                <w:szCs w:val="24"/>
                <w:lang w:val="ru-RU"/>
              </w:rPr>
              <w:t>ОКПО 97995395</w:t>
            </w:r>
          </w:p>
          <w:p>
            <w:pPr>
              <w:pStyle w:val="Normal"/>
              <w:widowControl w:val="false"/>
              <w:rPr>
                <w:lang w:val="ru-RU"/>
              </w:rPr>
            </w:pPr>
            <w:r>
              <w:rPr>
                <w:lang w:val="ru-RU"/>
              </w:rPr>
            </w:r>
          </w:p>
        </w:tc>
        <w:tc>
          <w:tcPr>
            <w:tcW w:w="4858" w:type="dxa"/>
            <w:gridSpan w:val="2"/>
            <w:tcBorders/>
            <w:shd w:color="auto" w:fill="BFBFBF" w:val="clear"/>
          </w:tcPr>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0"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215"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8192"/>
        </w:sectPr>
      </w:pPr>
    </w:p>
    <w:p>
      <w:pPr>
        <w:pStyle w:val="Normal"/>
        <w:suppressAutoHyphens w:val="true"/>
        <w:ind w:firstLine="4820"/>
        <w:rPr>
          <w:sz w:val="22"/>
          <w:szCs w:val="22"/>
        </w:rPr>
      </w:pPr>
      <w:r>
        <w:rPr>
          <w:sz w:val="22"/>
          <w:szCs w:val="22"/>
        </w:rPr>
        <w:t>Приложение № 1</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от «____» _____20 _ г. № _____</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828"/>
        <w:gridCol w:w="5808"/>
      </w:tblGrid>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6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20"/>
        <w:gridCol w:w="4831"/>
      </w:tblGrid>
      <w:tr>
        <w:trPr/>
        <w:tc>
          <w:tcPr>
            <w:tcW w:w="4820"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31"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w:t>
            </w:r>
          </w:p>
          <w:p>
            <w:pPr>
              <w:pStyle w:val="Normal"/>
              <w:widowControl w:val="false"/>
              <w:ind w:firstLine="709"/>
              <w:rPr>
                <w:b/>
                <w:sz w:val="24"/>
                <w:szCs w:val="24"/>
              </w:rPr>
            </w:pPr>
            <w:r>
              <w:rPr>
                <w:b/>
                <w:sz w:val="24"/>
                <w:szCs w:val="24"/>
              </w:rPr>
            </w:r>
          </w:p>
        </w:tc>
      </w:tr>
    </w:tbl>
    <w:p>
      <w:pPr>
        <w:pStyle w:val="Normal"/>
        <w:ind w:firstLine="709"/>
        <w:rPr>
          <w:b/>
          <w:bCs/>
          <w:sz w:val="24"/>
          <w:szCs w:val="24"/>
        </w:rPr>
      </w:pPr>
      <w:r>
        <w:rPr/>
      </w:r>
    </w:p>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709" w:top="1134" w:footer="709" w:bottom="1134"/>
      <w:pgNumType w:fmt="decimal"/>
      <w:formProt w:val="false"/>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15</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pPr>
        <w:pStyle w:val="FootnoteText"/>
        <w:jc w:val="both"/>
        <w:rPr/>
      </w:pPr>
      <w:r>
        <w:rPr>
          <w:rStyle w:val="Style14"/>
        </w:rPr>
        <w:footnoteRef/>
      </w:r>
      <w:r>
        <w:rPr/>
        <w:t xml:space="preserve"> </w:t>
      </w:r>
      <w:r>
        <w:rPr/>
        <w:t>Исключается из Договора в случае, если Поставщиком применяется упрощенная система налогообложения</w:t>
      </w:r>
    </w:p>
  </w:footnote>
  <w:footnote w:id="4">
    <w:p>
      <w:pPr>
        <w:pStyle w:val="FootnoteText"/>
        <w:rPr/>
      </w:pPr>
      <w:r>
        <w:rPr>
          <w:rStyle w:val="Style14"/>
        </w:rPr>
        <w:footnoteRef/>
      </w:r>
      <w:r>
        <w:rPr/>
        <w:t xml:space="preserve"> </w:t>
      </w:r>
      <w:r>
        <w:rPr/>
        <w:t>Исключается из Договора в случае, если контрагентом применяется упрощенная система налогообложения</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 2.4.1.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0">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0"/>
      <w:numFmt w:val="decimal"/>
      <w:lvlText w:val="%1"/>
      <w:lvlJc w:val="left"/>
      <w:pPr>
        <w:tabs>
          <w:tab w:val="num" w:pos="0"/>
        </w:tabs>
        <w:ind w:left="360" w:hanging="360"/>
      </w:pPr>
      <w:rPr/>
    </w:lvl>
    <w:lvl w:ilvl="1">
      <w:start w:val="1"/>
      <w:numFmt w:val="decimal"/>
      <w:lvlText w:val="%1.%2"/>
      <w:lvlJc w:val="left"/>
      <w:pPr>
        <w:tabs>
          <w:tab w:val="num" w:pos="0"/>
        </w:tabs>
        <w:ind w:left="502" w:hanging="36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146" w:hanging="720"/>
      </w:pPr>
      <w:rPr/>
    </w:lvl>
    <w:lvl w:ilvl="4">
      <w:start w:val="1"/>
      <w:numFmt w:val="decimal"/>
      <w:lvlText w:val="%1.%2.%3.%4.%5"/>
      <w:lvlJc w:val="left"/>
      <w:pPr>
        <w:tabs>
          <w:tab w:val="num" w:pos="0"/>
        </w:tabs>
        <w:ind w:left="1288" w:hanging="72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1932" w:hanging="1080"/>
      </w:pPr>
      <w:rPr/>
    </w:lvl>
    <w:lvl w:ilvl="7">
      <w:start w:val="1"/>
      <w:numFmt w:val="decimal"/>
      <w:lvlText w:val="%1.%2.%3.%4.%5.%6.%7.%8"/>
      <w:lvlJc w:val="left"/>
      <w:pPr>
        <w:tabs>
          <w:tab w:val="num" w:pos="0"/>
        </w:tabs>
        <w:ind w:left="2434" w:hanging="1440"/>
      </w:pPr>
      <w:rPr/>
    </w:lvl>
    <w:lvl w:ilvl="8">
      <w:start w:val="1"/>
      <w:numFmt w:val="decimal"/>
      <w:lvlText w:val="%1.%2.%3.%4.%5.%6.%7.%8.%9"/>
      <w:lvlJc w:val="left"/>
      <w:pPr>
        <w:tabs>
          <w:tab w:val="num" w:pos="0"/>
        </w:tabs>
        <w:ind w:left="2576"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2"/>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25d08"/>
    <w:rPr/>
  </w:style>
  <w:style w:type="character" w:styleId="Style19">
    <w:name w:val="Символ концевой сноски"/>
    <w:qFormat/>
    <w:rPr>
      <w:vertAlign w:val="superscript"/>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Title">
    <w:name w:val="Title"/>
    <w:basedOn w:val="Normal"/>
    <w:link w:val="Style7"/>
    <w:qFormat/>
    <w:rsid w:val="00a264b0"/>
    <w:pPr>
      <w:jc w:val="center"/>
    </w:pPr>
    <w:rPr>
      <w:b/>
      <w:b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0841FB4-7165-49D3-9C55-3D5AE95B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Application>AlterOffice/3.4.0.9$Linux_X86_64 LibreOffice_project/b8daf9e823b1a5463a2f48435ddc2e8696e7d4fc</Application>
  <AppVersion>15.0000</AppVersion>
  <Pages>15</Pages>
  <Words>5946</Words>
  <Characters>42312</Characters>
  <CharactersWithSpaces>48056</CharactersWithSpaces>
  <Paragraphs>266</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2023-03-22T14:33:00Z</dcterms:created>
  <dc:creator>tsypilev_ag</dc:creator>
  <dc:description/>
  <dc:language>ru-RU</dc:language>
  <cp:lastModifiedBy>demyanovaan@corp.gidroogk.com</cp:lastModifiedBy>
  <cp:lastPrinted>2018-05-22T09:46:00Z</cp:lastPrinted>
  <dcterms:modified xsi:type="dcterms:W3CDTF">2026-07-17T13:25:53Z</dcterms:modified>
  <cp:revision>19</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