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на поставку </w:t>
      </w:r>
      <w:r>
        <w:rPr>
          <w:rFonts w:ascii="Times New Roman" w:hAnsi="Times New Roman"/>
          <w:sz w:val="28"/>
          <w:szCs w:val="28"/>
        </w:rPr>
        <w:t>бумаги для офисной техники</w:t>
      </w:r>
      <w:r>
        <w:rPr>
          <w:rFonts w:ascii="Times New Roman" w:hAnsi="Times New Roman"/>
          <w:sz w:val="28"/>
          <w:szCs w:val="28"/>
        </w:rPr>
        <w:t xml:space="preserve"> для нужд филиала ПАО «РусГидро» - «Зейская ГЭС»</w:t>
      </w:r>
    </w:p>
    <w:p>
      <w:pPr>
        <w:pStyle w:val="Normal"/>
        <w:spacing w:lineRule="auto" w:line="240" w:before="12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rPr>
          <w:sz w:val="26"/>
          <w:szCs w:val="26"/>
        </w:rPr>
      </w:pPr>
      <w:r>
        <w:rPr>
          <w:sz w:val="26"/>
          <w:szCs w:val="26"/>
        </w:rPr>
        <w:tab/>
        <w:t>Публичное акционерное общество «Федеральная гидрогенерирующая компания – РусГидро» (ПАО «РусГидро») (далее – Заказчик) сообщает о проведении  анализа рынка стоимости</w:t>
      </w: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канцелярских товаров в 2026 году потенциальных исполнителей в рамках закупки  </w:t>
      </w:r>
      <w:r>
        <w:rPr>
          <w:b/>
          <w:bCs/>
          <w:sz w:val="26"/>
          <w:szCs w:val="26"/>
        </w:rPr>
        <w:t>бумаги для офисной техники</w:t>
      </w:r>
      <w:r>
        <w:rPr>
          <w:rFonts w:eastAsia="Times New Roman" w:cs="Times New Roman"/>
          <w:sz w:val="26"/>
          <w:szCs w:val="26"/>
          <w:lang w:eastAsia="ru-RU"/>
        </w:rPr>
        <w:t xml:space="preserve">  для нужд филиала ПАО «РусГидро» - «Зейская ГЭС».</w:t>
      </w:r>
    </w:p>
    <w:p>
      <w:pPr>
        <w:pStyle w:val="Normal"/>
        <w:spacing w:lineRule="auto" w:line="240"/>
        <w:ind w:hanging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  <w:tab w:val="left" w:pos="45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Описание объекта закупки (в том числе, наименование, характеристика и количество поставляемого товара, место, сроки поставки) приведены в приложении  к настоящему запросу;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контактные данные: номер телефона, e-mail, ФИО контактного лица;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гарантии наличия у Поставщика </w:t>
      </w:r>
      <w:r>
        <w:rPr>
          <w:sz w:val="26"/>
          <w:szCs w:val="26"/>
          <w:lang w:eastAsia="en-US"/>
        </w:rPr>
        <w:t xml:space="preserve">гражданской правоспособности в полном объеме для заключения и </w:t>
      </w:r>
      <w:r>
        <w:rPr>
          <w:sz w:val="26"/>
          <w:szCs w:val="26"/>
        </w:rPr>
        <w:t>исполнения</w:t>
      </w:r>
      <w:r>
        <w:rPr>
          <w:sz w:val="26"/>
          <w:szCs w:val="26"/>
          <w:lang w:eastAsia="en-US"/>
        </w:rPr>
        <w:t xml:space="preserve">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рублях, без учета НДС (в случае если Поставщик является плательщиком НДС дополнительно указать стоимость товаров с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Срок подачи коммерческих предложений: до 12:00 мск. </w:t>
      </w:r>
      <w:r>
        <w:rPr>
          <w:b/>
          <w:bCs/>
          <w:sz w:val="24"/>
          <w:szCs w:val="24"/>
        </w:rPr>
        <w:t>24.07.2026.</w:t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Спецификация в формате xlsx.;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Проект типового договора в формате doxc.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napToGrid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napToGrid w:val="false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346da"/>
    <w:rPr>
      <w:rFonts w:ascii="Segoe UI" w:hAnsi="Segoe UI" w:eastAsia="Times New Roman" w:cs="Segoe UI"/>
      <w:sz w:val="18"/>
      <w:szCs w:val="18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346da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AlterOffice/3.4.0.9$Linux_X86_64 LibreOffice_project/b8daf9e823b1a5463a2f48435ddc2e8696e7d4fc</Application>
  <AppVersion>15.0000</AppVersion>
  <Pages>1</Pages>
  <Words>279</Words>
  <Characters>1892</Characters>
  <CharactersWithSpaces>2152</CharactersWithSpaces>
  <Paragraphs>15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2025-03-11T05:47:00Z</dcterms:created>
  <dc:creator>Лысенко Екатерина Алексеевна</dc:creator>
  <dc:description/>
  <dc:language>ru-RU</dc:language>
  <cp:lastModifiedBy>klepikovasv@corp.gidroogk.com</cp:lastModifiedBy>
  <cp:lastPrinted>2026-05-19T13:46:11Z</cp:lastPrinted>
  <dcterms:modified xsi:type="dcterms:W3CDTF">2026-07-17T15:03:29Z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