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header6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7.xml" ContentType="application/vnd.openxmlformats-officedocument.wordprocessingml.footer+xml"/>
  <Override PartName="/word/_rels/document.xml.rels" ContentType="application/vnd.openxmlformats-package.relationships+xml"/>
  <Override PartName="/word/footer6.xml" ContentType="application/vnd.openxmlformats-officedocument.wordprocessingml.footer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theme/theme1.xml" ContentType="application/vnd.openxmlformats-officedocument.theme+xml"/>
  <Override PartName="/word/header7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media/image9.jpeg" ContentType="image/jpeg"/>
  <Override PartName="/word/media/image10.jpeg" ContentType="image/jpeg"/>
  <Override PartName="/word/media/image13.jpeg" ContentType="image/jpeg"/>
  <Override PartName="/word/media/image8.jpeg" ContentType="image/jpeg"/>
  <Override PartName="/word/media/image12.jpeg" ContentType="image/jpeg"/>
  <Override PartName="/word/media/image20.jpeg" ContentType="image/jpeg"/>
  <Override PartName="/word/media/image7.jpeg" ContentType="image/jpeg"/>
  <Override PartName="/word/media/image19.jpeg" ContentType="image/jpeg"/>
  <Override PartName="/word/media/image1.jpeg" ContentType="image/jpeg"/>
  <Override PartName="/word/media/image18.jpeg" ContentType="image/jpeg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11.jpeg" ContentType="image/jpe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true"/>
        <w:keepLines/>
        <w:suppressAutoHyphens w:val="true"/>
        <w:jc w:val="center"/>
        <w:rPr>
          <w:rFonts w:eastAsia="Calibri"/>
          <w:b/>
          <w:caps/>
        </w:rPr>
      </w:pPr>
      <w:r>
        <w:rPr>
          <w:rFonts w:eastAsia="Calibri"/>
          <w:b/>
          <w:caps/>
        </w:rPr>
        <w:t>Запрос технико-коммерческих предложений</w:t>
      </w:r>
    </w:p>
    <w:p>
      <w:pPr>
        <w:pStyle w:val="Normal"/>
        <w:keepNext w:val="true"/>
        <w:keepLines/>
        <w:suppressAutoHyphens w:val="true"/>
        <w:jc w:val="center"/>
        <w:rPr>
          <w:rFonts w:eastAsia="Calibri"/>
          <w:b/>
          <w:caps/>
        </w:rPr>
      </w:pPr>
      <w:r>
        <w:rPr>
          <w:rFonts w:eastAsia="Calibri"/>
          <w:b/>
          <w:caps/>
        </w:rPr>
        <w:t xml:space="preserve">для проведения мониторинга цен </w:t>
      </w:r>
    </w:p>
    <w:p>
      <w:pPr>
        <w:pStyle w:val="Normal"/>
        <w:keepNext w:val="true"/>
        <w:keepLines/>
        <w:suppressAutoHyphens w:val="true"/>
        <w:spacing w:before="0" w:after="0"/>
        <w:jc w:val="center"/>
        <w:rPr>
          <w:sz w:val="26"/>
          <w:szCs w:val="26"/>
        </w:rPr>
      </w:pPr>
      <w:r>
        <w:rPr>
          <w:rFonts w:eastAsia="Calibri"/>
          <w:b w:val="false"/>
          <w:bCs w:val="false"/>
          <w:i w:val="false"/>
          <w:iCs w:val="false"/>
          <w:sz w:val="26"/>
          <w:szCs w:val="26"/>
        </w:rPr>
        <w:t xml:space="preserve">по лоту: «ОКПД2 </w:t>
      </w:r>
      <w:r>
        <w:rPr>
          <w:rFonts w:eastAsia="Calibri"/>
          <w:b w:val="false"/>
          <w:bCs w:val="false"/>
          <w:i w:val="false"/>
          <w:iCs w:val="false"/>
          <w:color w:val="000000"/>
          <w:sz w:val="26"/>
          <w:szCs w:val="26"/>
        </w:rPr>
        <w:t>71.11.22.000</w:t>
      </w:r>
      <w:r>
        <w:rPr>
          <w:rFonts w:eastAsia="Calibri"/>
          <w:b w:val="false"/>
          <w:bCs w:val="false"/>
          <w:i/>
          <w:iCs/>
          <w:color w:val="000000"/>
          <w:sz w:val="26"/>
          <w:szCs w:val="26"/>
        </w:rPr>
        <w:t xml:space="preserve"> </w:t>
      </w:r>
      <w:r>
        <w:rPr>
          <w:rFonts w:eastAsia="Calibri"/>
          <w:b w:val="false"/>
          <w:bCs w:val="false"/>
          <w:i w:val="false"/>
          <w:iCs w:val="false"/>
          <w:sz w:val="26"/>
          <w:szCs w:val="26"/>
        </w:rPr>
        <w:t>Разработка эскизного проекта «Промышленная база эксплуатации Богучанской ГЭС»»</w:t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Calibri" w:cs="Times New Roman"/>
          <w:color w:val="auto"/>
          <w:kern w:val="0"/>
          <w:sz w:val="24"/>
          <w:szCs w:val="24"/>
          <w:lang w:val="ru-RU" w:eastAsia="ru-RU" w:bidi="ar-SA"/>
        </w:rPr>
      </w:pPr>
      <w:r>
        <w:rPr>
          <w:rFonts w:eastAsia="Calibri" w:cs="Times New Roman"/>
          <w:color w:val="auto"/>
          <w:kern w:val="0"/>
          <w:sz w:val="24"/>
          <w:szCs w:val="24"/>
          <w:lang w:val="ru-RU" w:eastAsia="ru-RU" w:bidi="ar-SA"/>
        </w:rPr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lineRule="auto" w:line="276" w:before="0" w:after="24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АО «Ленгидропроект» (далее – Заказчик) сообщает о проведении анализа технико-коммерческих предложений потенциальных поставщиков по лоту: </w:t>
      </w:r>
      <w:r>
        <w:rPr>
          <w:rFonts w:eastAsia="Calibri"/>
          <w:b w:val="false"/>
          <w:bCs w:val="false"/>
          <w:i w:val="false"/>
          <w:iCs w:val="false"/>
          <w:sz w:val="24"/>
          <w:szCs w:val="24"/>
        </w:rPr>
        <w:t>«</w:t>
      </w:r>
      <w:r>
        <w:rPr>
          <w:rFonts w:eastAsia="Calibri" w:cs="Times New Roman"/>
          <w:b w:val="false"/>
          <w:bCs w:val="false"/>
          <w:i w:val="false"/>
          <w:iCs w:val="false"/>
          <w:color w:val="auto"/>
          <w:kern w:val="0"/>
          <w:sz w:val="24"/>
          <w:szCs w:val="24"/>
          <w:lang w:val="ru-RU" w:eastAsia="ru-RU" w:bidi="ar-SA"/>
        </w:rPr>
        <w:t xml:space="preserve">ОКПД2 </w:t>
      </w:r>
      <w:r>
        <w:rPr>
          <w:rFonts w:eastAsia="Calibri" w:cs="Times New Roman"/>
          <w:b w:val="false"/>
          <w:bCs w:val="false"/>
          <w:i w:val="false"/>
          <w:iCs w:val="false"/>
          <w:color w:val="000000"/>
          <w:kern w:val="0"/>
          <w:sz w:val="24"/>
          <w:szCs w:val="24"/>
          <w:lang w:val="ru-RU" w:eastAsia="ru-RU" w:bidi="ar-SA"/>
        </w:rPr>
        <w:t>71.11.22.000</w:t>
      </w:r>
      <w:r>
        <w:rPr>
          <w:rFonts w:eastAsia="Calibri" w:cs="Times New Roman"/>
          <w:b w:val="false"/>
          <w:bCs w:val="false"/>
          <w:i/>
          <w:iCs/>
          <w:color w:val="000000"/>
          <w:kern w:val="0"/>
          <w:sz w:val="24"/>
          <w:szCs w:val="24"/>
          <w:lang w:val="ru-RU" w:eastAsia="ru-RU" w:bidi="ar-SA"/>
        </w:rPr>
        <w:t xml:space="preserve"> </w:t>
      </w:r>
      <w:r>
        <w:rPr>
          <w:rFonts w:eastAsia="Calibri" w:cs="Times New Roman"/>
          <w:b w:val="false"/>
          <w:bCs w:val="false"/>
          <w:i w:val="false"/>
          <w:iCs w:val="false"/>
          <w:color w:val="auto"/>
          <w:kern w:val="0"/>
          <w:sz w:val="24"/>
          <w:szCs w:val="24"/>
          <w:lang w:val="ru-RU" w:eastAsia="ru-RU" w:bidi="ar-SA"/>
        </w:rPr>
        <w:t>Разработка эскизного проекта «Промышленная база эксплуатации Богучанской ГЭС»».</w:t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lineRule="auto" w:line="276" w:before="0" w:after="24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Подробные требования к продукции (в том числе, сведения об объеме, месте, сроках выполняемых работ) приведены в Технических требованиях настоящего мониторинга (запроса).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851" w:leader="none"/>
        </w:tabs>
        <w:spacing w:lineRule="auto" w:line="276" w:before="60" w:after="60"/>
        <w:ind w:left="0" w:right="0" w:firstLine="567"/>
        <w:contextualSpacing/>
        <w:jc w:val="both"/>
        <w:rPr/>
      </w:pPr>
      <w:r>
        <w:rPr/>
        <w:t xml:space="preserve">Настоящий запрос </w:t>
      </w:r>
      <w:r>
        <w:rPr>
          <w:b/>
        </w:rPr>
        <w:t>не является публичной офертой и не влечет за собой возникновения каких-либо обязательств для Заказчика</w:t>
      </w:r>
      <w:r>
        <w:rPr/>
        <w:t>. Рассмотрение Заказчиком поступивших технико-коммерческих предложений не предполагает какого-либо информирования (в т.ч. публичного) лиц, подавших такие предложения, а также любых иных лиц о результатах произведенного рассмотрения.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851" w:leader="none"/>
        </w:tabs>
        <w:spacing w:lineRule="auto" w:line="276" w:before="60" w:after="60"/>
        <w:ind w:left="0" w:right="0" w:firstLine="567"/>
        <w:contextualSpacing/>
        <w:jc w:val="both"/>
        <w:rPr/>
      </w:pPr>
      <w:r>
        <w:rPr/>
        <w:t>Ответ с технико-коммерческим предложением должен быть оформлен на официальном бланке по форме приложения №1 к Техническим требованиям и</w:t>
      </w:r>
      <w:r>
        <w:rPr>
          <w:lang w:val="en-US"/>
        </w:rPr>
        <w:t> </w:t>
      </w:r>
      <w:r>
        <w:rPr/>
        <w:t>заверен подписью уполномоченного лица, а также печатью организации (при</w:t>
      </w:r>
      <w:r>
        <w:rPr>
          <w:lang w:val="en-US"/>
        </w:rPr>
        <w:t> </w:t>
      </w:r>
      <w:r>
        <w:rPr/>
        <w:t>наличии), и в обязательном порядке содержать следующую информацию:</w:t>
      </w:r>
    </w:p>
    <w:p>
      <w:pPr>
        <w:pStyle w:val="ListParagraph"/>
        <w:widowControl/>
        <w:numPr>
          <w:ilvl w:val="0"/>
          <w:numId w:val="0"/>
        </w:numPr>
        <w:suppressAutoHyphens w:val="true"/>
        <w:bidi w:val="0"/>
        <w:spacing w:lineRule="auto" w:line="276" w:before="60" w:after="60"/>
        <w:ind w:left="850" w:right="0" w:hanging="0"/>
        <w:contextualSpacing/>
        <w:jc w:val="both"/>
        <w:rPr/>
      </w:pPr>
      <w:r>
        <w:rPr/>
        <w:t>- дату направления предложения;</w:t>
      </w:r>
    </w:p>
    <w:p>
      <w:pPr>
        <w:pStyle w:val="ListParagraph"/>
        <w:widowControl/>
        <w:numPr>
          <w:ilvl w:val="0"/>
          <w:numId w:val="0"/>
        </w:numPr>
        <w:suppressAutoHyphens w:val="true"/>
        <w:bidi w:val="0"/>
        <w:spacing w:lineRule="auto" w:line="276" w:before="60" w:after="60"/>
        <w:ind w:left="850" w:right="0" w:hanging="0"/>
        <w:contextualSpacing/>
        <w:jc w:val="both"/>
        <w:rPr/>
      </w:pPr>
      <w:r>
        <w:rPr/>
        <w:t>- полное наименование организации, с указанием организационно-правовой формы (для юридических лиц);</w:t>
      </w:r>
    </w:p>
    <w:p>
      <w:pPr>
        <w:pStyle w:val="ListParagraph"/>
        <w:widowControl/>
        <w:numPr>
          <w:ilvl w:val="0"/>
          <w:numId w:val="0"/>
        </w:numPr>
        <w:suppressAutoHyphens w:val="true"/>
        <w:bidi w:val="0"/>
        <w:spacing w:lineRule="auto" w:line="276" w:before="60" w:after="60"/>
        <w:ind w:left="850" w:right="0" w:hanging="0"/>
        <w:contextualSpacing/>
        <w:jc w:val="both"/>
        <w:rPr/>
      </w:pPr>
      <w:r>
        <w:rPr/>
        <w:t xml:space="preserve">- юридический адрес, почтовый адрес, ИНН </w:t>
      </w:r>
      <w:r>
        <w:rPr>
          <w:i/>
          <w:shd w:fill="FFFF99" w:val="clear"/>
        </w:rPr>
        <w:t>[для юридических лиц]</w:t>
      </w:r>
      <w:r>
        <w:rPr>
          <w:i/>
        </w:rPr>
        <w:t xml:space="preserve"> / </w:t>
      </w:r>
      <w:r>
        <w:rPr/>
        <w:t xml:space="preserve">паспортные данные, адрес регистрации, ИНН (при наличии) </w:t>
      </w:r>
      <w:r>
        <w:rPr>
          <w:i/>
          <w:shd w:fill="FFFF99" w:val="clear"/>
        </w:rPr>
        <w:t>[для физических лиц]</w:t>
      </w:r>
      <w:r>
        <w:rPr>
          <w:i/>
        </w:rPr>
        <w:t>;</w:t>
      </w:r>
    </w:p>
    <w:p>
      <w:pPr>
        <w:pStyle w:val="ListParagraph"/>
        <w:widowControl/>
        <w:numPr>
          <w:ilvl w:val="0"/>
          <w:numId w:val="0"/>
        </w:numPr>
        <w:suppressAutoHyphens w:val="true"/>
        <w:bidi w:val="0"/>
        <w:spacing w:lineRule="auto" w:line="276" w:before="60" w:after="60"/>
        <w:ind w:left="850" w:right="0" w:hanging="0"/>
        <w:contextualSpacing/>
        <w:jc w:val="both"/>
        <w:rPr/>
      </w:pPr>
      <w:r>
        <w:rPr/>
        <w:t xml:space="preserve">- контактные данные: номер телефона, </w:t>
      </w:r>
      <w:r>
        <w:rPr>
          <w:lang w:val="en-US"/>
        </w:rPr>
        <w:t>e</w:t>
      </w:r>
      <w:r>
        <w:rPr/>
        <w:t>-</w:t>
      </w:r>
      <w:r>
        <w:rPr>
          <w:lang w:val="en-US"/>
        </w:rPr>
        <w:t>mail</w:t>
      </w:r>
      <w:r>
        <w:rPr/>
        <w:t>, ФИО контактного лица;</w:t>
      </w:r>
    </w:p>
    <w:p>
      <w:pPr>
        <w:pStyle w:val="ListParagraph"/>
        <w:widowControl/>
        <w:numPr>
          <w:ilvl w:val="0"/>
          <w:numId w:val="0"/>
        </w:numPr>
        <w:suppressAutoHyphens w:val="true"/>
        <w:bidi w:val="0"/>
        <w:spacing w:lineRule="auto" w:line="276" w:before="60" w:after="60"/>
        <w:ind w:left="850" w:right="0" w:hanging="0"/>
        <w:contextualSpacing/>
        <w:jc w:val="both"/>
        <w:rPr/>
      </w:pPr>
      <w:r>
        <w:rPr/>
        <w:t>- цену предложения в рублях (без учета НДС).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851" w:leader="none"/>
        </w:tabs>
        <w:spacing w:lineRule="auto" w:line="276" w:before="60" w:after="60"/>
        <w:ind w:left="0" w:right="0" w:firstLine="567"/>
        <w:contextualSpacing/>
        <w:jc w:val="both"/>
        <w:rPr/>
      </w:pPr>
      <w:r>
        <w:rPr/>
        <w:t>Срок подачи технико-коммерческих предложени</w:t>
      </w:r>
      <w:r>
        <w:rPr>
          <w:shd w:fill="auto" w:val="clear"/>
        </w:rPr>
        <w:t xml:space="preserve">й: </w:t>
      </w:r>
      <w:r>
        <w:rPr>
          <w:u w:val="single"/>
          <w:shd w:fill="auto" w:val="clear"/>
        </w:rPr>
        <w:t>до 09:00 2</w:t>
      </w:r>
      <w:r>
        <w:rPr>
          <w:u w:val="single"/>
          <w:shd w:fill="auto" w:val="clear"/>
        </w:rPr>
        <w:t>3</w:t>
      </w:r>
      <w:r>
        <w:rPr>
          <w:u w:val="single"/>
          <w:shd w:fill="auto" w:val="clear"/>
        </w:rPr>
        <w:t>.0</w:t>
      </w:r>
      <w:r>
        <w:rPr>
          <w:u w:val="single"/>
          <w:shd w:fill="auto" w:val="clear"/>
        </w:rPr>
        <w:t>7</w:t>
      </w:r>
      <w:r>
        <w:rPr>
          <w:u w:val="single"/>
          <w:shd w:fill="auto" w:val="clear"/>
        </w:rPr>
        <w:t>.2026 г.</w:t>
      </w:r>
      <w:r>
        <w:rPr>
          <w:shd w:fill="auto" w:val="clear"/>
        </w:rPr>
        <w:t xml:space="preserve"> 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851" w:leader="none"/>
        </w:tabs>
        <w:spacing w:lineRule="auto" w:line="276" w:before="60" w:after="60"/>
        <w:ind w:left="0" w:right="0" w:firstLine="567"/>
        <w:contextualSpacing/>
        <w:jc w:val="both"/>
        <w:rPr/>
      </w:pPr>
      <w:r>
        <w:rPr/>
        <w:t xml:space="preserve">Предложения должны быть направлены путем загрузки на ЭТП и в виде сканированной электронной копии в адрес ответственного лица: </w:t>
      </w:r>
      <w:hyperlink r:id="rId2">
        <w:r>
          <w:rPr>
            <w:rStyle w:val="Hyperlink"/>
          </w:rPr>
          <w:t>KozlovaES@lhp.ru</w:t>
        </w:r>
      </w:hyperlink>
      <w:r>
        <w:rPr/>
        <w:t>, рабочий телефон: +7 (812) 346-92-12.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851" w:leader="none"/>
        </w:tabs>
        <w:spacing w:lineRule="auto" w:line="276" w:before="60" w:after="60"/>
        <w:ind w:left="0" w:right="0" w:firstLine="567"/>
        <w:contextualSpacing/>
        <w:jc w:val="both"/>
        <w:rPr/>
      </w:pPr>
      <w:r>
        <w:rPr/>
        <w:t>Технико-коммерческие предложения участниками мониторинга должны быть поданы в соответствии с установленными Заказчиком требованиями проведения мониторинга.</w:t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Технические требования </w:t>
      </w:r>
    </w:p>
    <w:p>
      <w:pPr>
        <w:pStyle w:val="Normal"/>
        <w:jc w:val="center"/>
        <w:rPr>
          <w:sz w:val="26"/>
          <w:szCs w:val="26"/>
        </w:rPr>
      </w:pPr>
      <w:r>
        <w:rPr>
          <w:rFonts w:eastAsia="Calibri"/>
          <w:b/>
          <w:sz w:val="26"/>
          <w:szCs w:val="26"/>
        </w:rPr>
        <w:t>для проведения мониторинга рынка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  <w:t xml:space="preserve">ОКПД2 </w:t>
      </w:r>
      <w:r>
        <w:rPr>
          <w:b w:val="false"/>
          <w:bCs w:val="false"/>
          <w:color w:val="000000"/>
          <w:sz w:val="26"/>
          <w:szCs w:val="26"/>
        </w:rPr>
        <w:t>71.11.22.000</w:t>
      </w:r>
      <w:r>
        <w:rPr>
          <w:b w:val="false"/>
          <w:bCs w:val="false"/>
          <w:i/>
          <w:iCs/>
          <w:color w:val="000000"/>
          <w:sz w:val="26"/>
          <w:szCs w:val="26"/>
        </w:rPr>
        <w:t xml:space="preserve"> </w:t>
      </w:r>
      <w:r>
        <w:rPr>
          <w:b w:val="false"/>
          <w:bCs w:val="false"/>
          <w:sz w:val="26"/>
          <w:szCs w:val="26"/>
        </w:rPr>
        <w:t xml:space="preserve">Разработка эскизного проекта </w:t>
      </w:r>
    </w:p>
    <w:p>
      <w:pPr>
        <w:pStyle w:val="Normal"/>
        <w:jc w:val="center"/>
        <w:rPr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  <w:t>«Промышленная база эксплуатации Богучанской ГЭС</w:t>
      </w:r>
      <w:r>
        <w:rPr>
          <w:rFonts w:eastAsia="Calibri"/>
          <w:b w:val="false"/>
          <w:bCs w:val="false"/>
          <w:sz w:val="26"/>
          <w:szCs w:val="26"/>
        </w:rPr>
        <w:t>»</w:t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jc w:val="center"/>
        <w:rPr>
          <w:b/>
          <w:bCs/>
        </w:rPr>
      </w:pPr>
      <w:r>
        <w:rPr>
          <w:sz w:val="26"/>
          <w:szCs w:val="26"/>
        </w:rPr>
      </w:r>
    </w:p>
    <w:p>
      <w:pPr>
        <w:pStyle w:val="Normal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  <w:r>
        <w:br w:type="page"/>
      </w:r>
    </w:p>
    <w:p>
      <w:pPr>
        <w:pStyle w:val="Normal"/>
        <w:jc w:val="center"/>
        <w:rPr>
          <w:sz w:val="26"/>
          <w:szCs w:val="26"/>
        </w:rPr>
      </w:pPr>
      <w:r>
        <w:rPr>
          <w:b/>
          <w:sz w:val="26"/>
          <w:szCs w:val="26"/>
        </w:rPr>
        <w:t>СОДЕРЖАНИЕ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1"/>
            <w:tabs>
              <w:tab w:val="clear" w:pos="567"/>
              <w:tab w:val="clear" w:pos="9911"/>
              <w:tab w:val="right" w:pos="9921" w:leader="dot"/>
            </w:tabs>
            <w:rPr/>
          </w:pPr>
          <w:r>
            <w:fldChar w:fldCharType="begin"/>
          </w:r>
          <w:r>
            <w:rPr>
              <w:rStyle w:val="Style22"/>
            </w:rPr>
            <w:instrText xml:space="preserve"> TOC \o "1-4" \h</w:instrText>
          </w:r>
          <w:r>
            <w:rPr>
              <w:rStyle w:val="Style22"/>
            </w:rPr>
            <w:fldChar w:fldCharType="separate"/>
          </w:r>
          <w:hyperlink w:anchor="__RefHeading___Toc12397_1905903208">
            <w:r>
              <w:rPr>
                <w:rStyle w:val="Style22"/>
              </w:rPr>
              <w:t>1. Общие сведения</w:t>
              <w:tab/>
              <w:t>4</w:t>
            </w:r>
          </w:hyperlink>
        </w:p>
        <w:p>
          <w:pPr>
            <w:pStyle w:val="TOC4"/>
            <w:tabs>
              <w:tab w:val="clear" w:pos="708"/>
              <w:tab w:val="right" w:pos="9921" w:leader="dot"/>
            </w:tabs>
            <w:rPr/>
          </w:pPr>
          <w:hyperlink w:anchor="__RefHeading___Toc12399_1905903208">
            <w:r>
              <w:rPr>
                <w:rStyle w:val="Style22"/>
              </w:rPr>
              <w:t>1.1. Обозначения и сокращения</w:t>
              <w:tab/>
              <w:t>4</w:t>
            </w:r>
          </w:hyperlink>
        </w:p>
        <w:p>
          <w:pPr>
            <w:pStyle w:val="TOC4"/>
            <w:tabs>
              <w:tab w:val="clear" w:pos="708"/>
              <w:tab w:val="right" w:pos="9921" w:leader="dot"/>
            </w:tabs>
            <w:rPr/>
          </w:pPr>
          <w:hyperlink w:anchor="__RefHeading___Toc12401_1905903208">
            <w:r>
              <w:rPr>
                <w:rStyle w:val="Style22"/>
              </w:rPr>
              <w:t>1.2. Наименование закупаемой продукции</w:t>
              <w:tab/>
              <w:t>5</w:t>
            </w:r>
          </w:hyperlink>
        </w:p>
        <w:p>
          <w:pPr>
            <w:pStyle w:val="TOC4"/>
            <w:tabs>
              <w:tab w:val="clear" w:pos="708"/>
              <w:tab w:val="right" w:pos="9921" w:leader="dot"/>
            </w:tabs>
            <w:rPr/>
          </w:pPr>
          <w:hyperlink w:anchor="__RefHeading___Toc12403_1905903208">
            <w:r>
              <w:rPr>
                <w:rStyle w:val="Style22"/>
              </w:rPr>
              <w:t xml:space="preserve">1.3. </w:t>
            </w:r>
            <w:r>
              <w:rPr>
                <w:rStyle w:val="Style22"/>
                <w:iCs/>
              </w:rPr>
              <w:t xml:space="preserve">Цель </w:t>
            </w:r>
            <w:r>
              <w:rPr>
                <w:rStyle w:val="Style22"/>
                <w:iCs/>
              </w:rPr>
              <w:t>выполнения работ и задачи, решаемые в рамках выполнения работ</w:t>
            </w:r>
            <w:r>
              <w:rPr>
                <w:rStyle w:val="Style22"/>
              </w:rPr>
              <w:tab/>
              <w:t>5</w:t>
            </w:r>
          </w:hyperlink>
        </w:p>
        <w:p>
          <w:pPr>
            <w:pStyle w:val="TOC4"/>
            <w:tabs>
              <w:tab w:val="clear" w:pos="708"/>
              <w:tab w:val="right" w:pos="9921" w:leader="dot"/>
            </w:tabs>
            <w:rPr/>
          </w:pPr>
          <w:hyperlink w:anchor="__RefHeading___Toc12405_1905903208">
            <w:r>
              <w:rPr>
                <w:rStyle w:val="Style22"/>
              </w:rPr>
              <w:t xml:space="preserve">1.4. </w:t>
            </w:r>
            <w:r>
              <w:rPr>
                <w:rStyle w:val="Style22"/>
                <w:iCs/>
              </w:rPr>
              <w:t>Существующее положение</w:t>
            </w:r>
            <w:r>
              <w:rPr>
                <w:rStyle w:val="Style22"/>
              </w:rPr>
              <w:tab/>
              <w:t>5</w:t>
            </w:r>
          </w:hyperlink>
        </w:p>
        <w:p>
          <w:pPr>
            <w:pStyle w:val="TOC1"/>
            <w:tabs>
              <w:tab w:val="clear" w:pos="567"/>
              <w:tab w:val="clear" w:pos="9911"/>
              <w:tab w:val="right" w:pos="9921" w:leader="dot"/>
            </w:tabs>
            <w:rPr/>
          </w:pPr>
          <w:hyperlink w:anchor="__RefHeading___Toc12407_1905903208">
            <w:r>
              <w:rPr>
                <w:rStyle w:val="Style22"/>
              </w:rPr>
              <w:t>Таблица 1. Перечень объектов заказчика</w:t>
              <w:tab/>
              <w:t>5</w:t>
            </w:r>
          </w:hyperlink>
        </w:p>
        <w:p>
          <w:pPr>
            <w:pStyle w:val="TOC4"/>
            <w:tabs>
              <w:tab w:val="clear" w:pos="708"/>
              <w:tab w:val="right" w:pos="9921" w:leader="dot"/>
            </w:tabs>
            <w:rPr/>
          </w:pPr>
          <w:hyperlink w:anchor="__RefHeading___Toc12006_3645919304">
            <w:r>
              <w:rPr>
                <w:rStyle w:val="Style22"/>
              </w:rPr>
              <w:t>1.5. Общие требования при проведении мониторинга цен</w:t>
              <w:tab/>
              <w:t>6</w:t>
            </w:r>
          </w:hyperlink>
        </w:p>
        <w:p>
          <w:pPr>
            <w:pStyle w:val="TOC1"/>
            <w:tabs>
              <w:tab w:val="clear" w:pos="567"/>
              <w:tab w:val="clear" w:pos="9911"/>
              <w:tab w:val="right" w:pos="9921" w:leader="dot"/>
            </w:tabs>
            <w:rPr/>
          </w:pPr>
          <w:hyperlink w:anchor="__RefHeading___Toc12413_1905903208">
            <w:r>
              <w:rPr>
                <w:rStyle w:val="Style22"/>
              </w:rPr>
              <w:t>2. Требования к продукции</w:t>
              <w:tab/>
              <w:t>6</w:t>
            </w:r>
          </w:hyperlink>
        </w:p>
        <w:p>
          <w:pPr>
            <w:pStyle w:val="TOC4"/>
            <w:tabs>
              <w:tab w:val="clear" w:pos="708"/>
              <w:tab w:val="right" w:pos="9921" w:leader="dot"/>
            </w:tabs>
            <w:rPr/>
          </w:pPr>
          <w:hyperlink w:anchor="__RefHeading___Toc12415_1905903208">
            <w:r>
              <w:rPr>
                <w:rStyle w:val="Style22"/>
              </w:rPr>
              <w:t>2.1. Требования к объемам и срокам выполнения работ</w:t>
              <w:tab/>
              <w:t>6</w:t>
            </w:r>
          </w:hyperlink>
        </w:p>
        <w:p>
          <w:pPr>
            <w:pStyle w:val="TOC3"/>
            <w:tabs>
              <w:tab w:val="clear" w:pos="1120"/>
              <w:tab w:val="clear" w:pos="9911"/>
              <w:tab w:val="right" w:pos="9921" w:leader="dot"/>
            </w:tabs>
            <w:rPr/>
          </w:pPr>
          <w:hyperlink w:anchor="__RefHeading___Toc12417_1905903208">
            <w:r>
              <w:rPr>
                <w:rStyle w:val="Style22"/>
              </w:rPr>
              <w:t>2.1.1. Требования к видам и объемам работ</w:t>
              <w:tab/>
              <w:t>6</w:t>
            </w:r>
          </w:hyperlink>
        </w:p>
        <w:p>
          <w:pPr>
            <w:pStyle w:val="TOC1"/>
            <w:tabs>
              <w:tab w:val="clear" w:pos="567"/>
              <w:tab w:val="clear" w:pos="9911"/>
              <w:tab w:val="right" w:pos="9921" w:leader="dot"/>
            </w:tabs>
            <w:rPr/>
          </w:pPr>
          <w:hyperlink w:anchor="__RefHeading___Toc12419_1905903208">
            <w:r>
              <w:rPr>
                <w:rStyle w:val="Style22"/>
              </w:rPr>
              <w:t>Таблица 2. Перечень и объем выполняемых работ</w:t>
              <w:tab/>
              <w:t>6</w:t>
            </w:r>
          </w:hyperlink>
        </w:p>
        <w:p>
          <w:pPr>
            <w:pStyle w:val="TOC3"/>
            <w:tabs>
              <w:tab w:val="clear" w:pos="1120"/>
              <w:tab w:val="clear" w:pos="9911"/>
              <w:tab w:val="right" w:pos="9921" w:leader="dot"/>
            </w:tabs>
            <w:rPr/>
          </w:pPr>
          <w:hyperlink w:anchor="__RefHeading___Toc12421_1905903208">
            <w:r>
              <w:rPr>
                <w:rStyle w:val="Style22"/>
              </w:rPr>
              <w:t>2.1.2. Требования к срокам выполнения работ</w:t>
              <w:tab/>
              <w:t>6</w:t>
            </w:r>
          </w:hyperlink>
        </w:p>
        <w:p>
          <w:pPr>
            <w:pStyle w:val="TOC1"/>
            <w:tabs>
              <w:tab w:val="clear" w:pos="567"/>
              <w:tab w:val="clear" w:pos="9911"/>
              <w:tab w:val="right" w:pos="9921" w:leader="dot"/>
            </w:tabs>
            <w:rPr/>
          </w:pPr>
          <w:hyperlink w:anchor="__RefHeading___Toc12427_1905903208">
            <w:r>
              <w:rPr>
                <w:rStyle w:val="Style22"/>
              </w:rPr>
              <w:t>Таблица 3. Требования по срокам выполнения работ</w:t>
              <w:tab/>
              <w:t>6</w:t>
            </w:r>
          </w:hyperlink>
        </w:p>
        <w:p>
          <w:pPr>
            <w:pStyle w:val="TOC4"/>
            <w:tabs>
              <w:tab w:val="clear" w:pos="708"/>
              <w:tab w:val="right" w:pos="9921" w:leader="dot"/>
            </w:tabs>
            <w:rPr/>
          </w:pPr>
          <w:hyperlink w:anchor="__RefHeading___Toc12423_1905903208">
            <w:r>
              <w:rPr>
                <w:rStyle w:val="Style22"/>
              </w:rPr>
              <w:t>2.2. Требования к качеству работ</w:t>
              <w:tab/>
              <w:t>8</w:t>
            </w:r>
          </w:hyperlink>
        </w:p>
        <w:p>
          <w:pPr>
            <w:pStyle w:val="TOC1"/>
            <w:tabs>
              <w:tab w:val="clear" w:pos="567"/>
              <w:tab w:val="clear" w:pos="9911"/>
              <w:tab w:val="right" w:pos="9921" w:leader="dot"/>
            </w:tabs>
            <w:rPr/>
          </w:pPr>
          <w:hyperlink w:anchor="__RefHeading___Toc12429_1905903208">
            <w:r>
              <w:rPr>
                <w:rStyle w:val="Style22"/>
              </w:rPr>
              <w:t>Таблица 4. Требования к качеству работ</w:t>
              <w:tab/>
              <w:t>8</w:t>
            </w:r>
          </w:hyperlink>
        </w:p>
        <w:p>
          <w:pPr>
            <w:pStyle w:val="TOC1"/>
            <w:tabs>
              <w:tab w:val="clear" w:pos="567"/>
              <w:tab w:val="clear" w:pos="9911"/>
              <w:tab w:val="right" w:pos="9921" w:leader="dot"/>
            </w:tabs>
            <w:rPr/>
          </w:pPr>
          <w:hyperlink w:anchor="__RefHeading___Toc12008_3645919304">
            <w:r>
              <w:rPr>
                <w:rStyle w:val="Style22"/>
              </w:rPr>
              <w:t>3. Состав заявки для мониторинга цен</w:t>
              <w:tab/>
              <w:t>16</w:t>
            </w:r>
          </w:hyperlink>
          <w:r>
            <w:rPr>
              <w:rStyle w:val="Style22"/>
            </w:rPr>
            <w:fldChar w:fldCharType="end"/>
          </w:r>
        </w:p>
      </w:sdtContent>
    </w:sdt>
    <w:p>
      <w:pPr>
        <w:pStyle w:val="TOC2"/>
        <w:tabs>
          <w:tab w:val="clear" w:pos="9911"/>
          <w:tab w:val="right" w:pos="9921" w:leader="dot"/>
        </w:tabs>
        <w:rPr/>
      </w:pPr>
      <w:r>
        <w:rPr/>
      </w:r>
    </w:p>
    <w:p>
      <w:pPr>
        <w:pStyle w:val="TOC2"/>
        <w:rPr>
          <w:rFonts w:ascii="Calibri" w:hAnsi="Calibri"/>
          <w:sz w:val="26"/>
          <w:szCs w:val="26"/>
          <w:lang w:val="ru-RU"/>
        </w:rPr>
      </w:pPr>
      <w:r>
        <w:rPr>
          <w:rFonts w:ascii="Calibri" w:hAnsi="Calibri"/>
          <w:sz w:val="26"/>
          <w:szCs w:val="26"/>
          <w:lang w:val="ru-RU"/>
        </w:rPr>
      </w:r>
      <w:r>
        <w:br w:type="page"/>
      </w:r>
    </w:p>
    <w:p>
      <w:pPr>
        <w:pStyle w:val="Heading1"/>
        <w:keepLines/>
        <w:numPr>
          <w:ilvl w:val="0"/>
          <w:numId w:val="3"/>
        </w:numPr>
        <w:ind w:left="357" w:hanging="357"/>
        <w:jc w:val="center"/>
        <w:rPr>
          <w:sz w:val="26"/>
          <w:szCs w:val="26"/>
        </w:rPr>
      </w:pPr>
      <w:bookmarkStart w:id="0" w:name="__RefHeading___Toc12397_1905903208"/>
      <w:bookmarkStart w:id="1" w:name="_Toc51339692"/>
      <w:bookmarkStart w:id="2" w:name="_Toc233897405"/>
      <w:bookmarkStart w:id="3" w:name="_Toc170218547"/>
      <w:bookmarkEnd w:id="0"/>
      <w:r>
        <w:rPr>
          <w:sz w:val="26"/>
          <w:szCs w:val="26"/>
          <w:lang w:val="ru-RU"/>
        </w:rPr>
        <w:t>Общие сведения</w:t>
      </w:r>
      <w:bookmarkEnd w:id="1"/>
      <w:bookmarkEnd w:id="2"/>
      <w:bookmarkEnd w:id="3"/>
    </w:p>
    <w:p>
      <w:pPr>
        <w:pStyle w:val="Heading4"/>
        <w:numPr>
          <w:ilvl w:val="1"/>
          <w:numId w:val="3"/>
        </w:numPr>
        <w:rPr/>
      </w:pPr>
      <w:bookmarkStart w:id="4" w:name="__RefHeading___Toc12399_1905903208"/>
      <w:bookmarkStart w:id="5" w:name="_Toc46743505"/>
      <w:bookmarkStart w:id="6" w:name="_Toc233897406"/>
      <w:bookmarkStart w:id="7" w:name="_Toc140228849"/>
      <w:bookmarkStart w:id="8" w:name="_Toc170218548"/>
      <w:bookmarkEnd w:id="4"/>
      <w:r>
        <w:rPr>
          <w:sz w:val="26"/>
          <w:szCs w:val="26"/>
        </w:rPr>
        <w:t>Обозначения и сокращения</w:t>
      </w:r>
      <w:bookmarkEnd w:id="5"/>
      <w:bookmarkEnd w:id="6"/>
      <w:bookmarkEnd w:id="7"/>
      <w:bookmarkEnd w:id="8"/>
    </w:p>
    <w:tbl>
      <w:tblPr>
        <w:tblW w:w="978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1785"/>
        <w:gridCol w:w="7997"/>
      </w:tblGrid>
      <w:tr>
        <w:trPr>
          <w:trHeight w:val="526" w:hRule="atLeast"/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АБК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Административно-бытовой корпус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АХП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Административно-хозяйственный персонал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ГМО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Гидромеханическое оборудование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contextualSpacing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ГОСТ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Государственный стандарт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ГСО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Гидросиловое оборудование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ГТС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Гидротехнические сооружения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ГЭС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Гидроэлектростанция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ИТР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Инженерно-технические работники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Комплексные очистные сооружения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КПП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Контрольно-пропускной пункт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НТД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Нормативно-техническая документация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Промышленная база эксплуатации Богучанской ГЭС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highlight w:val="none"/>
                <w:shd w:fill="auto" w:val="clear"/>
              </w:rPr>
            </w:pPr>
            <w:r>
              <w:rPr>
                <w:sz w:val="24"/>
                <w:szCs w:val="24"/>
                <w:shd w:fill="auto" w:val="clear"/>
              </w:rPr>
              <w:t>ПО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contextualSpacing/>
              <w:jc w:val="both"/>
              <w:rPr>
                <w:highlight w:val="none"/>
                <w:shd w:fill="auto" w:val="clear"/>
              </w:rPr>
            </w:pPr>
            <w:r>
              <w:rPr>
                <w:color w:val="000000"/>
                <w:sz w:val="24"/>
                <w:szCs w:val="24"/>
                <w:shd w:fill="auto" w:val="clear"/>
              </w:rPr>
              <w:t xml:space="preserve">Программное обеспечение 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СНиП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Строительные нормы и правила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Свод правил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 организации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ТМЦ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Товарно-материальные ценности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Style w:val="Strong"/>
                <w:b w:val="false"/>
                <w:bCs w:val="false"/>
                <w:sz w:val="24"/>
                <w:szCs w:val="24"/>
              </w:rPr>
              <w:t>Техническое обслуживание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Style w:val="Strong"/>
                <w:b w:val="false"/>
                <w:bCs w:val="false"/>
                <w:sz w:val="24"/>
                <w:szCs w:val="24"/>
              </w:rPr>
              <w:t>Текущий ремонт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ТТ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требования</w:t>
            </w:r>
          </w:p>
        </w:tc>
      </w:tr>
      <w:tr>
        <w:trPr>
          <w:trHeight w:val="526" w:hRule="atLeast"/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ФЗ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закон</w:t>
            </w:r>
          </w:p>
        </w:tc>
      </w:tr>
    </w:tbl>
    <w:p>
      <w:pPr>
        <w:pStyle w:val="Normal"/>
        <w:keepNext w:val="true"/>
        <w:keepLines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  <w:r>
        <w:br w:type="page"/>
      </w:r>
    </w:p>
    <w:p>
      <w:pPr>
        <w:pStyle w:val="Heading4"/>
        <w:numPr>
          <w:ilvl w:val="1"/>
          <w:numId w:val="3"/>
        </w:numPr>
        <w:ind w:left="431" w:hanging="431"/>
        <w:rPr>
          <w:sz w:val="26"/>
          <w:szCs w:val="26"/>
        </w:rPr>
      </w:pPr>
      <w:bookmarkStart w:id="9" w:name="__RefHeading___Toc12401_1905903208"/>
      <w:bookmarkStart w:id="10" w:name="_Toc170218549"/>
      <w:bookmarkStart w:id="11" w:name="_Toc46743506"/>
      <w:bookmarkStart w:id="12" w:name="_Toc233897407"/>
      <w:bookmarkStart w:id="13" w:name="_Toc140228850"/>
      <w:bookmarkEnd w:id="9"/>
      <w:r>
        <w:rPr>
          <w:sz w:val="26"/>
          <w:szCs w:val="26"/>
        </w:rPr>
        <w:t>Наименование закупаемой продукции</w:t>
      </w:r>
      <w:bookmarkEnd w:id="10"/>
      <w:bookmarkEnd w:id="11"/>
      <w:bookmarkEnd w:id="12"/>
      <w:bookmarkEnd w:id="13"/>
    </w:p>
    <w:p>
      <w:pPr>
        <w:pStyle w:val="Normal"/>
        <w:keepNext w:val="true"/>
        <w:keepLine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ОКПД2 </w:t>
      </w:r>
      <w:r>
        <w:rPr>
          <w:color w:val="000000"/>
          <w:sz w:val="26"/>
          <w:szCs w:val="26"/>
        </w:rPr>
        <w:t xml:space="preserve">71.11.22.000 </w:t>
      </w:r>
      <w:r>
        <w:rPr>
          <w:sz w:val="26"/>
          <w:szCs w:val="26"/>
        </w:rPr>
        <w:t>Разработка эскизного проекта «Промышленная база эксплуатации Богучанской ГЭС</w:t>
      </w:r>
      <w:r>
        <w:rPr>
          <w:rFonts w:eastAsia="Calibri"/>
          <w:sz w:val="26"/>
          <w:szCs w:val="26"/>
        </w:rPr>
        <w:t>»</w:t>
      </w:r>
    </w:p>
    <w:p>
      <w:pPr>
        <w:pStyle w:val="Heading4"/>
        <w:numPr>
          <w:ilvl w:val="1"/>
          <w:numId w:val="3"/>
        </w:numPr>
        <w:ind w:left="431" w:hanging="431"/>
        <w:rPr>
          <w:sz w:val="26"/>
          <w:szCs w:val="26"/>
        </w:rPr>
      </w:pPr>
      <w:bookmarkStart w:id="14" w:name="__RefHeading___Toc12403_1905903208"/>
      <w:bookmarkStart w:id="15" w:name="_Toc140228851"/>
      <w:bookmarkStart w:id="16" w:name="_Toc170218550"/>
      <w:bookmarkStart w:id="17" w:name="_Toc233897408"/>
      <w:bookmarkStart w:id="18" w:name="_Toc46743507"/>
      <w:bookmarkEnd w:id="14"/>
      <w:r>
        <w:rPr>
          <w:iCs/>
          <w:sz w:val="26"/>
          <w:szCs w:val="26"/>
        </w:rPr>
        <w:t xml:space="preserve">Цель </w:t>
      </w:r>
      <w:bookmarkEnd w:id="18"/>
      <w:r>
        <w:rPr>
          <w:iCs/>
          <w:sz w:val="26"/>
          <w:szCs w:val="26"/>
          <w:lang w:val="ru-RU"/>
        </w:rPr>
        <w:t>выполнения работ</w:t>
      </w:r>
      <w:bookmarkEnd w:id="15"/>
      <w:bookmarkEnd w:id="16"/>
      <w:bookmarkEnd w:id="17"/>
      <w:r>
        <w:rPr>
          <w:iCs/>
          <w:sz w:val="26"/>
          <w:szCs w:val="26"/>
          <w:lang w:val="ru-RU"/>
        </w:rPr>
        <w:t xml:space="preserve"> и задачи, решаемые в рамках выполнения работ</w:t>
      </w:r>
    </w:p>
    <w:p>
      <w:pPr>
        <w:pStyle w:val="Normal"/>
        <w:jc w:val="both"/>
        <w:rPr>
          <w:rFonts w:eastAsia="Calibri"/>
          <w:sz w:val="26"/>
          <w:szCs w:val="26"/>
          <w:lang w:eastAsia="x-none"/>
        </w:rPr>
      </w:pPr>
      <w:r>
        <w:rPr>
          <w:rFonts w:eastAsia="Calibri"/>
          <w:sz w:val="26"/>
          <w:szCs w:val="26"/>
          <w:lang w:eastAsia="x-none"/>
        </w:rPr>
        <w:t xml:space="preserve">Разработать эскизный проект «Промышленная база эксплуатации Богучанской ГЭС», для предварительной оценки технической и экономической возможности осуществления строительства (количества зданий и сооружений, входящих в состав промышленной базы, их компоновку на имеющихся земельных участках, стоимость строительства и временные затраты на его осуществление). </w:t>
      </w:r>
    </w:p>
    <w:p>
      <w:pPr>
        <w:pStyle w:val="Normal"/>
        <w:jc w:val="both"/>
        <w:rPr>
          <w:rFonts w:eastAsia="Calibri"/>
          <w:sz w:val="26"/>
          <w:szCs w:val="26"/>
          <w:lang w:eastAsia="x-none"/>
        </w:rPr>
      </w:pPr>
      <w:r>
        <w:rPr>
          <w:rFonts w:eastAsia="Calibri"/>
          <w:sz w:val="26"/>
          <w:szCs w:val="26"/>
          <w:lang w:eastAsia="x-none"/>
        </w:rPr>
        <w:t>Задачами разработки эскизного проекта является создание наглядной демонстрации объемно-планировочных и фасадных решений, определение технико-экономических показателей промышленной базы, потребности объекта в воде, тепле, электричестве и т.п. для следующих стадий проектирования.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numPr>
          <w:ilvl w:val="1"/>
          <w:numId w:val="3"/>
        </w:numPr>
        <w:ind w:left="431" w:hanging="431"/>
        <w:rPr>
          <w:sz w:val="26"/>
          <w:szCs w:val="26"/>
        </w:rPr>
      </w:pPr>
      <w:bookmarkStart w:id="19" w:name="__RefHeading___Toc12405_1905903208"/>
      <w:bookmarkStart w:id="20" w:name="_Toc140228852"/>
      <w:bookmarkStart w:id="21" w:name="_Toc46743508"/>
      <w:bookmarkStart w:id="22" w:name="_Toc170218551"/>
      <w:bookmarkStart w:id="23" w:name="_Toc233897409"/>
      <w:bookmarkEnd w:id="19"/>
      <w:r>
        <w:rPr>
          <w:iCs/>
          <w:sz w:val="26"/>
          <w:szCs w:val="26"/>
        </w:rPr>
        <w:t>Существующее положение</w:t>
      </w:r>
      <w:bookmarkEnd w:id="20"/>
      <w:bookmarkEnd w:id="21"/>
      <w:bookmarkEnd w:id="22"/>
      <w:bookmarkEnd w:id="23"/>
    </w:p>
    <w:p>
      <w:pPr>
        <w:pStyle w:val="ListParagraph"/>
        <w:ind w:left="0" w:hanging="0"/>
        <w:jc w:val="both"/>
        <w:rPr/>
      </w:pPr>
      <w:r>
        <w:rPr>
          <w:sz w:val="26"/>
          <w:szCs w:val="26"/>
        </w:rPr>
        <w:t>В связи с необходимостью пуска Богучанской ГЭС в промышленную эксплуатацию и оптимизации строительства основных сооружений Богучанской ГЭС из состава объектов пускового комплекса при строительстве гидроузла был исключен хоздвор. Указанный объект предназначался для обслуживания и безопасной эксплуатации гидроузла и включал в себя необходимую инфраструктуру.</w:t>
      </w:r>
      <w:r>
        <w:rPr/>
        <w:t xml:space="preserve"> </w:t>
      </w:r>
    </w:p>
    <w:p>
      <w:pPr>
        <w:pStyle w:val="ListParagraph"/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>Было предусмотрено, что проектная документация «Хозяйственный двор Богучанской ГЭС» передаётся АО «Богучанская ГЭС» для последующей реализации технических решений проекта за счёт бюджета АО «Богучанская ГЭС».</w:t>
      </w:r>
    </w:p>
    <w:p>
      <w:pPr>
        <w:pStyle w:val="ListParagraph"/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>Используемая в настоящий момент производственно-ремонтная база для нужд эксплуатации осталась со времен начала строительства (80-е годы ХХ в.), находится на удалении от гидроузла, морально и технически устарела, не модернизирована и не соответствует требованиям современных норм. Использование старой базы несёт риски наложения штрафных санкций со стороны надзорных органов, требует затрат на содержание и ремонт существующих зданий, обслуживания дорог и спецтехники. Богучанской ГЭС эксплуатируется 14 лет, возникает необходимость проведения не только текущих, но и капитальных ремонтов оборудования и ГТС, что в свою очередь требует наличия современной специализированной базы для нужд эксплуатации.</w:t>
      </w:r>
    </w:p>
    <w:p>
      <w:pPr>
        <w:pStyle w:val="ListParagraph"/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>Исходя из перечисленного, требуется организация строительства промышленной базы для нужд эксплуатации Богучанской ГЭС.</w:t>
      </w:r>
    </w:p>
    <w:p>
      <w:pPr>
        <w:pStyle w:val="ListParagraph"/>
        <w:ind w:left="0" w:hanging="0"/>
        <w:jc w:val="both"/>
        <w:rPr/>
      </w:pPr>
      <w:r>
        <w:rPr/>
      </w:r>
    </w:p>
    <w:p>
      <w:pPr>
        <w:pStyle w:val="Heading1"/>
        <w:ind w:left="0" w:hanging="0"/>
        <w:rPr>
          <w:sz w:val="24"/>
          <w:szCs w:val="24"/>
        </w:rPr>
      </w:pPr>
      <w:bookmarkStart w:id="24" w:name="__RefHeading___Toc12407_1905903208"/>
      <w:bookmarkEnd w:id="24"/>
      <w:r>
        <w:rPr>
          <w:sz w:val="24"/>
          <w:szCs w:val="24"/>
        </w:rPr>
        <w:t>Таблица 1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Перечень объектов заказчика</w:t>
      </w:r>
    </w:p>
    <w:tbl>
      <w:tblPr>
        <w:tblW w:w="9980" w:type="dxa"/>
        <w:jc w:val="left"/>
        <w:tblInd w:w="6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637"/>
        <w:gridCol w:w="4289"/>
        <w:gridCol w:w="2559"/>
        <w:gridCol w:w="2494"/>
      </w:tblGrid>
      <w:tr>
        <w:trPr/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Расположение объекта </w:t>
              <w:br/>
            </w:r>
            <w:r>
              <w:rPr>
                <w:iCs/>
                <w:sz w:val="22"/>
                <w:szCs w:val="22"/>
              </w:rPr>
              <w:t>(место производства работ)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основного средства</w:t>
            </w:r>
          </w:p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(в отношении которого выполняются работы)</w:t>
            </w:r>
          </w:p>
        </w:tc>
      </w:tr>
      <w:tr>
        <w:trPr/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>
        <w:trPr>
          <w:trHeight w:val="845" w:hRule="atLeas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7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ОКПД2 </w:t>
            </w:r>
            <w:r>
              <w:rPr>
                <w:color w:val="000000"/>
                <w:sz w:val="22"/>
                <w:szCs w:val="22"/>
              </w:rPr>
              <w:t xml:space="preserve">71.11.22.000 </w:t>
            </w:r>
            <w:r>
              <w:rPr>
                <w:sz w:val="22"/>
                <w:szCs w:val="22"/>
              </w:rPr>
              <w:t>Разработка эскизного проекта «Промышленная база эксплуатации Богучанской ГЭС</w:t>
            </w:r>
            <w:r>
              <w:rPr>
                <w:rFonts w:eastAsia="Calibri"/>
                <w:sz w:val="22"/>
                <w:szCs w:val="22"/>
              </w:rPr>
              <w:t>»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BodyText"/>
              <w:widowControl w:val="false"/>
              <w:spacing w:before="0" w:after="0"/>
              <w:jc w:val="center"/>
              <w:rPr>
                <w:sz w:val="22"/>
                <w:szCs w:val="22"/>
              </w:rPr>
            </w:pPr>
            <w:bookmarkStart w:id="25" w:name="__RefHeading___Toc12409_1905903208"/>
            <w:bookmarkEnd w:id="25"/>
            <w:r>
              <w:rPr>
                <w:sz w:val="22"/>
                <w:szCs w:val="22"/>
              </w:rPr>
              <w:t xml:space="preserve">Красноярский край, Кежемский округ, </w:t>
            </w:r>
          </w:p>
          <w:p>
            <w:pPr>
              <w:pStyle w:val="BodyText"/>
              <w:widowControl w:val="false"/>
              <w:spacing w:before="0" w:after="0"/>
              <w:jc w:val="center"/>
              <w:rPr>
                <w:sz w:val="22"/>
                <w:szCs w:val="22"/>
              </w:rPr>
            </w:pPr>
            <w:bookmarkStart w:id="26" w:name="__RefHeading___Toc12411_1905903208"/>
            <w:bookmarkEnd w:id="26"/>
            <w:r>
              <w:rPr>
                <w:sz w:val="22"/>
                <w:szCs w:val="22"/>
              </w:rPr>
              <w:t>г. Кодинск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Богучанская ГЭС</w:t>
            </w:r>
          </w:p>
        </w:tc>
      </w:tr>
    </w:tbl>
    <w:p>
      <w:pPr>
        <w:pStyle w:val="Normal"/>
        <w:rPr>
          <w:rFonts w:eastAsia="Calibri"/>
          <w:b/>
          <w:color w:val="000000"/>
          <w:sz w:val="24"/>
          <w:szCs w:val="24"/>
          <w:lang w:eastAsia="x-none"/>
        </w:rPr>
      </w:pPr>
      <w:r>
        <w:rPr>
          <w:rFonts w:eastAsia="Calibri"/>
          <w:b/>
          <w:color w:val="000000"/>
          <w:sz w:val="24"/>
          <w:szCs w:val="24"/>
          <w:lang w:eastAsia="x-none"/>
        </w:rPr>
      </w:r>
    </w:p>
    <w:p>
      <w:pPr>
        <w:pStyle w:val="Heading4"/>
        <w:keepNext w:val="true"/>
        <w:widowControl w:val="false"/>
        <w:numPr>
          <w:ilvl w:val="1"/>
          <w:numId w:val="3"/>
        </w:numPr>
        <w:tabs>
          <w:tab w:val="clear" w:pos="0"/>
          <w:tab w:val="left" w:pos="520" w:leader="none"/>
        </w:tabs>
        <w:suppressAutoHyphens w:val="true"/>
        <w:overflowPunct w:val="true"/>
        <w:bidi w:val="0"/>
        <w:spacing w:before="240" w:after="60"/>
        <w:ind w:left="0" w:right="0" w:hanging="0"/>
        <w:jc w:val="both"/>
        <w:rPr>
          <w:sz w:val="24"/>
          <w:szCs w:val="24"/>
        </w:rPr>
      </w:pPr>
      <w:bookmarkStart w:id="27" w:name="__RefHeading___Toc12006_3645919304"/>
      <w:bookmarkStart w:id="28" w:name="_Toc220520386"/>
      <w:bookmarkStart w:id="29" w:name="_Toc223008883"/>
      <w:bookmarkEnd w:id="27"/>
      <w:r>
        <w:rPr>
          <w:sz w:val="24"/>
          <w:szCs w:val="24"/>
          <w:shd w:fill="auto" w:val="clear"/>
        </w:rPr>
        <w:t>Общие требования пр</w:t>
      </w:r>
      <w:r>
        <w:rPr>
          <w:sz w:val="24"/>
          <w:szCs w:val="24"/>
          <w:shd w:fill="auto" w:val="clear"/>
          <w:lang w:val="ru-RU"/>
        </w:rPr>
        <w:t>и</w:t>
      </w:r>
      <w:r>
        <w:rPr>
          <w:sz w:val="24"/>
          <w:szCs w:val="24"/>
          <w:shd w:fill="auto" w:val="clear"/>
        </w:rPr>
        <w:t xml:space="preserve"> проведении мониторинга цен</w:t>
      </w:r>
      <w:bookmarkEnd w:id="28"/>
      <w:bookmarkEnd w:id="29"/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120" w:after="120"/>
        <w:jc w:val="both"/>
        <w:rPr>
          <w:sz w:val="24"/>
          <w:szCs w:val="24"/>
        </w:rPr>
      </w:pPr>
      <w:bookmarkStart w:id="30" w:name="__RefHeading___Toc6984_958015815"/>
      <w:bookmarkEnd w:id="30"/>
      <w:r>
        <w:rPr>
          <w:rFonts w:eastAsia="Calibri"/>
          <w:sz w:val="24"/>
          <w:szCs w:val="24"/>
          <w:shd w:fill="auto" w:val="clear"/>
          <w:lang w:val="x-none" w:eastAsia="x-none"/>
        </w:rPr>
        <w:t>Мониторинг цен не является публичной офертой</w:t>
      </w:r>
      <w:r>
        <w:rPr>
          <w:rFonts w:eastAsia="Calibri"/>
          <w:sz w:val="24"/>
          <w:szCs w:val="24"/>
          <w:shd w:fill="auto" w:val="clear"/>
          <w:lang w:eastAsia="x-none"/>
        </w:rPr>
        <w:t>, п</w:t>
      </w:r>
      <w:r>
        <w:rPr>
          <w:rFonts w:eastAsia="Calibri"/>
          <w:sz w:val="24"/>
          <w:szCs w:val="24"/>
          <w:shd w:fill="auto" w:val="clear"/>
          <w:lang w:val="x-none" w:eastAsia="x-none"/>
        </w:rPr>
        <w:t>о результатам мониторинга цен договор не</w:t>
      </w:r>
      <w:r>
        <w:rPr>
          <w:rFonts w:eastAsia="Calibri"/>
          <w:sz w:val="24"/>
          <w:szCs w:val="24"/>
          <w:shd w:fill="auto" w:val="clear"/>
          <w:lang w:val="en-US" w:eastAsia="x-none"/>
        </w:rPr>
        <w:t> </w:t>
      </w:r>
      <w:r>
        <w:rPr>
          <w:rFonts w:eastAsia="Calibri"/>
          <w:sz w:val="24"/>
          <w:szCs w:val="24"/>
          <w:shd w:fill="auto" w:val="clear"/>
          <w:lang w:val="x-none" w:eastAsia="x-none"/>
        </w:rPr>
        <w:t xml:space="preserve">заключается. </w:t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120" w:after="120"/>
        <w:jc w:val="both"/>
        <w:rPr>
          <w:sz w:val="24"/>
          <w:szCs w:val="24"/>
        </w:rPr>
      </w:pPr>
      <w:r>
        <w:rPr/>
      </w:r>
    </w:p>
    <w:p>
      <w:pPr>
        <w:pStyle w:val="Heading1"/>
        <w:keepLines/>
        <w:numPr>
          <w:ilvl w:val="0"/>
          <w:numId w:val="3"/>
        </w:numPr>
        <w:ind w:left="357" w:hanging="357"/>
        <w:jc w:val="center"/>
        <w:rPr>
          <w:sz w:val="26"/>
          <w:szCs w:val="26"/>
        </w:rPr>
      </w:pPr>
      <w:bookmarkStart w:id="31" w:name="__RefHeading___Toc12413_1905903208"/>
      <w:bookmarkStart w:id="32" w:name="_Toc227656530"/>
      <w:bookmarkStart w:id="33" w:name="_Toc198830547"/>
      <w:bookmarkEnd w:id="31"/>
      <w:r>
        <w:rPr>
          <w:sz w:val="26"/>
          <w:szCs w:val="26"/>
          <w:lang w:val="ru-RU"/>
        </w:rPr>
        <w:t>Требования к продукции</w:t>
      </w:r>
      <w:bookmarkEnd w:id="32"/>
      <w:bookmarkEnd w:id="33"/>
    </w:p>
    <w:p>
      <w:pPr>
        <w:pStyle w:val="Heading4"/>
        <w:numPr>
          <w:ilvl w:val="1"/>
          <w:numId w:val="3"/>
        </w:numPr>
        <w:ind w:left="426" w:hanging="6"/>
        <w:rPr/>
      </w:pPr>
      <w:bookmarkStart w:id="34" w:name="__RefHeading___Toc12415_1905903208"/>
      <w:bookmarkStart w:id="35" w:name="_Toc227656531"/>
      <w:bookmarkStart w:id="36" w:name="_Toc198830548"/>
      <w:bookmarkStart w:id="37" w:name="_Toc125381406"/>
      <w:bookmarkEnd w:id="34"/>
      <w:r>
        <w:rPr/>
        <w:t xml:space="preserve">Требования к объемам и срокам </w:t>
      </w:r>
      <w:r>
        <w:rPr>
          <w:lang w:val="ru-RU"/>
        </w:rPr>
        <w:t>выполнения работ</w:t>
      </w:r>
      <w:bookmarkEnd w:id="35"/>
      <w:bookmarkEnd w:id="36"/>
      <w:bookmarkEnd w:id="37"/>
    </w:p>
    <w:p>
      <w:pPr>
        <w:pStyle w:val="Heading3"/>
        <w:numPr>
          <w:ilvl w:val="2"/>
          <w:numId w:val="3"/>
        </w:numPr>
        <w:ind w:left="426" w:hanging="6"/>
        <w:rPr>
          <w:lang w:val="ru-RU"/>
        </w:rPr>
      </w:pPr>
      <w:bookmarkStart w:id="38" w:name="__RefHeading___Toc12417_1905903208"/>
      <w:bookmarkStart w:id="39" w:name="_Toc227656532"/>
      <w:bookmarkStart w:id="40" w:name="_Toc125381407"/>
      <w:bookmarkStart w:id="41" w:name="_Toc198830549"/>
      <w:bookmarkEnd w:id="38"/>
      <w:r>
        <w:rPr>
          <w:lang w:val="ru-RU"/>
        </w:rPr>
        <w:t>Требования к видам и объемам работ</w:t>
      </w:r>
      <w:bookmarkEnd w:id="39"/>
      <w:bookmarkEnd w:id="40"/>
      <w:bookmarkEnd w:id="41"/>
    </w:p>
    <w:p>
      <w:pPr>
        <w:pStyle w:val="Heading1"/>
        <w:keepLines/>
        <w:spacing w:before="240" w:after="60"/>
        <w:ind w:left="0" w:firstLine="113"/>
        <w:rPr>
          <w:sz w:val="24"/>
          <w:szCs w:val="24"/>
        </w:rPr>
      </w:pPr>
      <w:bookmarkStart w:id="42" w:name="__RefHeading___Toc12419_1905903208"/>
      <w:bookmarkStart w:id="43" w:name="_Toc125381408"/>
      <w:bookmarkStart w:id="44" w:name="_Toc198830550"/>
      <w:bookmarkStart w:id="45" w:name="_Toc51339695_Копия_1"/>
      <w:bookmarkStart w:id="46" w:name="_Toc227656533"/>
      <w:bookmarkEnd w:id="42"/>
      <w:r>
        <w:rPr>
          <w:sz w:val="24"/>
          <w:szCs w:val="24"/>
        </w:rPr>
        <w:t xml:space="preserve">Таблица </w:t>
      </w:r>
      <w:r>
        <w:rPr>
          <w:sz w:val="24"/>
          <w:szCs w:val="24"/>
          <w:lang w:val="ru-RU"/>
        </w:rPr>
        <w:t>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Перечень </w:t>
      </w:r>
      <w:bookmarkEnd w:id="45"/>
      <w:r>
        <w:rPr>
          <w:sz w:val="24"/>
          <w:szCs w:val="24"/>
          <w:lang w:val="ru-RU"/>
        </w:rPr>
        <w:t>и объем выполняемых работ</w:t>
      </w:r>
      <w:bookmarkEnd w:id="43"/>
      <w:bookmarkEnd w:id="44"/>
      <w:bookmarkEnd w:id="46"/>
    </w:p>
    <w:tbl>
      <w:tblPr>
        <w:tblW w:w="5000" w:type="pct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911"/>
        <w:gridCol w:w="4678"/>
        <w:gridCol w:w="2091"/>
        <w:gridCol w:w="2240"/>
      </w:tblGrid>
      <w:tr>
        <w:trPr/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>
            <w:pPr>
              <w:pStyle w:val="Normal"/>
              <w:keepNext w:val="true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работ / этапа работ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</w:p>
        </w:tc>
      </w:tr>
      <w:tr>
        <w:trPr/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>
        <w:trPr>
          <w:trHeight w:val="883" w:hRule="atLeast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0" w:after="0"/>
              <w:ind w:left="0" w:hanging="0"/>
              <w:contextualSpacing w:val="false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widowControl w:val="fals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ОКПД2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71.11.22.000 </w:t>
            </w:r>
            <w:r>
              <w:rPr>
                <w:b/>
                <w:bCs/>
                <w:sz w:val="22"/>
                <w:szCs w:val="22"/>
              </w:rPr>
              <w:t>Разработка эскизного проекта «Промышленная база эксплуатации Богучанской ГЭС</w:t>
            </w:r>
            <w:r>
              <w:rPr>
                <w:rFonts w:eastAsia="Calibri"/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Усл. ед.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</w:tr>
      <w:tr>
        <w:trPr>
          <w:trHeight w:val="883" w:hRule="atLeast"/>
        </w:trPr>
        <w:tc>
          <w:tcPr>
            <w:tcW w:w="9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0" w:after="0"/>
              <w:ind w:left="0" w:hanging="0"/>
              <w:contextualSpacing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keepLines/>
              <w:widowControl w:val="false"/>
              <w:spacing w:before="0" w:after="0"/>
              <w:ind w:left="0" w:hanging="0"/>
              <w:contextualSpacing w:val="false"/>
              <w:jc w:val="both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Этап 1. Объемно-планировочные решения</w:t>
            </w:r>
          </w:p>
        </w:tc>
        <w:tc>
          <w:tcPr>
            <w:tcW w:w="20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Усл. ед.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>
          <w:trHeight w:val="883" w:hRule="atLeast"/>
        </w:trPr>
        <w:tc>
          <w:tcPr>
            <w:tcW w:w="9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0" w:after="0"/>
              <w:ind w:left="0" w:hanging="0"/>
              <w:contextualSpacing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keepLines/>
              <w:widowControl w:val="false"/>
              <w:spacing w:before="0" w:after="0"/>
              <w:ind w:left="0" w:hanging="0"/>
              <w:contextualSpacing w:val="false"/>
              <w:jc w:val="both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Этап 2. Технологические решения</w:t>
            </w:r>
          </w:p>
        </w:tc>
        <w:tc>
          <w:tcPr>
            <w:tcW w:w="20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Усл. ед.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>
          <w:trHeight w:val="883" w:hRule="atLeast"/>
        </w:trPr>
        <w:tc>
          <w:tcPr>
            <w:tcW w:w="9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0" w:after="0"/>
              <w:ind w:left="0" w:hanging="0"/>
              <w:contextualSpacing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1.3.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Этап 3. Архитектурные решения</w:t>
            </w:r>
          </w:p>
        </w:tc>
        <w:tc>
          <w:tcPr>
            <w:tcW w:w="20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Усл. ед.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>
          <w:trHeight w:val="883" w:hRule="atLeast"/>
        </w:trPr>
        <w:tc>
          <w:tcPr>
            <w:tcW w:w="9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0" w:after="0"/>
              <w:ind w:left="0" w:hanging="0"/>
              <w:contextualSpacing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1.4.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Этап 4. 3-</w:t>
            </w:r>
            <w:r>
              <w:rPr>
                <w:sz w:val="22"/>
                <w:szCs w:val="22"/>
                <w:lang w:val="en-US"/>
              </w:rPr>
              <w:t>D</w:t>
            </w:r>
            <w:r>
              <w:rPr>
                <w:sz w:val="22"/>
                <w:szCs w:val="22"/>
              </w:rPr>
              <w:t xml:space="preserve"> визуализация объектов промышленной базы эксплуатации Богучанской ГЭС (не менее 3 видов)</w:t>
            </w:r>
          </w:p>
        </w:tc>
        <w:tc>
          <w:tcPr>
            <w:tcW w:w="20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Усл. ед.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>
      <w:pPr>
        <w:pStyle w:val="ListParagraph"/>
        <w:keepLines/>
        <w:widowControl w:val="false"/>
        <w:ind w:left="0" w:hanging="0"/>
        <w:jc w:val="both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</w:r>
    </w:p>
    <w:p>
      <w:pPr>
        <w:pStyle w:val="Heading3"/>
        <w:numPr>
          <w:ilvl w:val="2"/>
          <w:numId w:val="3"/>
        </w:numPr>
        <w:rPr>
          <w:lang w:val="ru-RU"/>
        </w:rPr>
      </w:pPr>
      <w:bookmarkStart w:id="47" w:name="__RefHeading___Toc12421_1905903208"/>
      <w:bookmarkStart w:id="48" w:name="_Toc227656534"/>
      <w:bookmarkEnd w:id="47"/>
      <w:r>
        <w:rPr>
          <w:sz w:val="26"/>
          <w:szCs w:val="26"/>
          <w:lang w:val="ru-RU"/>
        </w:rPr>
        <w:t>Требования к срокам выполнения работ</w:t>
      </w:r>
      <w:bookmarkEnd w:id="48"/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</w:r>
      <w:bookmarkStart w:id="49" w:name="_Toc50125127"/>
      <w:bookmarkStart w:id="50" w:name="_Toc51339697"/>
      <w:bookmarkStart w:id="51" w:name="_Toc50125127"/>
      <w:bookmarkStart w:id="52" w:name="_Toc51339697"/>
    </w:p>
    <w:p>
      <w:pPr>
        <w:pStyle w:val="Heading1"/>
        <w:ind w:left="170" w:hanging="0"/>
        <w:rPr>
          <w:sz w:val="24"/>
          <w:szCs w:val="24"/>
        </w:rPr>
      </w:pPr>
      <w:bookmarkStart w:id="53" w:name="__RefHeading___Toc12427_1905903208"/>
      <w:bookmarkStart w:id="54" w:name="_Toc170218558"/>
      <w:bookmarkEnd w:id="53"/>
      <w:r>
        <w:rPr>
          <w:sz w:val="24"/>
          <w:szCs w:val="24"/>
        </w:rPr>
        <w:t xml:space="preserve">Таблица 3. </w:t>
      </w:r>
      <w:bookmarkStart w:id="55" w:name="_Hlk50465284"/>
      <w:r>
        <w:rPr>
          <w:sz w:val="24"/>
          <w:szCs w:val="24"/>
        </w:rPr>
        <w:t xml:space="preserve">Требования по срокам </w:t>
      </w:r>
      <w:bookmarkEnd w:id="51"/>
      <w:bookmarkEnd w:id="52"/>
      <w:bookmarkEnd w:id="55"/>
      <w:r>
        <w:rPr>
          <w:sz w:val="24"/>
          <w:szCs w:val="24"/>
        </w:rPr>
        <w:t>выполнения работ</w:t>
      </w:r>
      <w:bookmarkEnd w:id="54"/>
    </w:p>
    <w:tbl>
      <w:tblPr>
        <w:tblW w:w="9860" w:type="dxa"/>
        <w:jc w:val="left"/>
        <w:tblInd w:w="16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902"/>
        <w:gridCol w:w="3844"/>
        <w:gridCol w:w="2382"/>
        <w:gridCol w:w="2731"/>
      </w:tblGrid>
      <w:tr>
        <w:trPr/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п/п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работ/ этапа работ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началу срока выполнения работ/ этапа работ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окончанию срока выполнения работ / этапа работ</w:t>
            </w:r>
          </w:p>
        </w:tc>
      </w:tr>
      <w:tr>
        <w:trPr/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6"/>
              <w:keepNext w:val="false"/>
              <w:widowControl w:val="false"/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6"/>
              <w:keepNext w:val="false"/>
              <w:widowControl w:val="false"/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>
        <w:trPr>
          <w:trHeight w:val="769" w:hRule="atLeast"/>
        </w:trPr>
        <w:tc>
          <w:tcPr>
            <w:tcW w:w="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ind w:left="0" w:hanging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widowControl w:val="false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ОКПД2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71.11.22.000 </w:t>
            </w:r>
            <w:r>
              <w:rPr>
                <w:b/>
                <w:bCs/>
                <w:sz w:val="22"/>
                <w:szCs w:val="22"/>
              </w:rPr>
              <w:t>Разработка эскизного проекта «Промышленная база эксплуатации Богучанской ГЭС</w:t>
            </w:r>
            <w:r>
              <w:rPr>
                <w:rFonts w:eastAsia="Calibri"/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Дата, следующая за датой заключения договора</w:t>
            </w:r>
          </w:p>
        </w:tc>
        <w:tc>
          <w:tcPr>
            <w:tcW w:w="2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 течение 60 (шестидесяти) календарных дней с даты, следующей за датой заключения договора</w:t>
            </w:r>
          </w:p>
        </w:tc>
      </w:tr>
      <w:tr>
        <w:trPr>
          <w:trHeight w:val="769" w:hRule="atLeast"/>
        </w:trPr>
        <w:tc>
          <w:tcPr>
            <w:tcW w:w="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ind w:left="0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</w:t>
            </w:r>
          </w:p>
        </w:tc>
        <w:tc>
          <w:tcPr>
            <w:tcW w:w="3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keepLines/>
              <w:widowControl w:val="false"/>
              <w:spacing w:before="0" w:after="0"/>
              <w:ind w:left="0" w:hanging="0"/>
              <w:contextualSpacing w:val="false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Этап 1. Объемно-планировочные решения</w:t>
            </w: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Дата, следующая за датой заключения договора</w:t>
            </w:r>
          </w:p>
        </w:tc>
        <w:tc>
          <w:tcPr>
            <w:tcW w:w="2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  <w:t>в течение 60 (шестидесяти) календарных дней с даты, следующей за датой заключения договора</w:t>
            </w:r>
          </w:p>
        </w:tc>
      </w:tr>
      <w:tr>
        <w:trPr>
          <w:trHeight w:val="769" w:hRule="atLeast"/>
        </w:trPr>
        <w:tc>
          <w:tcPr>
            <w:tcW w:w="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ind w:left="0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</w:t>
            </w:r>
          </w:p>
        </w:tc>
        <w:tc>
          <w:tcPr>
            <w:tcW w:w="3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keepLines/>
              <w:widowControl w:val="false"/>
              <w:spacing w:before="0" w:after="0"/>
              <w:ind w:left="0" w:hanging="0"/>
              <w:contextualSpacing w:val="false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Этап 2. Технологические решения</w:t>
            </w: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Дата, следующая за датой заключения договора</w:t>
            </w:r>
          </w:p>
        </w:tc>
        <w:tc>
          <w:tcPr>
            <w:tcW w:w="2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  <w:t>в течение 60 (шестидесяти) календарных дней с даты, следующей за датой заключения договора</w:t>
            </w:r>
          </w:p>
        </w:tc>
      </w:tr>
      <w:tr>
        <w:trPr>
          <w:trHeight w:val="769" w:hRule="atLeast"/>
        </w:trPr>
        <w:tc>
          <w:tcPr>
            <w:tcW w:w="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ind w:left="0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1.3.</w:t>
            </w:r>
          </w:p>
        </w:tc>
        <w:tc>
          <w:tcPr>
            <w:tcW w:w="3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Этап 3. Архитектурные решения</w:t>
            </w: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Дата, следующая за датой заключения договора</w:t>
            </w:r>
          </w:p>
        </w:tc>
        <w:tc>
          <w:tcPr>
            <w:tcW w:w="2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  <w:t>в течение 60 (шестидесяти) календарных дней с даты, следующей за датой заключения договора</w:t>
            </w:r>
          </w:p>
        </w:tc>
      </w:tr>
      <w:tr>
        <w:trPr>
          <w:trHeight w:val="769" w:hRule="atLeast"/>
        </w:trPr>
        <w:tc>
          <w:tcPr>
            <w:tcW w:w="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ind w:left="0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1.4.</w:t>
            </w:r>
          </w:p>
        </w:tc>
        <w:tc>
          <w:tcPr>
            <w:tcW w:w="3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Этап 4. 3-</w:t>
            </w:r>
            <w:r>
              <w:rPr>
                <w:sz w:val="22"/>
                <w:szCs w:val="22"/>
                <w:lang w:val="en-US"/>
              </w:rPr>
              <w:t>D</w:t>
            </w:r>
            <w:r>
              <w:rPr>
                <w:sz w:val="22"/>
                <w:szCs w:val="22"/>
              </w:rPr>
              <w:t xml:space="preserve"> визуализация объектов промышленной базы эксплуатации Богучанской ГЭС (не менее 3 видов)</w:t>
            </w: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Дата, следующая за датой заключения договора</w:t>
            </w:r>
          </w:p>
        </w:tc>
        <w:tc>
          <w:tcPr>
            <w:tcW w:w="2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  <w:t>в течение 60 (шестидесяти) календарных дней с даты, следующей за датой заключения договора</w:t>
            </w:r>
          </w:p>
        </w:tc>
      </w:tr>
    </w:tbl>
    <w:p>
      <w:pPr>
        <w:sectPr>
          <w:headerReference w:type="default" r:id="rId3"/>
          <w:headerReference w:type="first" r:id="rId4"/>
          <w:footerReference w:type="default" r:id="rId5"/>
          <w:type w:val="nextPage"/>
          <w:pgSz w:w="11906" w:h="16838"/>
          <w:pgMar w:left="1134" w:right="851" w:gutter="0" w:header="680" w:top="1134" w:footer="737" w:bottom="992"/>
          <w:pgNumType w:fmt="decimal"/>
          <w:formProt w:val="false"/>
          <w:titlePg/>
          <w:textDirection w:val="lrTb"/>
          <w:docGrid w:type="default" w:linePitch="360" w:charSpace="0"/>
        </w:sectPr>
      </w:pPr>
    </w:p>
    <w:p>
      <w:pPr>
        <w:pStyle w:val="Heading4"/>
        <w:numPr>
          <w:ilvl w:val="1"/>
          <w:numId w:val="3"/>
        </w:numPr>
        <w:rPr>
          <w:sz w:val="26"/>
          <w:szCs w:val="26"/>
        </w:rPr>
      </w:pPr>
      <w:bookmarkStart w:id="56" w:name="__RefHeading___Toc12423_1905903208"/>
      <w:bookmarkStart w:id="57" w:name="_Toc170218559"/>
      <w:bookmarkStart w:id="58" w:name="_Toc140228862"/>
      <w:bookmarkStart w:id="59" w:name="_Toc233897770"/>
      <w:bookmarkEnd w:id="56"/>
      <w:r>
        <w:rPr>
          <w:sz w:val="26"/>
          <w:szCs w:val="26"/>
        </w:rPr>
        <w:t xml:space="preserve">Требования к </w:t>
      </w:r>
      <w:r>
        <w:rPr>
          <w:sz w:val="26"/>
          <w:szCs w:val="26"/>
          <w:lang w:val="ru-RU"/>
        </w:rPr>
        <w:t>качеству работ</w:t>
      </w:r>
      <w:bookmarkEnd w:id="57"/>
      <w:bookmarkEnd w:id="58"/>
      <w:bookmarkEnd w:id="59"/>
    </w:p>
    <w:p>
      <w:pPr>
        <w:pStyle w:val="Heading1"/>
        <w:ind w:left="0" w:hanging="0"/>
        <w:rPr/>
      </w:pPr>
      <w:bookmarkStart w:id="60" w:name="__RefHeading___Toc12429_1905903208"/>
      <w:bookmarkStart w:id="61" w:name="_Toc51339698"/>
      <w:bookmarkStart w:id="62" w:name="_Toc170218560"/>
      <w:bookmarkEnd w:id="60"/>
      <w:r>
        <w:rPr>
          <w:sz w:val="24"/>
          <w:szCs w:val="24"/>
        </w:rPr>
        <w:t xml:space="preserve">Таблица 4. Требования к </w:t>
      </w:r>
      <w:bookmarkEnd w:id="61"/>
      <w:r>
        <w:rPr>
          <w:sz w:val="24"/>
          <w:szCs w:val="24"/>
        </w:rPr>
        <w:t>качеству работ</w:t>
      </w:r>
      <w:bookmarkEnd w:id="62"/>
      <w:r>
        <w:rPr>
          <w:sz w:val="24"/>
          <w:szCs w:val="24"/>
        </w:rPr>
        <w:t xml:space="preserve"> </w:t>
      </w:r>
    </w:p>
    <w:p>
      <w:pPr>
        <w:pStyle w:val="Style50"/>
        <w:ind w:left="0" w:hanging="0"/>
        <w:jc w:val="both"/>
        <w:rPr/>
      </w:pPr>
      <w:r>
        <w:rPr>
          <w:b/>
          <w:bCs/>
        </w:rPr>
        <w:t>Наименование работ/</w:t>
      </w:r>
      <w:r>
        <w:rPr>
          <w:b/>
          <w:bCs/>
        </w:rPr>
        <w:t>этапа работ</w:t>
      </w:r>
      <w:r>
        <w:rPr>
          <w:b/>
          <w:bCs/>
          <w:lang w:val="ru-RU"/>
        </w:rPr>
        <w:t xml:space="preserve">: </w:t>
      </w:r>
      <w:r>
        <w:rPr>
          <w:lang w:val="ru-RU"/>
        </w:rPr>
        <w:t xml:space="preserve">ОКПД2 </w:t>
      </w:r>
      <w:r>
        <w:rPr>
          <w:color w:val="000000"/>
          <w:lang w:val="ru-RU"/>
        </w:rPr>
        <w:t xml:space="preserve">71.11.22.000 </w:t>
      </w:r>
      <w:r>
        <w:rPr>
          <w:lang w:val="ru-RU"/>
        </w:rPr>
        <w:t>Разработка эскизного проекта «Промышленная база эксплуатации Богучанской ГЭС</w:t>
      </w:r>
      <w:r>
        <w:rPr>
          <w:rFonts w:eastAsia="Calibri"/>
          <w:lang w:val="ru-RU"/>
        </w:rPr>
        <w:t>»</w:t>
      </w:r>
    </w:p>
    <w:tbl>
      <w:tblPr>
        <w:tblW w:w="15240" w:type="dxa"/>
        <w:jc w:val="left"/>
        <w:tblInd w:w="6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720"/>
        <w:gridCol w:w="1940"/>
        <w:gridCol w:w="9060"/>
        <w:gridCol w:w="1580"/>
        <w:gridCol w:w="1940"/>
      </w:tblGrid>
      <w:tr>
        <w:trPr/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№ </w:t>
            </w:r>
            <w:r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1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Наименование параметра</w:t>
            </w:r>
          </w:p>
        </w:tc>
        <w:tc>
          <w:tcPr>
            <w:tcW w:w="9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Требование заказчика</w:t>
            </w:r>
          </w:p>
        </w:tc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right="0" w:hanging="0"/>
              <w:jc w:val="center"/>
              <w:rPr>
                <w:b/>
                <w:bCs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Способ подтверждения участником соответствия требованиям</w:t>
            </w:r>
          </w:p>
        </w:tc>
      </w:tr>
      <w:tr>
        <w:trPr/>
        <w:tc>
          <w:tcPr>
            <w:tcW w:w="7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9060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right="0" w:hanging="0"/>
              <w:jc w:val="center"/>
              <w:rPr>
                <w:b/>
                <w:bCs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Согласие с требованием/ указание характеристик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right="0" w:hanging="0"/>
              <w:jc w:val="center"/>
              <w:rPr>
                <w:b/>
                <w:bCs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Предоставление подтверждающего документа или иной способ подтверждения</w:t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before="60" w:after="6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Требования к выполнению работ</w:t>
            </w:r>
          </w:p>
        </w:tc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Согласие с требованиями</w:t>
            </w:r>
          </w:p>
        </w:tc>
        <w:tc>
          <w:tcPr>
            <w:tcW w:w="1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shd w:fill="auto" w:val="clear"/>
                <w:lang w:val="ru-RU" w:eastAsia="ru-RU" w:bidi="ar-SA"/>
              </w:rPr>
              <w:t>Предоставление ответа на запрос ТКП по форме Приложения №1 к настоящим техническим требованиям</w:t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1.1.</w:t>
            </w:r>
          </w:p>
        </w:tc>
        <w:tc>
          <w:tcPr>
            <w:tcW w:w="11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Общие требования к выполнению работ</w:t>
            </w:r>
          </w:p>
        </w:tc>
        <w:tc>
          <w:tcPr>
            <w:tcW w:w="15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2593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 работ</w:t>
            </w:r>
          </w:p>
        </w:tc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ListParagraph"/>
              <w:keepLines/>
              <w:widowControl w:val="false"/>
              <w:ind w:left="0" w:hanging="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Этап 1. Объемно-планировочные решения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содержат: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Изучение и анализ имеющейся технической документации, уточнение деталей проектирования по месту строительства Объекта.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Разработку объемно-планировочных решений зданий и сооружений с поэтажными планами, с экспликацией </w:t>
            </w:r>
            <w:r>
              <w:rPr>
                <w:color w:val="000000"/>
                <w:sz w:val="20"/>
                <w:szCs w:val="20"/>
              </w:rPr>
              <w:t>помещений.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Разработку характерных разрезов по основным зданиям, дающих представление о внутреннем устройстве объектов.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Разработку планировочных решений выполнить с учетом обеспечения нормативной инсоляции и освещенности, оптимальной ориентации окон помещений по сторонам света.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Предусмотреть естественное освещение во всех помещениях с постоянным пребыванием людей.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Естественное освещение должно соответствовать требованиям «СП 52.13330.2016. Свод правил. Естественное и искусственное освещение. Актуализированная редакция СНиП 23-05-95*».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Разработку планировочных решений зданий и сооружений выполнить с соблюдением соответствующих требований экологических, санитарно-гигиенических, противопожарных и других норм, действующих на территории Российской Федерации и обеспечивающих безопасную для жизни и здоровья людей эксплуатацию объекта.</w:t>
            </w:r>
          </w:p>
          <w:p>
            <w:pPr>
              <w:pStyle w:val="ListParagraph"/>
              <w:keepLines/>
              <w:widowControl w:val="false"/>
              <w:ind w:left="0" w:hanging="0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</w:r>
          </w:p>
          <w:p>
            <w:pPr>
              <w:pStyle w:val="ListParagraph"/>
              <w:keepLines/>
              <w:widowControl w:val="false"/>
              <w:ind w:left="0" w:hanging="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Этап 2. Технологические решения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содержат: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Технологические принципиальные схемы расстановки оборудования во всех зданиях и сооружениях проектируемой базы.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− </w:t>
            </w:r>
            <w:r>
              <w:rPr>
                <w:sz w:val="20"/>
                <w:szCs w:val="20"/>
              </w:rPr>
              <w:t>выполнить подбор и принципиальную расстановку необходимого технологического оборудования;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− </w:t>
            </w:r>
            <w:r>
              <w:rPr>
                <w:sz w:val="20"/>
                <w:szCs w:val="20"/>
              </w:rPr>
              <w:t>определить требуемую площадь складских помещений на основе анализа номенклатуры хранения;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− </w:t>
            </w:r>
            <w:r>
              <w:rPr>
                <w:sz w:val="20"/>
                <w:szCs w:val="20"/>
              </w:rPr>
              <w:t>выполнить описание функционирования складских помещений;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− </w:t>
            </w:r>
            <w:r>
              <w:rPr>
                <w:sz w:val="20"/>
                <w:szCs w:val="20"/>
              </w:rPr>
              <w:t>определить наличие кран-балок и их грузоподъемность;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− </w:t>
            </w:r>
            <w:r>
              <w:rPr>
                <w:sz w:val="20"/>
                <w:szCs w:val="20"/>
              </w:rPr>
              <w:t xml:space="preserve">определить наличие погрузчиков и их г/п.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Пояснительную записку с общими данными и описанием принятых архитектурных, объемно-планировочных и технологических решений.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Этап 3. Архитектурные решения </w:t>
            </w:r>
            <w:r>
              <w:rPr>
                <w:sz w:val="20"/>
                <w:szCs w:val="20"/>
              </w:rPr>
              <w:t>содержат: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Разработку архитектурных решений фасадов всех зданий проектируемой базы.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Архитектурно-строительные решения зданий и сооружений принять с учетом климатических условий района строительства и сейсмических условий площадки строительства.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отделки фасадов применить современные материалы и решения с целью повышения энергосберегающих, пожаробезопасных и эстетических свойств зданий.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оформлении фасадов зданий, входных групп использовать фирменный стиль АО «Богучанская ГЭС» (демонстрация фирменного стиля предоставляется после заключения договора).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Этап 4. 3-</w:t>
            </w:r>
            <w:r>
              <w:rPr>
                <w:b/>
                <w:sz w:val="20"/>
                <w:szCs w:val="20"/>
                <w:lang w:val="en-US"/>
              </w:rPr>
              <w:t>D</w:t>
            </w:r>
            <w:r>
              <w:rPr>
                <w:b/>
                <w:sz w:val="20"/>
                <w:szCs w:val="20"/>
              </w:rPr>
              <w:t xml:space="preserve"> визуализация объектов промышленной базы эксплуатации Богучанской ГЭС (не менее 3 видов) </w:t>
            </w:r>
            <w:r>
              <w:rPr>
                <w:sz w:val="20"/>
                <w:szCs w:val="20"/>
              </w:rPr>
              <w:t>содержит: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>
              <w:rPr>
                <w:bCs/>
                <w:sz w:val="20"/>
                <w:szCs w:val="20"/>
              </w:rPr>
              <w:t>Разработка комплекта фотореалистических изображений, разработанных с помощью специализированного программного обеспечения 3D редактора: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главный фасад АБК-1 (вид со стороны главного входа);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- </w:t>
            </w:r>
            <w:r>
              <w:rPr>
                <w:bCs/>
                <w:sz w:val="20"/>
                <w:szCs w:val="20"/>
              </w:rPr>
              <w:t>главный фасад АБК-2 (вид со стороны главного входа);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вид сверху под углом 30-45° (перспектива с птичьего полета) на проектируемую промышленную базу.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Деталировка: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suppressAutoHyphens w:val="false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Выступающие элементы, козырьки, пандусы, двери, окна, элементы благоустройства, озеленения.</w:t>
            </w:r>
          </w:p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Панорама «здание-среда» - вписать здания в существующий ландшафт.</w:t>
            </w:r>
          </w:p>
        </w:tc>
        <w:tc>
          <w:tcPr>
            <w:tcW w:w="15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istParagraph"/>
              <w:keepLines/>
              <w:widowControl w:val="false"/>
              <w:ind w:lef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keepLines/>
              <w:widowControl w:val="false"/>
              <w:ind w:lef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253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1.1.2.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составу зданий и сооружений, входящим в инфраструктуру объекта</w:t>
            </w:r>
          </w:p>
        </w:tc>
        <w:tc>
          <w:tcPr>
            <w:tcW w:w="90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Здания и сооружения проектируемой «Промышленной базы эксплуатации для нужд «Богучанской ГЭС» предусмотрена к размещению на территориях земельных участков площадью 1 470 894 + 276 812 м2. 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Титульный список объектов, размещенный на генплане передается Заказчиком Исполнителю после заключения договора.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Здания и сооружения основного комплекса: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Конструктивная схема зданий АБК-1, АБК-2 - каркасная, монолитный железобетон, вентилируемый фасад.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Производственные корпуса, закрытый склад – металлокаркас, сэндвич-панели.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</w:rPr>
            </w:pPr>
            <w:r>
              <w:rPr>
                <w:rFonts w:eastAsia="Calibri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1. Административно-бытовой корпус АБК-1.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Многоэтажное современное здание для размещения АХП и ИТР (численность см. приложение №3 к ТТ). Размеры в плане 18,0 х 60,0* м. Этажность* - 5 этажей. Подземный этаж (гаражи, укрытие).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АБК-1 должен включать: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Офисные помещения для подразделений эксплуатации ГЭС, кабинеты руководителей подразделений, архивные помещения, фельдшерский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здравпункт (медпункт), конференц-зал, кабинет программного обучения, столовую, санузлы, помещения для размещения и функционирования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охраны, специальную переговорную комнату. В АБК должны быть предусмотрены специализированные помещения для административно-хозяйственного отдела и лаборатории гидротехнических сооружений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(для геодезического оборудования, помещения для пайки и др.).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Вне охранного контура должна быть предусмотрена автостоянка для сотрудников согласно установленным нормам (СП 42.13330.2016 «СНиП 2.07.01-89 Градостроительство. Планировка и застройка городских и сельских поселений», СП 113.13330.2023 «СНиП 21-02-99 Стоянки автомобилей»).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</w:rPr>
            </w:pPr>
            <w:r>
              <w:rPr>
                <w:rFonts w:eastAsia="Calibri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2. Производственный корпус автохозяйства (ПКА).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Размеры в плане 48,0 х 120,0* м. Этажность* – 1-2 этажа.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Комплекс автохозяйства должен быть функционально разделён на стояночные боксы и ремонтную зону, исходя из численного количества легковых, грузовых автомобилей, спецтехники и автобусов (см.приложение №3 к ТТ). 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Комплекс должен включать посты ТО, ТР, автомойку, бытовые помещения для рабочих обслуживающих подвижной состав предприятия, диспетчерскую, медицинский пункт, цех вулканизации и шиномонтажный, аккумуляторный, сварочный цех, моторный цех, инструментальный цех, токарный цех, электротехнический цех, агрегатный цех, прачечную и иные оборудованные помещения, требуемые для обслуживания подвижного состава. Административно-бытовой блок выполняется встроенным (в объеме основного здания).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Ремонтная зона должна быть оборудована кран-балкой г/п 5 т, обслуживаемой с пола.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3. Склады.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i/>
                <w:sz w:val="20"/>
                <w:szCs w:val="20"/>
              </w:rPr>
              <w:t>3.1 Складское хозяйство закрытого типа: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Размеры в плане 48,0 х 180,0* м. Этажность* – 1-2 этажа.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Складское хозяйство должно обеспечивать высокомеханизированный прием, хранение, учет и отгрузку материалов и оборудования с максимальной эффективностью использования высотного объема здания.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 первом этапе эскизного проектирования (уточнение деталей проектирования по месту строительства Объекта) провести анализ номенклатуры хранения по габаритным размерам, весу и оборачиваемости материалов и оборудования.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 основе анализа разработать схему размещения стеллажного оборудования, обеспечивающую максимальную эффективность использования объема здания. Тип стеллажей определить исходя из минимизации занимаемой площади.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Состав складского хозяйства (см. приложение №3 к ТТ):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спецодежды;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масел;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шин;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ртутьсодержащих ламп;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аккумуляторных батарей;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бытовой химии;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аварийного запаса материальных средств (запасных частей, резервного оборудования и расходных материалов, согласно СТО 75782411.27.140.0555-2010 «Эксплуатация ГЭС. Планирование и управление аварийным запасом. Методические указания» и СТ-01-2019 «Создание и поддержание неснижаемого запаса материальных средств для ликвидации потенциальных угроз появления и развития аварийных ситуаций»);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противопожарного инвентаря;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электроприборов;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кабельно-проводниковой продукции;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смешанного хранения ТМЦ;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Помещение хранения инструмента и инвентаря;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Помещение электропогрузчика.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Административно-бытовой блок выполняется встроенным (в объеме основного здания).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i/>
                <w:sz w:val="20"/>
                <w:szCs w:val="20"/>
              </w:rPr>
              <w:t>3.2 Складское хозяйство под навесами: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 первом этапе эскизного проектирования (уточнение деталей проектирования по месту строительства Объекта) провести анализ номенклатуры хранения с целью минимизации площади складского хозяйства, располагаемого под навесами.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Состав складского хозяйства (см. приложение №3 к ТТ):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неликвидов;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приспособлений ГСО;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автотранспортных средств;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запчастей;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газов (навес) Размеры* в плане 16,7 х 12,0 м. Общая площадь* - 200,0 м².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Во всех складских зонах должна быть предусмотрена механизированная погрузка и выгрузка материалов, оснащенность механизмами и оборудованием. Предпочтительно погрузчиком.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i/>
                <w:sz w:val="20"/>
                <w:szCs w:val="20"/>
              </w:rPr>
              <w:t>3.3 Складское хозяйство открытого типа: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Состав складского хозяйства (см. приложение №3 к ТТ):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Открытый склад металлопроката ГМО и ГСО;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Открытый склад автотранспорта;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Открытая площадка для временного хранения металлолома.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Площади складского хозяйства открытого типа уточнить на первом этапе эскизного проектирования.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</w:rPr>
            </w:pPr>
            <w:r>
              <w:rPr>
                <w:rFonts w:eastAsia="Calibri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4. Производственный участок обслуживания электротехнического, турбинного и гидротехнического оборудования.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  <w:b/>
                <w:i/>
                <w:i/>
              </w:rPr>
            </w:pPr>
            <w:r>
              <w:rPr>
                <w:rFonts w:eastAsia="Calibri"/>
                <w:b/>
                <w:i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i/>
                <w:sz w:val="20"/>
                <w:szCs w:val="20"/>
              </w:rPr>
              <w:t>4.1 Административно-бытовой корпус АБК-2.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Многоэтажное современное здание для размещения АХП и ИТР (численность см. приложение №3 к ТТ). Размеры в плане 18,0 х 48,0* м. Этажность* - 3 этажа. Подземный этаж (гаражи, укрытие).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АБК-2 должен включать: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Офисные помещения для подразделений эксплуатации ГЭС, кабинеты руководителей подразделений, архивные помещения, столовую, гардеробные, душевые, санузлы, помещения для размещения и функционирования охраны. Вне охранного контура должна быть предусмотрена автостоянка для сотрудников согласно установленным нормам (СП 42.13330.2016 «СНиП 2.07.01-89 Градостроительство. Планировка и застройка городских и сельских поселений», СП 113.13330.2023 «СНиП 21-02-99 Стоянки автомобилей»).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i/>
                <w:sz w:val="20"/>
                <w:szCs w:val="20"/>
              </w:rPr>
              <w:t>4.2 Производственный корпус участка обслуживания электротехнического, турбинного и гидротехнического оборудования.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Размеры в плане 24,0 х 150,0* м. Этажность* – 1-2 этажа. Производственный корпус должен быть функционально разделён на турбинный, электротехнический и гидротехнический цех (см. приложение №3 к ТТ). Цеха должны включать бытовые помещения, мастерские, сварочные посты, складские и другие помещения. 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 первом этапе эскизного проектирования (уточнение деталей проектирования по месту строительства Объекта) уточнить требуемое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количество и площади мастерских и складских помещений, необходимость оборудования мастерских кран-балками. 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i/>
                <w:sz w:val="20"/>
                <w:szCs w:val="20"/>
              </w:rPr>
              <w:t>4.3 Складское хозяйство под навесами: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 первом этапе эскизного проектирования (уточнение деталей проектирования по месту строительства Объекта) провести анализ номенклатуры хранения с целью минимизации площади складского хозяйства, располагаемого под навесами.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Состав складского хозяйства (см. приложение №3 к ТТ):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металлопроката;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готовых столярных изделий;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− </w:t>
            </w:r>
            <w:r>
              <w:rPr>
                <w:rFonts w:eastAsia="Calibri"/>
                <w:sz w:val="20"/>
                <w:szCs w:val="20"/>
              </w:rPr>
              <w:t>Склад пиломатериалов.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Во всех складских зонах должна быть предусмотрена механизированная погрузка и выгрузка материалов, оснащенность механизмами и оборудованием.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5. Здание электрокотельной**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Размеры* в плане 24,0 х 18,0 м. Этажность - 1 эт. Общая площадь - 432,0 м².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</w:rPr>
            </w:pPr>
            <w:r>
              <w:rPr>
                <w:rFonts w:eastAsia="Calibri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6. Охранный контур с КПП**.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7. Трансформаторная подстанция**.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8. Существующие очистные сооружения хозяйственно-бытовой канализации, КОС 240 м³/сут.**.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9. Существующее здание пожарного депо на 6 автомобилей.</w:t>
            </w:r>
          </w:p>
          <w:p>
            <w:pPr>
              <w:pStyle w:val="Normal"/>
              <w:widowControl w:val="false"/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10. Существующее здание склада пожарного инвентаря и огнегасящих средств с мойкой автомобилей.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Ко всем основным зданиям и сооружениям предусмотреть подъезды с твердым покрытием. Уточняющие данные для проектирования приведены в приложениях №2 и 3 к ТТ.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По согласованию с Заказчиком состав и наименование сооружений может изменяться.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Окончательный состав зданий и сооружений, а также обеспечивающей инфраструктуры, оборудования и границы проектирования уточнить при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проектировании.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* Числовые значения площадей зданий и помещений, этажность, размеры в настоящем разделе ТТ могут быть скорректированы, исходя из существующих норм и фактических потребностей на первом и втором этапе эскизного проектирования.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**Необходимость, достаточность, характеристики и количество уточнить на первом этапе эскизного проектирования.</w:t>
            </w:r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82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1.1.3.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6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требования к выполнению Работ</w:t>
            </w:r>
          </w:p>
        </w:tc>
        <w:tc>
          <w:tcPr>
            <w:tcW w:w="90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Подрядчик уточняет по согласованию с Заказчиком технические решения, которые будут реализованы в документации.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необходимости при разработке документации должны быть проанализированы и максимально учтены материалы обследований и изысканий, выполненных ранее.</w:t>
            </w:r>
          </w:p>
        </w:tc>
        <w:tc>
          <w:tcPr>
            <w:tcW w:w="158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8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110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Требования к организации работ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506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1.2.1.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требования</w:t>
            </w:r>
          </w:p>
        </w:tc>
        <w:tc>
          <w:tcPr>
            <w:tcW w:w="90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Установленный противопожарный и внутриобъектовый режимы на предприятии Заказчика являются обязательными для персонала Подрядчика и должны строго выполняться.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8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1.3.</w:t>
            </w:r>
          </w:p>
        </w:tc>
        <w:tc>
          <w:tcPr>
            <w:tcW w:w="110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Требования к применяемым при выполнении работ оборудованию, материалам, технологиям, программно-аппаратным средствам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57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1.3.1.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применяемому ПО</w:t>
            </w:r>
          </w:p>
        </w:tc>
        <w:tc>
          <w:tcPr>
            <w:tcW w:w="90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Специализированное программное обеспечение 3D редактора (3D-MAX или аналогичного).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</w:p>
        </w:tc>
      </w:tr>
      <w:tr>
        <w:trPr>
          <w:trHeight w:val="39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1.4.</w:t>
            </w:r>
          </w:p>
        </w:tc>
        <w:tc>
          <w:tcPr>
            <w:tcW w:w="110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60" w:after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Требования к контролю качества работ и материалов</w:t>
            </w:r>
          </w:p>
        </w:tc>
        <w:tc>
          <w:tcPr>
            <w:tcW w:w="158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60" w:after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60" w:after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330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1.4.1.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Курирование работ</w:t>
            </w:r>
          </w:p>
        </w:tc>
        <w:tc>
          <w:tcPr>
            <w:tcW w:w="90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Заказчик имеет право осуществлять контроль за деятельностью Подрядчика, не вмешиваясь в его деятельность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60" w:after="6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Требования к результатам работ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2.1.</w:t>
            </w:r>
          </w:p>
        </w:tc>
        <w:tc>
          <w:tcPr>
            <w:tcW w:w="11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60"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Общие требования к результатам работ: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1939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/>
            </w:pPr>
            <w:r>
              <w:rPr>
                <w:sz w:val="20"/>
                <w:szCs w:val="20"/>
              </w:rPr>
              <w:t>2.1.1.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60" w:after="0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Требования к результату работ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3" w:leader="none"/>
              </w:tabs>
              <w:spacing w:lineRule="exact" w:line="300" w:before="0" w:after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3" w:leader="none"/>
              </w:tabs>
              <w:spacing w:before="0" w:after="113"/>
              <w:contextualSpacing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Результатом работ является согласованный Заказчиком эскизный проект </w:t>
            </w:r>
            <w:r>
              <w:rPr>
                <w:rFonts w:eastAsia="Calibri"/>
                <w:color w:val="000000"/>
                <w:sz w:val="20"/>
                <w:szCs w:val="20"/>
                <w:lang w:eastAsia="x-none"/>
              </w:rPr>
              <w:t>«Промышленная база эксплуатации Богучанской ГЭС», включая: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объемно-планировочные решения зданий и сооружений с поэтажными планами, с экспликацией помещений, характерные разрезы по основным зданиям, дающие представление о внутреннем устройстве объектов, архитектурные решения зданий (фасады), технологическую принципиальную схему расстановки оборудования, 3D-визуализацию объекта (не менее 3 видов).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8364" w:leader="none"/>
              </w:tabs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Эскизный проект Подрядчик оформляет на русском языке в соответствии с требованиями ГОСТ Р 21.101-2026 «Система проектной документации для строительства. Основные требования к проектной и рабочей документации».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3" w:leader="none"/>
              </w:tabs>
              <w:spacing w:before="0" w:after="11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3" w:leader="none"/>
              </w:tabs>
              <w:spacing w:before="0" w:after="11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/>
            </w:pPr>
            <w:r>
              <w:rPr>
                <w:b/>
                <w:bCs/>
                <w:sz w:val="20"/>
                <w:szCs w:val="20"/>
              </w:rPr>
              <w:t xml:space="preserve">2.2. </w:t>
            </w:r>
          </w:p>
        </w:tc>
        <w:tc>
          <w:tcPr>
            <w:tcW w:w="110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Требования к порядку приемки результатов работ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/>
            </w:pPr>
            <w:r>
              <w:rPr>
                <w:sz w:val="20"/>
                <w:szCs w:val="20"/>
              </w:rPr>
              <w:t>2.2.1.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Порядок приемки результатов работ</w:t>
            </w:r>
          </w:p>
        </w:tc>
        <w:tc>
          <w:tcPr>
            <w:tcW w:w="90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right="150" w:hanging="0"/>
              <w:contextualSpacing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Документация предоставляются Заказчику на предварительное согласование не позднее, чем за 10 календарных дней до даты окончания срока выполнения работ.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Приемка работ осуществляется в следующем порядке: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Batang"/>
                <w:bCs/>
                <w:sz w:val="20"/>
                <w:szCs w:val="20"/>
                <w:lang w:eastAsia="ko-KR"/>
              </w:rPr>
              <w:t xml:space="preserve">- по окончании работ Подрядчик передает Заказчику подписанный со своей стороны акт сдачи-приемки выполненных работ (в 2 экз.) с приложением к нему </w:t>
            </w:r>
            <w:r>
              <w:rPr>
                <w:bCs/>
                <w:color w:val="0D0D0D"/>
                <w:sz w:val="20"/>
                <w:szCs w:val="20"/>
              </w:rPr>
              <w:t>результата работ в соответствии с п. 2.1.1. ТТ.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right="150" w:hanging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right="150" w:hanging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/>
            </w:pPr>
            <w:r>
              <w:rPr>
                <w:b/>
                <w:bCs/>
                <w:sz w:val="20"/>
                <w:szCs w:val="20"/>
              </w:rPr>
              <w:t>2.3.</w:t>
            </w:r>
          </w:p>
        </w:tc>
        <w:tc>
          <w:tcPr>
            <w:tcW w:w="110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Требования к оформлению документации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/>
            </w:pPr>
            <w:r>
              <w:rPr>
                <w:sz w:val="20"/>
                <w:szCs w:val="20"/>
              </w:rPr>
              <w:t>2.3.1.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60" w:after="0"/>
              <w:contextualSpacing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 и состав материалов, передаваемых Подрядчиком Заказчику</w:t>
            </w:r>
          </w:p>
        </w:tc>
        <w:tc>
          <w:tcPr>
            <w:tcW w:w="90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Результат работы должен быть представлен: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 </w:t>
            </w:r>
            <w:r>
              <w:rPr>
                <w:color w:val="000000"/>
                <w:sz w:val="20"/>
                <w:szCs w:val="20"/>
              </w:rPr>
              <w:t>в электронном виде на электронном носителе в формате PDF;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в редактируемом формате с расширением .dwg, с сохранением не позднее версии 2009 года.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110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40" w:after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Требования к соблюдению положений нормативной и иной обязательной для Подрядчика документации, определяемой видами работ (помимо указанных в других разделах ТТ)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40" w:after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40" w:after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</w:tr>
      <w:tr>
        <w:trPr>
          <w:trHeight w:val="6061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3.1.1.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60"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НТД, определяющие требования к оформлению и содержанию проектной документации</w:t>
            </w:r>
          </w:p>
        </w:tc>
        <w:tc>
          <w:tcPr>
            <w:tcW w:w="90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работы производятся в соответствие с национальными, отраслевыми и корпоративными (ПАО «РусГидро») нормативно - техническими документами.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Технические решения должны соответствовать требованиям экологических, санитарно-гигиенических, противопожарных и других норм, действующих на территории Российской Федерации и обеспечивающих безопасную для жизни и здоровья людей, эксплуатацию объекта.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Нормативно-правовые документы, определяющие требования к выполняемым Работам: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Градостроительный кодекс РФ;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Земельный кодекс РФ;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rPr>
                <w:iCs/>
                <w:color w:val="000000"/>
                <w:sz w:val="20"/>
                <w:szCs w:val="20"/>
              </w:rPr>
              <w:t>Водный кодекс РФ;</w:t>
            </w:r>
            <w:r>
              <w:rPr>
                <w:sz w:val="20"/>
                <w:szCs w:val="20"/>
              </w:rPr>
              <w:t xml:space="preserve">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РД 153-34.0-21.601-98 Типовая инструкция по эксплуатации производственных зданий и сооружений энергопредприятий;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Федеральный закон "Технический регламент о безопасности зданий и сооружений" № 384-ФЗ;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Федеральный закон от 22 июля 2008 года N 123-ФЗ "Технический регламент о требованиях пожарной безопасности"  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 70.13330.2012 «Несущие и ограждающие конструкции»;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СНиП 12-03-2001 «Безопасность труда в строительстве» ч.1;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СНиП 12-04-2002 «Безопасность труда в строительстве» ч.2;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 14.13330.2014 «Строительство в сейсмических районах»;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Постановление Правительства РФ от 26 декабря 2014 г. N 1521 "Об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сооружений";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Федеральный закон № 7-ФЗ от 10.01.2002 «Об охране окружающей среды»;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Федеральный закон № 89-ФЗ от 24.06.1998 «Об отходах производства и потребления»;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Федеральный закон № 96-ФЗ от 04.05.1999 «Об охране атмосферного воздуха»;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Постановление Правительства РФ от 05.05.2012г. №458 «Об утверждении Правил по обеспечению безопасности и антитеррористической защищенности объектов топливно-энергетического комплекса»;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противопожарного режима в Российской Федерации.</w:t>
            </w:r>
          </w:p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Трудовой кодекс Российской Федерации;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sz w:val="20"/>
                <w:szCs w:val="20"/>
              </w:rPr>
              <w:t xml:space="preserve">С документами ПАО «РусГидро» можно ознакомиться на официальном сайте по адресу: </w:t>
            </w:r>
            <w:hyperlink r:id="rId6">
              <w:r>
                <w:rPr>
                  <w:rStyle w:val="Hyperlink"/>
                  <w:rFonts w:eastAsia="Calibri"/>
                  <w:sz w:val="20"/>
                  <w:szCs w:val="20"/>
                  <w:lang w:val="en-US"/>
                </w:rPr>
                <w:t>www</w:t>
              </w:r>
              <w:r>
                <w:rPr>
                  <w:rStyle w:val="Hyperlink"/>
                  <w:rFonts w:eastAsia="Calibri"/>
                  <w:sz w:val="20"/>
                  <w:szCs w:val="20"/>
                </w:rPr>
                <w:t>.</w:t>
              </w:r>
              <w:r>
                <w:rPr>
                  <w:rStyle w:val="Hyperlink"/>
                  <w:rFonts w:eastAsia="Calibri"/>
                  <w:sz w:val="20"/>
                  <w:szCs w:val="20"/>
                  <w:lang w:val="en-US"/>
                </w:rPr>
                <w:t>rushydro</w:t>
              </w:r>
              <w:r>
                <w:rPr>
                  <w:rStyle w:val="Hyperlink"/>
                  <w:rFonts w:eastAsia="Calibri"/>
                  <w:sz w:val="20"/>
                  <w:szCs w:val="20"/>
                </w:rPr>
                <w:t>.</w:t>
              </w:r>
              <w:r>
                <w:rPr>
                  <w:rStyle w:val="Hyperlink"/>
                  <w:rFonts w:eastAsia="Calibri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58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8640" w:leader="none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10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Требования к ответственности и гарантиям подрядчика</w:t>
            </w:r>
          </w:p>
        </w:tc>
        <w:tc>
          <w:tcPr>
            <w:tcW w:w="158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20" w:after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0" w:after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4.1.1.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устранению недостатков</w:t>
            </w:r>
          </w:p>
        </w:tc>
        <w:tc>
          <w:tcPr>
            <w:tcW w:w="90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highlight w:val="none"/>
                <w:shd w:fill="auto" w:val="clear"/>
              </w:rPr>
            </w:pPr>
            <w:r>
              <w:rPr>
                <w:bCs/>
                <w:color w:val="000000"/>
                <w:sz w:val="20"/>
                <w:szCs w:val="20"/>
                <w:shd w:fill="auto" w:val="clear"/>
              </w:rPr>
              <w:t>Подрядчик устраняет недостатки документации, возникшие по вине Подрядчика, за собственные средства и в согласованные с Заказчиком сроки.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10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Требования к подрядчику (и субподрядчикам) и его обязательствам, влияющим на исполнение договора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5.1.1.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Привлечения субподрядных организаций</w:t>
            </w:r>
          </w:p>
        </w:tc>
        <w:tc>
          <w:tcPr>
            <w:tcW w:w="90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709" w:leader="none"/>
                <w:tab w:val="left" w:pos="851" w:leader="none"/>
              </w:tabs>
              <w:jc w:val="both"/>
              <w:rPr/>
            </w:pPr>
            <w:r>
              <w:rPr>
                <w:rFonts w:eastAsia="Batang"/>
                <w:bCs/>
                <w:sz w:val="20"/>
                <w:szCs w:val="20"/>
                <w:lang w:eastAsia="ko-KR"/>
              </w:rPr>
              <w:t>Без привлечения субподрядных организаций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709" w:leader="none"/>
                <w:tab w:val="left" w:pos="851" w:leader="none"/>
              </w:tabs>
              <w:jc w:val="both"/>
              <w:rPr/>
            </w:pPr>
            <w:r>
              <w:rPr/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709" w:leader="none"/>
                <w:tab w:val="left" w:pos="851" w:leader="none"/>
              </w:tabs>
              <w:jc w:val="both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110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60" w:after="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Прочие требования к выполняемым работам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60" w:after="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60" w:after="60"/>
              <w:ind w:left="0" w:hang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6.1.1.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6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Исходные данные, передаваемые Заказчиком Подрядчику </w:t>
            </w:r>
            <w:r>
              <w:rPr>
                <w:sz w:val="20"/>
                <w:szCs w:val="20"/>
                <w:shd w:fill="auto" w:val="clear"/>
              </w:rPr>
              <w:t>после заключения Договора</w:t>
            </w:r>
          </w:p>
        </w:tc>
        <w:tc>
          <w:tcPr>
            <w:tcW w:w="90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istParagraph"/>
              <w:widowControl w:val="false"/>
              <w:tabs>
                <w:tab w:val="clear" w:pos="708"/>
                <w:tab w:val="left" w:pos="898" w:leader="none"/>
              </w:tabs>
              <w:ind w:lef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Демонстрация фирменного стиля АО «Богучанская ГЭС»;</w:t>
            </w:r>
          </w:p>
          <w:p>
            <w:pPr>
              <w:pStyle w:val="ListParagraph"/>
              <w:widowControl w:val="false"/>
              <w:tabs>
                <w:tab w:val="clear" w:pos="708"/>
                <w:tab w:val="left" w:pos="898" w:leader="none"/>
              </w:tabs>
              <w:spacing w:before="0" w:after="113"/>
              <w:ind w:left="0" w:hanging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Титульный список объектов, размещенных на генплане.</w:t>
            </w:r>
          </w:p>
          <w:p>
            <w:pPr>
              <w:pStyle w:val="ListParagraph"/>
              <w:widowControl w:val="false"/>
              <w:tabs>
                <w:tab w:val="clear" w:pos="708"/>
                <w:tab w:val="left" w:pos="898" w:leader="none"/>
              </w:tabs>
              <w:ind w:left="47" w:hang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Вся необходимая документация по запросу Подрядчика предоставляется Заказчиком в электронном виде.</w:t>
            </w:r>
          </w:p>
        </w:tc>
        <w:tc>
          <w:tcPr>
            <w:tcW w:w="1580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istParagraph"/>
              <w:widowControl w:val="false"/>
              <w:tabs>
                <w:tab w:val="clear" w:pos="708"/>
                <w:tab w:val="left" w:pos="898" w:leader="none"/>
              </w:tabs>
              <w:ind w:lef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tabs>
                <w:tab w:val="clear" w:pos="708"/>
                <w:tab w:val="left" w:pos="898" w:leader="none"/>
              </w:tabs>
              <w:ind w:left="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numPr>
          <w:ilvl w:val="0"/>
          <w:numId w:val="0"/>
        </w:numPr>
        <w:spacing w:before="0" w:after="0"/>
        <w:ind w:left="709" w:right="142" w:hanging="0"/>
        <w:contextualSpacing/>
        <w:jc w:val="center"/>
        <w:outlineLvl w:val="0"/>
        <w:rPr>
          <w:b/>
          <w:bCs/>
        </w:rPr>
      </w:pPr>
      <w:r>
        <w:rPr>
          <w:b/>
          <w:bCs/>
        </w:rPr>
      </w:r>
    </w:p>
    <w:p>
      <w:pPr>
        <w:pStyle w:val="Heading1"/>
        <w:keepLines/>
        <w:numPr>
          <w:ilvl w:val="0"/>
          <w:numId w:val="3"/>
        </w:numPr>
        <w:spacing w:before="0" w:after="0"/>
        <w:ind w:left="0" w:right="0" w:hanging="0"/>
        <w:rPr/>
      </w:pPr>
      <w:bookmarkStart w:id="63" w:name="__RefHeading___Toc12008_3645919304"/>
      <w:bookmarkStart w:id="64" w:name="_Toc223008892"/>
      <w:bookmarkEnd w:id="63"/>
      <w:r>
        <w:rPr>
          <w:sz w:val="24"/>
          <w:szCs w:val="24"/>
          <w:shd w:fill="auto" w:val="clear"/>
          <w:lang w:val="ru-RU"/>
        </w:rPr>
        <w:t>Состав заявки для мониторинга цен</w:t>
      </w:r>
      <w:bookmarkEnd w:id="64"/>
    </w:p>
    <w:p>
      <w:pPr>
        <w:pStyle w:val="Normal"/>
        <w:widowControl w:val="false"/>
        <w:numPr>
          <w:ilvl w:val="0"/>
        </w:numPr>
        <w:tabs>
          <w:tab w:val="clear" w:pos="708"/>
          <w:tab w:val="left" w:pos="426" w:leader="none"/>
          <w:tab w:val="left" w:pos="733" w:leader="none"/>
        </w:tabs>
        <w:suppressAutoHyphens w:val="true"/>
        <w:overflowPunct w:val="true"/>
        <w:bidi w:val="0"/>
        <w:spacing w:before="0" w:after="0"/>
        <w:ind w:left="0" w:right="0" w:hanging="0"/>
        <w:jc w:val="both"/>
        <w:rPr/>
      </w:pPr>
      <w:bookmarkStart w:id="65" w:name="_Toc46743519"/>
      <w:bookmarkStart w:id="66" w:name="_Toc51339699"/>
      <w:bookmarkEnd w:id="65"/>
      <w:bookmarkEnd w:id="66"/>
      <w:r>
        <w:rPr>
          <w:iCs/>
          <w:sz w:val="24"/>
          <w:szCs w:val="24"/>
          <w:shd w:fill="auto" w:val="clear"/>
          <w:lang w:eastAsia="x-none"/>
        </w:rPr>
        <w:t xml:space="preserve">3.1. </w:t>
      </w:r>
      <w:r>
        <w:rPr>
          <w:iCs/>
          <w:sz w:val="24"/>
          <w:szCs w:val="24"/>
          <w:shd w:fill="auto" w:val="clear"/>
          <w:lang w:val="x-none" w:eastAsia="x-none"/>
        </w:rPr>
        <w:t xml:space="preserve">В составе </w:t>
      </w:r>
      <w:r>
        <w:rPr>
          <w:iCs/>
          <w:sz w:val="24"/>
          <w:szCs w:val="24"/>
          <w:shd w:fill="auto" w:val="clear"/>
          <w:lang w:eastAsia="x-none"/>
        </w:rPr>
        <w:t xml:space="preserve">заявки на </w:t>
      </w:r>
      <w:r>
        <w:rPr>
          <w:iCs/>
          <w:sz w:val="24"/>
          <w:szCs w:val="24"/>
          <w:shd w:fill="auto" w:val="clear"/>
          <w:lang w:val="x-none" w:eastAsia="x-none"/>
        </w:rPr>
        <w:t xml:space="preserve">мониторинг цен необходимо представить </w:t>
      </w:r>
      <w:r>
        <w:rPr>
          <w:iCs/>
          <w:sz w:val="24"/>
          <w:szCs w:val="24"/>
          <w:shd w:fill="auto" w:val="clear"/>
          <w:lang w:eastAsia="x-none"/>
        </w:rPr>
        <w:t>Технико-коммерческое предложение по форме приложения №1 к настоящим Техническим требованиям.</w:t>
      </w:r>
    </w:p>
    <w:p>
      <w:pPr>
        <w:sectPr>
          <w:headerReference w:type="default" r:id="rId7"/>
          <w:headerReference w:type="first" r:id="rId8"/>
          <w:footerReference w:type="default" r:id="rId9"/>
          <w:footerReference w:type="first" r:id="rId10"/>
          <w:type w:val="nextPage"/>
          <w:pgSz w:orient="landscape" w:w="16838" w:h="11906"/>
          <w:pgMar w:left="992" w:right="567" w:gutter="0" w:header="680" w:top="851" w:footer="737" w:bottom="851"/>
          <w:pgNumType w:fmt="decimal"/>
          <w:formProt w:val="false"/>
          <w:textDirection w:val="lrTb"/>
          <w:docGrid w:type="default" w:linePitch="381" w:charSpace="0"/>
        </w:sectPr>
        <w:pStyle w:val="Normal"/>
        <w:numPr>
          <w:ilvl w:val="0"/>
          <w:numId w:val="0"/>
        </w:numPr>
        <w:spacing w:before="0" w:after="0"/>
        <w:ind w:left="0" w:right="0" w:hanging="0"/>
        <w:jc w:val="center"/>
        <w:outlineLvl w:val="0"/>
        <w:rPr>
          <w:sz w:val="24"/>
          <w:szCs w:val="24"/>
          <w:lang w:val="ru-RU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426" w:leader="none"/>
        </w:tabs>
        <w:ind w:left="6160" w:right="142" w:hanging="0"/>
        <w:jc w:val="right"/>
        <w:rPr>
          <w:b/>
          <w:bCs/>
        </w:rPr>
      </w:pPr>
      <w:r>
        <w:rPr>
          <w:b/>
          <w:bCs/>
          <w:sz w:val="24"/>
        </w:rPr>
        <w:t xml:space="preserve">Приложение №1 </w:t>
      </w:r>
      <w:r>
        <w:rPr>
          <w:b/>
          <w:bCs/>
          <w:sz w:val="24"/>
        </w:rPr>
        <w:t>к ТТ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426" w:leader="none"/>
        </w:tabs>
        <w:ind w:left="6160" w:right="142" w:hanging="0"/>
        <w:jc w:val="right"/>
        <w:rPr>
          <w:sz w:val="24"/>
        </w:rPr>
      </w:pPr>
      <w:r>
        <w:rPr>
          <w:b/>
          <w:bCs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426" w:leader="none"/>
        </w:tabs>
        <w:ind w:left="6160" w:hanging="0"/>
        <w:jc w:val="right"/>
        <w:rPr>
          <w:sz w:val="24"/>
        </w:rPr>
      </w:pPr>
      <w:r>
        <w:rPr>
          <w:sz w:val="24"/>
        </w:rPr>
      </w:r>
    </w:p>
    <w:tbl>
      <w:tblPr>
        <w:tblW w:w="986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866"/>
      </w:tblGrid>
      <w:tr>
        <w:trPr/>
        <w:tc>
          <w:tcPr>
            <w:tcW w:w="9866" w:type="dxa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right="0" w:hanging="0"/>
              <w:jc w:val="center"/>
              <w:rPr/>
            </w:pPr>
            <w:r>
              <w:rPr>
                <w:b/>
                <w:sz w:val="24"/>
                <w:szCs w:val="24"/>
              </w:rPr>
              <w:t>Форма «Технико-коммерческое предложение»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sz w:val="24"/>
                <w:szCs w:val="24"/>
              </w:rPr>
              <w:t>начало формы</w:t>
            </w:r>
          </w:p>
        </w:tc>
      </w:tr>
    </w:tbl>
    <w:p>
      <w:pPr>
        <w:pStyle w:val="Normal"/>
        <w:numPr>
          <w:ilvl w:val="0"/>
          <w:numId w:val="0"/>
        </w:numPr>
        <w:tabs>
          <w:tab w:val="clear" w:pos="708"/>
          <w:tab w:val="left" w:pos="5812" w:leader="none"/>
        </w:tabs>
        <w:ind w:left="0" w:right="0" w:hanging="0"/>
        <w:jc w:val="center"/>
        <w:rPr/>
      </w:pPr>
      <w:r>
        <w:rPr>
          <w:i/>
          <w:sz w:val="24"/>
          <w:szCs w:val="24"/>
        </w:rPr>
        <w:t>На официальном бланке участника</w:t>
      </w:r>
    </w:p>
    <w:p>
      <w:pPr>
        <w:pStyle w:val="Normal"/>
        <w:numPr>
          <w:ilvl w:val="0"/>
          <w:numId w:val="0"/>
        </w:numPr>
        <w:suppressAutoHyphens w:val="true"/>
        <w:spacing w:before="0" w:after="240"/>
        <w:ind w:left="5038" w:hanging="0"/>
        <w:jc w:val="center"/>
        <w:rPr>
          <w:b/>
        </w:rPr>
      </w:pPr>
      <w:r>
        <w:rPr>
          <w:b/>
        </w:rPr>
      </w:r>
    </w:p>
    <w:p>
      <w:pPr>
        <w:pStyle w:val="Normal"/>
        <w:numPr>
          <w:ilvl w:val="0"/>
          <w:numId w:val="0"/>
        </w:numPr>
        <w:suppressAutoHyphens w:val="true"/>
        <w:spacing w:before="0" w:after="0"/>
        <w:ind w:left="0" w:right="0" w:hanging="0"/>
        <w:jc w:val="center"/>
        <w:rPr/>
      </w:pPr>
      <w:r>
        <w:rPr>
          <w:b/>
        </w:rPr>
        <w:t>Технико-коммерческое предложение</w:t>
      </w:r>
    </w:p>
    <w:p>
      <w:pPr>
        <w:pStyle w:val="Normal"/>
        <w:numPr>
          <w:ilvl w:val="0"/>
          <w:numId w:val="0"/>
        </w:numPr>
        <w:suppressAutoHyphens w:val="true"/>
        <w:spacing w:before="0" w:after="0"/>
        <w:ind w:left="0" w:right="0" w:hanging="0"/>
        <w:jc w:val="both"/>
        <w:rPr/>
      </w:pPr>
      <w:r>
        <w:rPr>
          <w:sz w:val="24"/>
          <w:szCs w:val="24"/>
        </w:rPr>
        <w:t>Изучив Технические требования Заказчика в рамках настоящего мониторинга</w:t>
      </w:r>
      <w:r>
        <w:rPr>
          <w:kern w:val="2"/>
          <w:sz w:val="24"/>
          <w:szCs w:val="24"/>
        </w:rPr>
        <w:t xml:space="preserve"> «</w:t>
      </w:r>
      <w:r>
        <w:rPr>
          <w:b w:val="false"/>
          <w:bCs w:val="false"/>
          <w:kern w:val="2"/>
          <w:sz w:val="26"/>
          <w:szCs w:val="26"/>
        </w:rPr>
        <w:t xml:space="preserve">ОКПД2 </w:t>
      </w:r>
      <w:r>
        <w:rPr>
          <w:b w:val="false"/>
          <w:bCs w:val="false"/>
          <w:color w:val="000000"/>
          <w:kern w:val="2"/>
          <w:sz w:val="26"/>
          <w:szCs w:val="26"/>
        </w:rPr>
        <w:t>71.11.22.000</w:t>
      </w:r>
      <w:r>
        <w:rPr>
          <w:b w:val="false"/>
          <w:bCs w:val="false"/>
          <w:i/>
          <w:iCs/>
          <w:color w:val="000000"/>
          <w:kern w:val="2"/>
          <w:sz w:val="26"/>
          <w:szCs w:val="26"/>
        </w:rPr>
        <w:t xml:space="preserve"> </w:t>
      </w:r>
      <w:r>
        <w:rPr>
          <w:b w:val="false"/>
          <w:bCs w:val="false"/>
          <w:kern w:val="2"/>
          <w:sz w:val="26"/>
          <w:szCs w:val="26"/>
        </w:rPr>
        <w:t>Разработка эскизного проекта «Промышленная база эксплуатации Богучанской ГЭС</w:t>
      </w:r>
      <w:r>
        <w:rPr>
          <w:rFonts w:eastAsia="Calibri"/>
          <w:b w:val="false"/>
          <w:bCs w:val="false"/>
          <w:kern w:val="2"/>
          <w:sz w:val="26"/>
          <w:szCs w:val="26"/>
        </w:rPr>
        <w:t>»</w:t>
      </w:r>
      <w:r>
        <w:rPr>
          <w:sz w:val="24"/>
          <w:szCs w:val="24"/>
        </w:rPr>
        <w:t xml:space="preserve">, </w:t>
      </w:r>
    </w:p>
    <w:p>
      <w:pPr>
        <w:pStyle w:val="Normal"/>
        <w:numPr>
          <w:ilvl w:val="0"/>
          <w:numId w:val="0"/>
        </w:numPr>
        <w:suppressAutoHyphens w:val="true"/>
        <w:ind w:left="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0"/>
        </w:numPr>
        <w:suppressAutoHyphens w:val="true"/>
        <w:ind w:left="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647"/>
        <w:gridCol w:w="273"/>
      </w:tblGrid>
      <w:tr>
        <w:trPr/>
        <w:tc>
          <w:tcPr>
            <w:tcW w:w="9647" w:type="dxa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right="0" w:hanging="0"/>
              <w:jc w:val="center"/>
              <w:rPr/>
            </w:pPr>
            <w:r>
              <w:rPr>
                <w:sz w:val="24"/>
                <w:szCs w:val="24"/>
                <w:vertAlign w:val="superscript"/>
              </w:rPr>
              <w:t>(полное наименование организации с указанием организационно-правой формы и ИНН)</w:t>
            </w:r>
          </w:p>
        </w:tc>
        <w:tc>
          <w:tcPr>
            <w:tcW w:w="273" w:type="dxa"/>
            <w:tcBorders/>
          </w:tcPr>
          <w:p>
            <w:pPr>
              <w:pStyle w:val="Normal"/>
              <w:widowControl w:val="false"/>
              <w:ind w:left="0" w:right="0" w:hanging="0"/>
              <w:rPr/>
            </w:pPr>
            <w:r>
              <w:rPr/>
            </w:r>
          </w:p>
        </w:tc>
      </w:tr>
      <w:tr>
        <w:trPr/>
        <w:tc>
          <w:tcPr>
            <w:tcW w:w="9647" w:type="dxa"/>
            <w:tcBorders>
              <w:bottom w:val="single" w:sz="6" w:space="0" w:color="000000"/>
            </w:tcBorders>
          </w:tcPr>
          <w:p>
            <w:pPr>
              <w:pStyle w:val="Normal"/>
              <w:widowControl w:val="false"/>
              <w:ind w:left="0" w:right="0" w:hanging="0"/>
              <w:jc w:val="both"/>
              <w:rPr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</w:r>
          </w:p>
        </w:tc>
        <w:tc>
          <w:tcPr>
            <w:tcW w:w="273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right="0" w:hanging="0"/>
              <w:jc w:val="both"/>
              <w:rPr/>
            </w:pPr>
            <w:r>
              <w:rPr>
                <w:sz w:val="24"/>
                <w:szCs w:val="24"/>
              </w:rPr>
              <w:t>,</w:t>
            </w:r>
          </w:p>
        </w:tc>
      </w:tr>
      <w:tr>
        <w:trPr/>
        <w:tc>
          <w:tcPr>
            <w:tcW w:w="9647" w:type="dxa"/>
            <w:tcBorders>
              <w:top w:val="single" w:sz="6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right="0" w:hanging="0"/>
              <w:jc w:val="center"/>
              <w:rPr/>
            </w:pPr>
            <w:r>
              <w:rPr>
                <w:sz w:val="24"/>
                <w:szCs w:val="24"/>
                <w:vertAlign w:val="superscript"/>
              </w:rPr>
              <w:t>(юридический адрес)</w:t>
            </w:r>
          </w:p>
        </w:tc>
        <w:tc>
          <w:tcPr>
            <w:tcW w:w="273" w:type="dxa"/>
            <w:tcBorders/>
          </w:tcPr>
          <w:p>
            <w:pPr>
              <w:pStyle w:val="Normal"/>
              <w:widowControl w:val="false"/>
              <w:ind w:left="0" w:right="0" w:hanging="0"/>
              <w:rPr/>
            </w:pPr>
            <w:r>
              <w:rPr/>
            </w:r>
          </w:p>
        </w:tc>
      </w:tr>
      <w:tr>
        <w:trPr/>
        <w:tc>
          <w:tcPr>
            <w:tcW w:w="9647" w:type="dxa"/>
            <w:tcBorders>
              <w:bottom w:val="single" w:sz="6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right="0" w:hanging="0"/>
              <w:jc w:val="both"/>
              <w:rPr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</w:r>
          </w:p>
        </w:tc>
        <w:tc>
          <w:tcPr>
            <w:tcW w:w="273" w:type="dxa"/>
            <w:tcBorders/>
          </w:tcPr>
          <w:p>
            <w:pPr>
              <w:pStyle w:val="Normal"/>
              <w:widowControl w:val="false"/>
              <w:ind w:left="0" w:right="0" w:hanging="0"/>
              <w:jc w:val="both"/>
              <w:rPr/>
            </w:pPr>
            <w:r>
              <w:rPr/>
              <w:t>,</w:t>
            </w:r>
          </w:p>
        </w:tc>
      </w:tr>
      <w:tr>
        <w:trPr/>
        <w:tc>
          <w:tcPr>
            <w:tcW w:w="9647" w:type="dxa"/>
            <w:tcBorders>
              <w:top w:val="single" w:sz="6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right="0" w:hanging="0"/>
              <w:jc w:val="center"/>
              <w:rPr/>
            </w:pPr>
            <w:r>
              <w:rPr>
                <w:sz w:val="24"/>
                <w:szCs w:val="24"/>
                <w:vertAlign w:val="superscript"/>
              </w:rPr>
              <w:t>(почтовый адрес)</w:t>
            </w:r>
          </w:p>
        </w:tc>
        <w:tc>
          <w:tcPr>
            <w:tcW w:w="273" w:type="dxa"/>
            <w:tcBorders/>
          </w:tcPr>
          <w:p>
            <w:pPr>
              <w:pStyle w:val="Normal"/>
              <w:widowControl w:val="false"/>
              <w:ind w:left="0" w:right="0" w:hanging="0"/>
              <w:rPr/>
            </w:pPr>
            <w:r>
              <w:rPr/>
            </w:r>
          </w:p>
        </w:tc>
      </w:tr>
      <w:tr>
        <w:trPr/>
        <w:tc>
          <w:tcPr>
            <w:tcW w:w="9647" w:type="dxa"/>
            <w:tcBorders>
              <w:bottom w:val="single" w:sz="6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right="0" w:hanging="0"/>
              <w:jc w:val="both"/>
              <w:rPr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</w:r>
          </w:p>
        </w:tc>
        <w:tc>
          <w:tcPr>
            <w:tcW w:w="273" w:type="dxa"/>
            <w:tcBorders/>
          </w:tcPr>
          <w:p>
            <w:pPr>
              <w:pStyle w:val="Normal"/>
              <w:widowControl w:val="false"/>
              <w:ind w:left="0" w:right="0" w:hanging="0"/>
              <w:jc w:val="both"/>
              <w:rPr/>
            </w:pPr>
            <w:r>
              <w:rPr/>
              <w:t>,</w:t>
            </w:r>
          </w:p>
        </w:tc>
      </w:tr>
    </w:tbl>
    <w:p>
      <w:pPr>
        <w:pStyle w:val="Normal"/>
        <w:numPr>
          <w:ilvl w:val="0"/>
          <w:numId w:val="0"/>
        </w:numPr>
        <w:ind w:left="0" w:right="0" w:hanging="0"/>
        <w:jc w:val="center"/>
        <w:rPr/>
      </w:pPr>
      <w:r>
        <w:rPr>
          <w:sz w:val="24"/>
          <w:szCs w:val="24"/>
          <w:vertAlign w:val="superscript"/>
        </w:rPr>
        <w:t>(контактные данные номер телефона, e-mail, ФИО контактного лица)</w:t>
      </w:r>
    </w:p>
    <w:p>
      <w:pPr>
        <w:pStyle w:val="Normal"/>
        <w:numPr>
          <w:ilvl w:val="0"/>
          <w:numId w:val="0"/>
        </w:numPr>
        <w:suppressAutoHyphens w:val="true"/>
        <w:ind w:left="0" w:right="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0"/>
        </w:numPr>
        <w:suppressAutoHyphens w:val="true"/>
        <w:ind w:left="0" w:right="0" w:hanging="0"/>
        <w:jc w:val="both"/>
        <w:rPr/>
      </w:pPr>
      <w:r>
        <w:rPr>
          <w:sz w:val="24"/>
          <w:szCs w:val="24"/>
        </w:rPr>
        <w:t xml:space="preserve">согласен </w:t>
      </w:r>
      <w:r>
        <w:rPr>
          <w:kern w:val="2"/>
          <w:sz w:val="24"/>
          <w:szCs w:val="24"/>
        </w:rPr>
        <w:t xml:space="preserve">со всеми условиями Технических требований, включая установленные (предложенные Заказчиком) сроки выполнения работ и условия оплаты, </w:t>
      </w:r>
      <w:r>
        <w:rPr>
          <w:sz w:val="24"/>
          <w:szCs w:val="24"/>
        </w:rPr>
        <w:t>и сообщаю следующее:</w:t>
      </w:r>
    </w:p>
    <w:p>
      <w:pPr>
        <w:pStyle w:val="Normal"/>
        <w:numPr>
          <w:ilvl w:val="0"/>
          <w:numId w:val="0"/>
        </w:numPr>
        <w:suppressAutoHyphens w:val="true"/>
        <w:ind w:left="0" w:hanging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Style w:val="af"/>
        <w:tblW w:w="986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681"/>
        <w:gridCol w:w="6184"/>
      </w:tblGrid>
      <w:tr>
        <w:trPr>
          <w:trHeight w:val="783" w:hRule="atLeast"/>
        </w:trPr>
        <w:tc>
          <w:tcPr>
            <w:tcW w:w="368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Стоимость работ, без НДС, руб.</w:t>
            </w:r>
          </w:p>
        </w:tc>
        <w:tc>
          <w:tcPr>
            <w:tcW w:w="6184" w:type="dxa"/>
            <w:tcBorders/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00 000 000,00 руб. (сумма прописью)</w:t>
            </w:r>
          </w:p>
        </w:tc>
      </w:tr>
    </w:tbl>
    <w:p>
      <w:pPr>
        <w:pStyle w:val="Normal"/>
        <w:numPr>
          <w:ilvl w:val="0"/>
          <w:numId w:val="0"/>
        </w:numPr>
        <w:suppressAutoHyphens w:val="true"/>
        <w:ind w:left="5038" w:hanging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numPr>
          <w:ilvl w:val="0"/>
          <w:numId w:val="0"/>
        </w:numPr>
        <w:suppressAutoHyphens w:val="true"/>
        <w:spacing w:before="240" w:after="240"/>
        <w:ind w:left="0" w:hanging="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0"/>
        </w:numPr>
        <w:suppressAutoHyphens w:val="true"/>
        <w:spacing w:before="0" w:after="0"/>
        <w:ind w:left="5038" w:hanging="0"/>
        <w:contextualSpacing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</w:r>
    </w:p>
    <w:tbl>
      <w:tblPr>
        <w:tblStyle w:val="af"/>
        <w:tblW w:w="9866" w:type="dxa"/>
        <w:jc w:val="left"/>
        <w:tblInd w:w="0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val="04a0" w:noHBand="0" w:noVBand="1" w:firstColumn="1" w:lastRow="0" w:lastColumn="0" w:firstRow="1"/>
      </w:tblPr>
      <w:tblGrid>
        <w:gridCol w:w="3290"/>
        <w:gridCol w:w="3277"/>
        <w:gridCol w:w="3299"/>
      </w:tblGrid>
      <w:tr>
        <w:trPr/>
        <w:tc>
          <w:tcPr>
            <w:tcW w:w="3290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spacing w:before="0" w:after="0"/>
              <w:ind w:left="720" w:hanging="0"/>
              <w:contextualSpacing/>
              <w:jc w:val="left"/>
              <w:rPr>
                <w:rFonts w:ascii="Times New Roman" w:hAnsi="Times New Roman" w:eastAsia="Calibri" w:cs="Times New Roman"/>
                <w:color w:val="666666" w:themeShade="bf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/>
                <w:color w:val="666666" w:themeShade="bf"/>
                <w:kern w:val="0"/>
                <w:sz w:val="20"/>
                <w:szCs w:val="20"/>
                <w:lang w:val="ru-RU" w:eastAsia="en-US" w:bidi="ar-SA"/>
              </w:rPr>
              <w:t>должность</w:t>
            </w:r>
          </w:p>
        </w:tc>
        <w:tc>
          <w:tcPr>
            <w:tcW w:w="3277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lineRule="auto" w:line="276" w:before="0" w:after="0"/>
              <w:ind w:left="170" w:right="0" w:hanging="0"/>
              <w:contextualSpacing/>
              <w:jc w:val="center"/>
              <w:rPr>
                <w:rFonts w:ascii="Times New Roman" w:hAnsi="Times New Roman" w:eastAsia="Calibri" w:cs="Times New Roman"/>
                <w:color w:val="666666" w:themeShade="bf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/>
                <w:color w:val="666666" w:themeShade="bf"/>
                <w:kern w:val="0"/>
                <w:sz w:val="20"/>
                <w:szCs w:val="20"/>
                <w:lang w:val="ru-RU" w:eastAsia="en-US" w:bidi="ar-SA"/>
              </w:rPr>
              <w:t>подпись, печать</w:t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hanging="0"/>
              <w:jc w:val="center"/>
              <w:rPr>
                <w:rFonts w:ascii="Times New Roman" w:hAnsi="Times New Roman" w:eastAsia="Calibri" w:cs="Times New Roman"/>
                <w:color w:val="666666" w:themeShade="bf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/>
                <w:color w:val="666666" w:themeShade="bf"/>
                <w:kern w:val="0"/>
                <w:sz w:val="20"/>
                <w:szCs w:val="20"/>
                <w:lang w:val="ru-RU" w:eastAsia="en-US" w:bidi="ar-SA"/>
              </w:rPr>
              <w:t>(расшифровка подписи)</w:t>
            </w:r>
          </w:p>
        </w:tc>
      </w:tr>
    </w:tbl>
    <w:p>
      <w:pPr>
        <w:pStyle w:val="Normal"/>
        <w:numPr>
          <w:ilvl w:val="0"/>
          <w:numId w:val="0"/>
        </w:numPr>
        <w:suppressAutoHyphens w:val="true"/>
        <w:spacing w:before="0" w:after="0"/>
        <w:ind w:left="720" w:hanging="0"/>
        <w:contextualSpacing/>
        <w:jc w:val="center"/>
        <w:rPr>
          <w:color w:val="BFBFBF" w:themeColor="background1" w:themeShade="bf"/>
          <w:kern w:val="2"/>
          <w:sz w:val="20"/>
          <w:szCs w:val="20"/>
        </w:rPr>
      </w:pPr>
      <w:r>
        <w:rPr>
          <w:color w:val="BFBFBF" w:themeColor="background1" w:themeShade="bf"/>
          <w:kern w:val="2"/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ind w:left="720"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921"/>
      </w:tblGrid>
      <w:tr>
        <w:trPr/>
        <w:tc>
          <w:tcPr>
            <w:tcW w:w="9921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bidi w:val="0"/>
              <w:spacing w:before="0" w:after="0"/>
              <w:ind w:left="-57" w:right="113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формы</w:t>
            </w:r>
          </w:p>
        </w:tc>
      </w:tr>
    </w:tbl>
    <w:p>
      <w:pPr>
        <w:pStyle w:val="Normal"/>
        <w:widowControl w:val="false"/>
        <w:numPr>
          <w:ilvl w:val="0"/>
        </w:numPr>
        <w:tabs>
          <w:tab w:val="clear" w:pos="708"/>
          <w:tab w:val="left" w:pos="426" w:leader="none"/>
        </w:tabs>
        <w:ind w:left="6160" w:hanging="0"/>
        <w:jc w:val="right"/>
        <w:rPr>
          <w:sz w:val="24"/>
        </w:rPr>
      </w:pPr>
      <w:r>
        <w:rPr>
          <w:sz w:val="24"/>
        </w:rPr>
      </w:r>
    </w:p>
    <w:p>
      <w:pPr>
        <w:pStyle w:val="Normal"/>
        <w:ind w:left="5038" w:right="0" w:hanging="1069"/>
        <w:jc w:val="right"/>
        <w:rPr/>
      </w:pPr>
      <w:r>
        <w:rPr/>
      </w:r>
    </w:p>
    <w:p>
      <w:pPr>
        <w:pStyle w:val="Normal"/>
        <w:ind w:left="5038" w:right="0" w:hanging="1069"/>
        <w:jc w:val="right"/>
        <w:rPr/>
      </w:pPr>
      <w:r>
        <w:rPr/>
      </w:r>
    </w:p>
    <w:p>
      <w:pPr>
        <w:pStyle w:val="Normal"/>
        <w:ind w:left="5038" w:right="0" w:hanging="1069"/>
        <w:jc w:val="right"/>
        <w:rPr/>
      </w:pPr>
      <w:r>
        <w:rPr/>
      </w:r>
    </w:p>
    <w:p>
      <w:pPr>
        <w:pStyle w:val="Normal"/>
        <w:ind w:left="5038" w:right="0" w:hanging="1069"/>
        <w:jc w:val="right"/>
        <w:rPr/>
      </w:pPr>
      <w:r>
        <w:rPr/>
      </w:r>
    </w:p>
    <w:p>
      <w:pPr>
        <w:pStyle w:val="Normal"/>
        <w:ind w:left="5038" w:right="0" w:hanging="1069"/>
        <w:jc w:val="righ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134" w:right="851" w:gutter="0" w:header="680" w:top="1134" w:footer="737" w:bottom="992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sz w:val="26"/>
          <w:szCs w:val="26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120"/>
        <w:jc w:val="right"/>
        <w:rPr>
          <w:b/>
          <w:bCs/>
        </w:rPr>
      </w:pPr>
      <w:r>
        <w:rPr>
          <w:b/>
          <w:bCs/>
          <w:sz w:val="24"/>
          <w:szCs w:val="24"/>
        </w:rPr>
        <w:t>Приложение №2 к ТТ</w:t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7724140" cy="5514975"/>
            <wp:effectExtent l="0" t="0" r="0" b="0"/>
            <wp:docPr id="1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14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right"/>
        <w:rPr>
          <w:b/>
          <w:bCs/>
        </w:rPr>
      </w:pPr>
      <w:r>
        <w:rPr>
          <w:b/>
          <w:bCs/>
          <w:sz w:val="24"/>
          <w:szCs w:val="24"/>
        </w:rPr>
        <w:t>Приложение №3 к ТТ</w:t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8851265" cy="5400675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26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3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4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5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6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7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8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9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10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11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12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13" name="Рисунок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14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15" name="Рисунок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16" name="Рисунок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17" name="Рисунок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18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19" name="Рисунок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6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9162415" cy="6479540"/>
            <wp:effectExtent l="0" t="0" r="0" b="0"/>
            <wp:docPr id="20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7" w:name="_Toc87373702_Копия_1"/>
      <w:bookmarkEnd w:id="67"/>
    </w:p>
    <w:sectPr>
      <w:headerReference w:type="default" r:id="rId35"/>
      <w:headerReference w:type="first" r:id="rId36"/>
      <w:footerReference w:type="default" r:id="rId37"/>
      <w:footerReference w:type="first" r:id="rId38"/>
      <w:type w:val="nextPage"/>
      <w:pgSz w:orient="landscape" w:w="16838" w:h="11906"/>
      <w:pgMar w:left="765" w:right="765" w:gutter="0" w:header="680" w:top="1304" w:footer="737" w:bottom="924"/>
      <w:pgNumType w:fmt="decimal"/>
      <w:formProt w:val="false"/>
      <w:titlePg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Symbol">
    <w:charset w:val="01"/>
    <w:family w:val="roman"/>
    <w:pitch w:val="variable"/>
  </w:font>
  <w:font w:name="Wingdings">
    <w:charset w:val="01"/>
    <w:family w:val="roman"/>
    <w:pitch w:val="variable"/>
  </w:font>
  <w:font w:name="Courier New">
    <w:charset w:val="01"/>
    <w:family w:val="roman"/>
    <w:pitch w:val="variable"/>
  </w:font>
  <w:font w:name="DejaVu San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 Unicode MS">
    <w:charset w:val="01"/>
    <w:family w:val="roman"/>
    <w:pitch w:val="variable"/>
  </w:font>
  <w:font w:name="Verdana">
    <w:charset w:val="01"/>
    <w:family w:val="roman"/>
    <w:pitch w:val="variable"/>
  </w:font>
  <w:font w:name="Garamond">
    <w:charset w:val="01"/>
    <w:family w:val="roman"/>
    <w:pitch w:val="variable"/>
  </w:font>
  <w:font w:name="Myriad Pro">
    <w:charset w:val="01"/>
    <w:family w:val="roman"/>
    <w:pitch w:val="variable"/>
  </w:font>
  <w:font w:name="Times New Roman">
    <w:charset w:val="01"/>
    <w:family w:val="roman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</w:r>
  </w:p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</w:r>
  </w:p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</w:r>
  </w:p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</w:r>
  </w:p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357"/>
        </w:tabs>
        <w:ind w:left="0" w:hanging="0"/>
      </w:pPr>
      <w:rPr/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hanging="0"/>
      </w:pPr>
      <w:rPr/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hanging="0"/>
      </w:pPr>
      <w:rPr/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hanging="0"/>
      </w:pPr>
      <w:rPr/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hanging="0"/>
      </w:pPr>
      <w:rPr/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hanging="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hanging="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hanging="0"/>
      </w:pPr>
      <w:rPr/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spacing w:val="0"/>
        <w:i w:val="false"/>
        <w:u w:val="none"/>
        <w:b/>
        <w:kern w:val="0"/>
        <w:effect w:val="none"/>
        <w:szCs w:val="28"/>
        <w:iCs w:val="false"/>
        <w:bCs w:val="false"/>
        <w:em w:val="none"/>
        <w:vanish w:val="false"/>
        <w:rFonts w:ascii="Times New Roman" w:hAnsi="Times New Roman" w:cs="Times New Roman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sz w:val="24"/>
        <w:i w:val="false"/>
        <w:b/>
        <w:szCs w:val="24"/>
        <w:iCs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  <w:rPr/>
    </w:lvl>
    <w:lvl w:ilvl="3">
      <w:start w:val="1"/>
      <w:numFmt w:val="russianLower"/>
      <w:lvlText w:val="(%4)"/>
      <w:lvlJc w:val="left"/>
      <w:pPr>
        <w:tabs>
          <w:tab w:val="num" w:pos="0"/>
        </w:tabs>
        <w:ind w:left="1985" w:hanging="567"/>
      </w:pPr>
      <w:rPr/>
    </w:lvl>
    <w:lvl w:ilvl="4">
      <w:start w:val="1"/>
      <w:numFmt w:val="bullet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1134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1701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1134" w:hanging="0"/>
      </w:pPr>
      <w:rPr/>
    </w:lvl>
  </w:abstractNum>
  <w:abstractNum w:abstractNumId="5">
    <w:lvl w:ilvl="0">
      <w:start w:val="1"/>
      <w:numFmt w:val="decimal"/>
      <w:lvlText w:val="1.%1"/>
      <w:lvlJc w:val="left"/>
      <w:pPr>
        <w:tabs>
          <w:tab w:val="num" w:pos="0"/>
        </w:tabs>
        <w:ind w:left="142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  <w:b/>
        <w:szCs w:val="22"/>
        <w:bCs w:val="fals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sz w:val="20"/>
        <w:b w:val="false"/>
        <w:szCs w:val="20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i/>
        <w:i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8">
    <w:lvl w:ilvl="0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695"/>
        </w:tabs>
        <w:ind w:left="1695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–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6"/>
        <w:b/>
        <w:szCs w:val="26"/>
        <w:bCs w:val="fals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sz w:val="26"/>
        <w:b w:val="false"/>
        <w:szCs w:val="26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6"/>
        <w:i w:val="false"/>
        <w:szCs w:val="26"/>
        <w:iCs w:val="fals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i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ru-RU" w:bidi="ar-SA"/>
    </w:rPr>
  </w:style>
  <w:style w:type="paragraph" w:styleId="Heading1">
    <w:name w:val="Heading 1"/>
    <w:basedOn w:val="Heading3"/>
    <w:next w:val="Normal"/>
    <w:link w:val="1"/>
    <w:qFormat/>
    <w:pPr>
      <w:outlineLvl w:val="0"/>
    </w:pPr>
    <w:rPr>
      <w:sz w:val="28"/>
      <w:szCs w:val="28"/>
    </w:rPr>
  </w:style>
  <w:style w:type="paragraph" w:styleId="Heading2">
    <w:name w:val="Heading 2"/>
    <w:basedOn w:val="Heading4"/>
    <w:next w:val="Normal"/>
    <w:link w:val="2"/>
    <w:qFormat/>
    <w:pPr>
      <w:outlineLvl w:val="1"/>
    </w:pPr>
    <w:rPr/>
  </w:style>
  <w:style w:type="paragraph" w:styleId="Heading3">
    <w:name w:val="Heading 3"/>
    <w:basedOn w:val="Normal"/>
    <w:next w:val="Normal"/>
    <w:link w:val="3"/>
    <w:autoRedefine/>
    <w:qFormat/>
    <w:pPr>
      <w:keepNext w:val="true"/>
      <w:tabs>
        <w:tab w:val="clear" w:pos="708"/>
        <w:tab w:val="left" w:pos="0" w:leader="none"/>
      </w:tabs>
      <w:spacing w:before="120" w:after="60"/>
      <w:ind w:left="1224" w:hanging="504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Heading4">
    <w:name w:val="Heading 4"/>
    <w:basedOn w:val="Heading3"/>
    <w:next w:val="Normal"/>
    <w:link w:val="4"/>
    <w:qFormat/>
    <w:pPr>
      <w:outlineLvl w:val="3"/>
    </w:pPr>
    <w:rPr>
      <w:bCs/>
    </w:rPr>
  </w:style>
  <w:style w:type="paragraph" w:styleId="Heading5">
    <w:name w:val="Heading 5"/>
    <w:basedOn w:val="Normal"/>
    <w:next w:val="Normal"/>
    <w:link w:val="5"/>
    <w:qFormat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6"/>
    <w:qFormat/>
    <w:pPr>
      <w:keepNext w:val="true"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7"/>
    <w:qFormat/>
    <w:pPr>
      <w:keepNext w:val="true"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8"/>
    <w:qFormat/>
    <w:pPr>
      <w:keepNext w:val="true"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9"/>
    <w:qFormat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" w:customStyle="1">
    <w:name w:val="Символ сноски"/>
    <w:uiPriority w:val="99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basedOn w:val="DefaultParagraphFont"/>
    <w:qFormat/>
    <w:rPr/>
  </w:style>
  <w:style w:type="character" w:styleId="Hyperlink">
    <w:name w:val="Hyperlink"/>
    <w:rPr>
      <w:color w:val="0000FF"/>
      <w:u w:val="single"/>
    </w:rPr>
  </w:style>
  <w:style w:type="character" w:styleId="Annotationreference">
    <w:name w:val="annotation reference"/>
    <w:qFormat/>
    <w:rPr>
      <w:sz w:val="16"/>
      <w:szCs w:val="16"/>
    </w:rPr>
  </w:style>
  <w:style w:type="character" w:styleId="Strong1" w:customStyle="1">
    <w:name w:val="Strong1"/>
    <w:qFormat/>
    <w:rPr>
      <w:b/>
      <w:bCs/>
    </w:rPr>
  </w:style>
  <w:style w:type="character" w:styleId="6" w:customStyle="1">
    <w:name w:val="Заголовок 6 Знак"/>
    <w:qFormat/>
    <w:rPr>
      <w:rFonts w:ascii="Cambria" w:hAnsi="Cambria"/>
      <w:i/>
      <w:iCs/>
      <w:color w:val="243F60"/>
      <w:lang w:val="x-none" w:eastAsia="x-none"/>
    </w:rPr>
  </w:style>
  <w:style w:type="character" w:styleId="7" w:customStyle="1">
    <w:name w:val="Заголовок 7 Знак"/>
    <w:qFormat/>
    <w:rPr>
      <w:rFonts w:ascii="Cambria" w:hAnsi="Cambria"/>
      <w:i/>
      <w:iCs/>
      <w:color w:val="404040"/>
      <w:lang w:val="x-none" w:eastAsia="x-none"/>
    </w:rPr>
  </w:style>
  <w:style w:type="character" w:styleId="8" w:customStyle="1">
    <w:name w:val="Заголовок 8 Знак"/>
    <w:qFormat/>
    <w:rPr>
      <w:rFonts w:ascii="Cambria" w:hAnsi="Cambria"/>
      <w:color w:val="4F81BD"/>
      <w:lang w:val="x-none" w:eastAsia="x-none"/>
    </w:rPr>
  </w:style>
  <w:style w:type="character" w:styleId="1" w:customStyle="1">
    <w:name w:val="Заголовок 1 Знак"/>
    <w:qFormat/>
    <w:rPr>
      <w:rFonts w:eastAsia="Calibri"/>
      <w:b/>
      <w:sz w:val="28"/>
      <w:szCs w:val="28"/>
      <w:lang w:val="x-none" w:eastAsia="x-none"/>
    </w:rPr>
  </w:style>
  <w:style w:type="character" w:styleId="2" w:customStyle="1">
    <w:name w:val="Заголовок 2 Знак"/>
    <w:qFormat/>
    <w:rPr>
      <w:rFonts w:eastAsia="Calibri"/>
      <w:b/>
      <w:bCs/>
      <w:sz w:val="24"/>
      <w:szCs w:val="24"/>
      <w:lang w:val="x-none" w:eastAsia="x-none"/>
    </w:rPr>
  </w:style>
  <w:style w:type="character" w:styleId="3" w:customStyle="1">
    <w:name w:val="Заголовок 3 Знак"/>
    <w:qFormat/>
    <w:rPr>
      <w:rFonts w:eastAsia="Calibri"/>
      <w:b/>
      <w:sz w:val="24"/>
      <w:szCs w:val="24"/>
      <w:lang w:val="x-none" w:eastAsia="x-none"/>
    </w:rPr>
  </w:style>
  <w:style w:type="character" w:styleId="4" w:customStyle="1">
    <w:name w:val="Заголовок 4 Знак"/>
    <w:qFormat/>
    <w:rPr>
      <w:rFonts w:eastAsia="Calibri"/>
      <w:b/>
      <w:bCs/>
      <w:sz w:val="24"/>
      <w:szCs w:val="24"/>
      <w:lang w:val="x-none" w:eastAsia="x-none"/>
    </w:rPr>
  </w:style>
  <w:style w:type="character" w:styleId="5" w:customStyle="1">
    <w:name w:val="Заголовок 5 Знак"/>
    <w:qFormat/>
    <w:rPr>
      <w:b/>
      <w:bCs/>
      <w:i/>
      <w:iCs/>
      <w:sz w:val="26"/>
      <w:szCs w:val="26"/>
    </w:rPr>
  </w:style>
  <w:style w:type="character" w:styleId="9" w:customStyle="1">
    <w:name w:val="Заголовок 9 Знак"/>
    <w:qFormat/>
    <w:rPr>
      <w:rFonts w:ascii="Arial" w:hAnsi="Arial" w:cs="Arial"/>
      <w:sz w:val="22"/>
      <w:szCs w:val="22"/>
    </w:rPr>
  </w:style>
  <w:style w:type="character" w:styleId="Style1" w:customStyle="1">
    <w:name w:val="Название Знак"/>
    <w:link w:val="116"/>
    <w:qFormat/>
    <w:rPr>
      <w:sz w:val="28"/>
    </w:rPr>
  </w:style>
  <w:style w:type="character" w:styleId="Style2" w:customStyle="1">
    <w:name w:val="Подзаголовок Знак"/>
    <w:qFormat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Emphasis">
    <w:name w:val="Emphasis"/>
    <w:qFormat/>
    <w:rPr>
      <w:i/>
      <w:iCs/>
    </w:rPr>
  </w:style>
  <w:style w:type="character" w:styleId="21" w:customStyle="1">
    <w:name w:val="Цитата 2 Знак"/>
    <w:link w:val="Quote"/>
    <w:qFormat/>
    <w:rPr>
      <w:rFonts w:ascii="Calibri" w:hAnsi="Calibri" w:eastAsia="Calibri"/>
      <w:i/>
      <w:iCs/>
      <w:color w:val="000000"/>
      <w:lang w:val="x-none" w:eastAsia="x-none"/>
    </w:rPr>
  </w:style>
  <w:style w:type="character" w:styleId="Style3" w:customStyle="1">
    <w:name w:val="Выделенная цитата Знак"/>
    <w:link w:val="IntenseQuote"/>
    <w:qFormat/>
    <w:rPr>
      <w:rFonts w:ascii="Calibri" w:hAnsi="Calibri" w:eastAsia="Calibri"/>
      <w:b/>
      <w:bCs/>
      <w:i/>
      <w:iCs/>
      <w:color w:val="4F81BD"/>
      <w:lang w:val="x-none" w:eastAsia="x-none"/>
    </w:rPr>
  </w:style>
  <w:style w:type="character" w:styleId="SubtleEmphasis">
    <w:name w:val="Subtle Emphasis"/>
    <w:qFormat/>
    <w:rPr>
      <w:i/>
      <w:iCs/>
      <w:color w:val="808080"/>
    </w:rPr>
  </w:style>
  <w:style w:type="character" w:styleId="IntenseEmphasis">
    <w:name w:val="Intense Emphasis"/>
    <w:qFormat/>
    <w:rPr>
      <w:b/>
      <w:bCs/>
      <w:i/>
      <w:iCs/>
      <w:color w:val="4F81BD"/>
    </w:rPr>
  </w:style>
  <w:style w:type="character" w:styleId="SubtleReference">
    <w:name w:val="Subtle Reference"/>
    <w:qFormat/>
    <w:rPr>
      <w:smallCaps/>
      <w:color w:val="C0504D"/>
      <w:u w:val="single"/>
    </w:rPr>
  </w:style>
  <w:style w:type="character" w:styleId="IntenseReference">
    <w:name w:val="Intense Reference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Pr>
      <w:b/>
      <w:bCs/>
      <w:smallCaps/>
      <w:spacing w:val="5"/>
    </w:rPr>
  </w:style>
  <w:style w:type="character" w:styleId="Style4" w:customStyle="1">
    <w:name w:val="Электронная подпись Знак"/>
    <w:link w:val="E-mailSignature"/>
    <w:qFormat/>
    <w:rPr>
      <w:rFonts w:eastAsia="Calibri"/>
      <w:sz w:val="24"/>
      <w:szCs w:val="24"/>
    </w:rPr>
  </w:style>
  <w:style w:type="character" w:styleId="11" w:customStyle="1">
    <w:name w:val="Подпункт Знак1"/>
    <w:link w:val="Style29"/>
    <w:qFormat/>
    <w:rPr>
      <w:sz w:val="28"/>
    </w:rPr>
  </w:style>
  <w:style w:type="character" w:styleId="Style5" w:customStyle="1">
    <w:name w:val="Текст сноски Знак"/>
    <w:qFormat/>
    <w:rPr/>
  </w:style>
  <w:style w:type="character" w:styleId="Style6" w:customStyle="1">
    <w:name w:val="Основной текст Знак"/>
    <w:qFormat/>
    <w:rPr>
      <w:sz w:val="28"/>
      <w:szCs w:val="28"/>
    </w:rPr>
  </w:style>
  <w:style w:type="character" w:styleId="Blk" w:customStyle="1">
    <w:name w:val="blk"/>
    <w:qFormat/>
    <w:rPr/>
  </w:style>
  <w:style w:type="character" w:styleId="Style7" w:customStyle="1">
    <w:name w:val="Абзац списка Знак"/>
    <w:link w:val="ListParagraph"/>
    <w:uiPriority w:val="34"/>
    <w:qFormat/>
    <w:rPr>
      <w:rFonts w:eastAsia="Calibri"/>
      <w:sz w:val="24"/>
      <w:szCs w:val="24"/>
    </w:rPr>
  </w:style>
  <w:style w:type="character" w:styleId="Style8" w:customStyle="1">
    <w:name w:val="комментарий"/>
    <w:qFormat/>
    <w:rPr>
      <w:b/>
      <w:i/>
      <w:shd w:fill="FFFF99" w:val="clear"/>
    </w:rPr>
  </w:style>
  <w:style w:type="character" w:styleId="Style9" w:customStyle="1">
    <w:name w:val="Подподпункт Знак"/>
    <w:link w:val="Style37"/>
    <w:qFormat/>
    <w:rPr>
      <w:sz w:val="26"/>
      <w:szCs w:val="26"/>
    </w:rPr>
  </w:style>
  <w:style w:type="character" w:styleId="31" w:customStyle="1">
    <w:name w:val="УРОВЕНЬ_Абзац_тип3 Знак"/>
    <w:link w:val="39"/>
    <w:qFormat/>
    <w:rPr>
      <w:rFonts w:eastAsia="Calibri"/>
      <w:sz w:val="26"/>
      <w:szCs w:val="28"/>
      <w:lang w:eastAsia="en-US"/>
    </w:rPr>
  </w:style>
  <w:style w:type="character" w:styleId="Style10" w:customStyle="1">
    <w:name w:val="Верхний колонтитул Знак"/>
    <w:qFormat/>
    <w:rPr>
      <w:sz w:val="24"/>
      <w:szCs w:val="24"/>
    </w:rPr>
  </w:style>
  <w:style w:type="character" w:styleId="Style11" w:customStyle="1">
    <w:name w:val="Текст примечания Знак"/>
    <w:link w:val="Annotationtext"/>
    <w:qFormat/>
    <w:rPr/>
  </w:style>
  <w:style w:type="character" w:styleId="Style12" w:customStyle="1">
    <w:name w:val="Текст концевой сноски Знак"/>
    <w:basedOn w:val="DefaultParagraphFont"/>
    <w:qFormat/>
    <w:rPr/>
  </w:style>
  <w:style w:type="character" w:styleId="Style13" w:customStyle="1">
    <w:name w:val="Символ концевой сноски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22" w:customStyle="1">
    <w:name w:val="Пункт2 Знак"/>
    <w:link w:val="28"/>
    <w:qFormat/>
    <w:rPr>
      <w:b/>
      <w:sz w:val="28"/>
    </w:rPr>
  </w:style>
  <w:style w:type="character" w:styleId="12" w:customStyle="1">
    <w:name w:val="УРОВЕНЬ_1. Знак"/>
    <w:qFormat/>
    <w:rPr>
      <w:rFonts w:eastAsia="Calibri"/>
      <w:caps/>
      <w:sz w:val="28"/>
      <w:szCs w:val="28"/>
      <w:lang w:eastAsia="en-US"/>
    </w:rPr>
  </w:style>
  <w:style w:type="character" w:styleId="13" w:customStyle="1">
    <w:name w:val="Неразрешенное упоминание1"/>
    <w:basedOn w:val="DefaultParagraphFont"/>
    <w:qFormat/>
    <w:rPr>
      <w:color w:val="605E5C"/>
      <w:shd w:fill="E1DFDD" w:val="clear"/>
    </w:rPr>
  </w:style>
  <w:style w:type="character" w:styleId="32" w:customStyle="1">
    <w:name w:val="Основной текст с отступом 3 Знак"/>
    <w:link w:val="BodyTextIndent3"/>
    <w:qFormat/>
    <w:rPr>
      <w:sz w:val="16"/>
      <w:szCs w:val="16"/>
    </w:rPr>
  </w:style>
  <w:style w:type="character" w:styleId="Style14" w:customStyle="1">
    <w:name w:val="Нижний колонтитул Знак"/>
    <w:qFormat/>
    <w:rPr>
      <w:sz w:val="28"/>
      <w:szCs w:val="28"/>
    </w:rPr>
  </w:style>
  <w:style w:type="character" w:styleId="111" w:customStyle="1">
    <w:name w:val="111 Знак"/>
    <w:link w:val="1111"/>
    <w:qFormat/>
    <w:rPr>
      <w:rFonts w:ascii="Arial" w:hAnsi="Arial"/>
      <w:iCs/>
      <w:sz w:val="22"/>
      <w:szCs w:val="32"/>
      <w:lang w:val="x-none" w:eastAsia="x-none"/>
    </w:rPr>
  </w:style>
  <w:style w:type="character" w:styleId="FollowedHyperlink">
    <w:name w:val="FollowedHyperlink"/>
    <w:rPr>
      <w:color w:val="800080"/>
      <w:u w:val="single"/>
    </w:rPr>
  </w:style>
  <w:style w:type="character" w:styleId="Style15" w:customStyle="1">
    <w:name w:val="Основной текст с отступом Знак"/>
    <w:qFormat/>
    <w:rPr>
      <w:sz w:val="24"/>
      <w:szCs w:val="24"/>
    </w:rPr>
  </w:style>
  <w:style w:type="character" w:styleId="33" w:customStyle="1">
    <w:name w:val="Основной текст 3 Знак"/>
    <w:link w:val="BodyText3"/>
    <w:qFormat/>
    <w:rPr>
      <w:sz w:val="16"/>
      <w:szCs w:val="16"/>
    </w:rPr>
  </w:style>
  <w:style w:type="character" w:styleId="Style16" w:customStyle="1">
    <w:name w:val="Схема документа Знак"/>
    <w:basedOn w:val="DefaultParagraphFont"/>
    <w:link w:val="DocumentMap"/>
    <w:qFormat/>
    <w:rPr>
      <w:rFonts w:ascii="Tahoma" w:hAnsi="Tahoma" w:cs="Tahoma"/>
      <w:sz w:val="16"/>
      <w:szCs w:val="16"/>
    </w:rPr>
  </w:style>
  <w:style w:type="character" w:styleId="Style17" w:customStyle="1">
    <w:name w:val="Тема примечания Знак"/>
    <w:link w:val="Annotationsubject"/>
    <w:qFormat/>
    <w:rPr>
      <w:b/>
      <w:bCs/>
    </w:rPr>
  </w:style>
  <w:style w:type="character" w:styleId="Style18" w:customStyle="1">
    <w:name w:val="Текст выноски Знак"/>
    <w:link w:val="BalloonText"/>
    <w:qFormat/>
    <w:rPr>
      <w:rFonts w:ascii="Tahoma" w:hAnsi="Tahoma" w:cs="Tahoma"/>
      <w:sz w:val="16"/>
      <w:szCs w:val="16"/>
    </w:rPr>
  </w:style>
  <w:style w:type="character" w:styleId="Style19" w:customStyle="1">
    <w:name w:val="Заголовок Знак"/>
    <w:basedOn w:val="DefaultParagraphFont"/>
    <w:qFormat/>
    <w:rPr>
      <w:rFonts w:ascii="Arial" w:hAnsi="Arial" w:eastAsia="DejaVu Sans" w:cs="Lohit Hindi"/>
      <w:sz w:val="28"/>
      <w:szCs w:val="28"/>
      <w:lang w:eastAsia="zh-CN"/>
    </w:rPr>
  </w:style>
  <w:style w:type="character" w:styleId="WW8Num2z0" w:customStyle="1">
    <w:name w:val="WW8Num2z0"/>
    <w:qFormat/>
    <w:rPr>
      <w:rFonts w:ascii="Times New Roman" w:hAnsi="Times New Roman" w:cs="Times New Roman"/>
    </w:rPr>
  </w:style>
  <w:style w:type="character" w:styleId="WW8Num4z0" w:customStyle="1">
    <w:name w:val="WW8Num4z0"/>
    <w:qFormat/>
    <w:rPr>
      <w:rFonts w:ascii="Symbol" w:hAnsi="Symbol" w:cs="Symbol"/>
    </w:rPr>
  </w:style>
  <w:style w:type="character" w:styleId="WW8Num7z0" w:customStyle="1">
    <w:name w:val="WW8Num7z0"/>
    <w:qFormat/>
    <w:rPr>
      <w:rFonts w:ascii="Wingdings" w:hAnsi="Wingdings" w:cs="Wingdings"/>
    </w:rPr>
  </w:style>
  <w:style w:type="character" w:styleId="WW8Num7z1" w:customStyle="1">
    <w:name w:val="WW8Num7z1"/>
    <w:qFormat/>
    <w:rPr>
      <w:rFonts w:ascii="Courier New" w:hAnsi="Courier New" w:cs="Courier New"/>
    </w:rPr>
  </w:style>
  <w:style w:type="character" w:styleId="WW8Num7z2" w:customStyle="1">
    <w:name w:val="WW8Num7z2"/>
    <w:qFormat/>
    <w:rPr>
      <w:rFonts w:ascii="Wingdings" w:hAnsi="Wingdings" w:cs="Wingdings"/>
    </w:rPr>
  </w:style>
  <w:style w:type="character" w:styleId="Absatz-Standardschriftart" w:customStyle="1">
    <w:name w:val="Absatz-Standardschriftart"/>
    <w:qFormat/>
    <w:rPr/>
  </w:style>
  <w:style w:type="character" w:styleId="WW8Num5z0" w:customStyle="1">
    <w:name w:val="WW8Num5z0"/>
    <w:qFormat/>
    <w:rPr>
      <w:rFonts w:ascii="Symbol" w:hAnsi="Symbol" w:cs="Symbol"/>
    </w:rPr>
  </w:style>
  <w:style w:type="character" w:styleId="WW8Num15z0" w:customStyle="1">
    <w:name w:val="WW8Num15z0"/>
    <w:qFormat/>
    <w:rPr>
      <w:rFonts w:ascii="Symbol" w:hAnsi="Symbol" w:cs="Symbol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8z0" w:customStyle="1">
    <w:name w:val="WW8Num18z0"/>
    <w:qFormat/>
    <w:rPr>
      <w:rFonts w:ascii="Wingdings" w:hAnsi="Wingdings" w:cs="Wingdings"/>
    </w:rPr>
  </w:style>
  <w:style w:type="character" w:styleId="WW8Num18z1" w:customStyle="1">
    <w:name w:val="WW8Num18z1"/>
    <w:qFormat/>
    <w:rPr>
      <w:rFonts w:ascii="Times New Roman" w:hAnsi="Times New Roman" w:cs="Times New Roman"/>
    </w:rPr>
  </w:style>
  <w:style w:type="character" w:styleId="WW8Num18z2" w:customStyle="1">
    <w:name w:val="WW8Num18z2"/>
    <w:qFormat/>
    <w:rPr>
      <w:rFonts w:ascii="Wingdings" w:hAnsi="Wingdings" w:cs="Wingdings"/>
    </w:rPr>
  </w:style>
  <w:style w:type="character" w:styleId="41" w:customStyle="1">
    <w:name w:val="Основной шрифт абзаца4"/>
    <w:qFormat/>
    <w:rPr/>
  </w:style>
  <w:style w:type="character" w:styleId="WW-Absatz-Standardschriftart" w:customStyle="1">
    <w:name w:val="WW-Absatz-Standardschriftart"/>
    <w:qFormat/>
    <w:rPr/>
  </w:style>
  <w:style w:type="character" w:styleId="34" w:customStyle="1">
    <w:name w:val="Основной шрифт абзаца3"/>
    <w:qFormat/>
    <w:rPr/>
  </w:style>
  <w:style w:type="character" w:styleId="WW-Absatz-Standardschriftart1" w:customStyle="1">
    <w:name w:val="WW-Absatz-Standardschriftart1"/>
    <w:qFormat/>
    <w:rPr/>
  </w:style>
  <w:style w:type="character" w:styleId="23" w:customStyle="1">
    <w:name w:val="Основной шрифт абзаца2"/>
    <w:qFormat/>
    <w:rPr/>
  </w:style>
  <w:style w:type="character" w:styleId="WW-Absatz-Standardschriftart11" w:customStyle="1">
    <w:name w:val="WW-Absatz-Standardschriftart11"/>
    <w:qFormat/>
    <w:rPr/>
  </w:style>
  <w:style w:type="character" w:styleId="WW-Absatz-Standardschriftart111" w:customStyle="1">
    <w:name w:val="WW-Absatz-Standardschriftart111"/>
    <w:qFormat/>
    <w:rPr/>
  </w:style>
  <w:style w:type="character" w:styleId="WW-Absatz-Standardschriftart1111" w:customStyle="1">
    <w:name w:val="WW-Absatz-Standardschriftart1111"/>
    <w:qFormat/>
    <w:rPr/>
  </w:style>
  <w:style w:type="character" w:styleId="WW-Absatz-Standardschriftart11111" w:customStyle="1">
    <w:name w:val="WW-Absatz-Standardschriftart11111"/>
    <w:qFormat/>
    <w:rPr/>
  </w:style>
  <w:style w:type="character" w:styleId="WW8Num6z0" w:customStyle="1">
    <w:name w:val="WW8Num6z0"/>
    <w:qFormat/>
    <w:rPr>
      <w:rFonts w:ascii="Symbol" w:hAnsi="Symbol" w:cs="Symbol"/>
    </w:rPr>
  </w:style>
  <w:style w:type="character" w:styleId="WW-Absatz-Standardschriftart111111" w:customStyle="1">
    <w:name w:val="WW-Absatz-Standardschriftart111111"/>
    <w:qFormat/>
    <w:rPr/>
  </w:style>
  <w:style w:type="character" w:styleId="WW8Num1z0" w:customStyle="1">
    <w:name w:val="WW8Num1z0"/>
    <w:qFormat/>
    <w:rPr>
      <w:rFonts w:ascii="Symbol" w:hAnsi="Symbol" w:cs="Symbol"/>
    </w:rPr>
  </w:style>
  <w:style w:type="character" w:styleId="WW8Num1z1" w:customStyle="1">
    <w:name w:val="WW8Num1z1"/>
    <w:qFormat/>
    <w:rPr>
      <w:rFonts w:ascii="Courier New" w:hAnsi="Courier New" w:cs="Courier New"/>
    </w:rPr>
  </w:style>
  <w:style w:type="character" w:styleId="WW8Num1z2" w:customStyle="1">
    <w:name w:val="WW8Num1z2"/>
    <w:qFormat/>
    <w:rPr>
      <w:rFonts w:ascii="Wingdings" w:hAnsi="Wingdings" w:cs="Wingdings"/>
    </w:rPr>
  </w:style>
  <w:style w:type="character" w:styleId="WW8Num3z0" w:customStyle="1">
    <w:name w:val="WW8Num3z0"/>
    <w:qFormat/>
    <w:rPr>
      <w:rFonts w:ascii="Wingdings" w:hAnsi="Wingdings" w:cs="Wingdings"/>
    </w:rPr>
  </w:style>
  <w:style w:type="character" w:styleId="WW8Num3z1" w:customStyle="1">
    <w:name w:val="WW8Num3z1"/>
    <w:qFormat/>
    <w:rPr>
      <w:rFonts w:ascii="Times New Roman" w:hAnsi="Times New Roman" w:cs="Times New Roman"/>
    </w:rPr>
  </w:style>
  <w:style w:type="character" w:styleId="WW8Num3z3" w:customStyle="1">
    <w:name w:val="WW8Num3z3"/>
    <w:qFormat/>
    <w:rPr>
      <w:rFonts w:ascii="Symbol" w:hAnsi="Symbol" w:cs="Symbol"/>
    </w:rPr>
  </w:style>
  <w:style w:type="character" w:styleId="WW8Num3z4" w:customStyle="1">
    <w:name w:val="WW8Num3z4"/>
    <w:qFormat/>
    <w:rPr>
      <w:rFonts w:ascii="Courier New" w:hAnsi="Courier New" w:cs="Courier New"/>
    </w:rPr>
  </w:style>
  <w:style w:type="character" w:styleId="WW8Num4z1" w:customStyle="1">
    <w:name w:val="WW8Num4z1"/>
    <w:qFormat/>
    <w:rPr>
      <w:rFonts w:ascii="Courier New" w:hAnsi="Courier New" w:cs="Courier New"/>
    </w:rPr>
  </w:style>
  <w:style w:type="character" w:styleId="WW8Num4z2" w:customStyle="1">
    <w:name w:val="WW8Num4z2"/>
    <w:qFormat/>
    <w:rPr>
      <w:rFonts w:ascii="Wingdings" w:hAnsi="Wingdings" w:cs="Wingdings"/>
    </w:rPr>
  </w:style>
  <w:style w:type="character" w:styleId="WW8Num5z1" w:customStyle="1">
    <w:name w:val="WW8Num5z1"/>
    <w:qFormat/>
    <w:rPr>
      <w:rFonts w:ascii="Courier New" w:hAnsi="Courier New" w:cs="Courier New"/>
    </w:rPr>
  </w:style>
  <w:style w:type="character" w:styleId="WW8Num5z2" w:customStyle="1">
    <w:name w:val="WW8Num5z2"/>
    <w:qFormat/>
    <w:rPr>
      <w:rFonts w:ascii="Wingdings" w:hAnsi="Wingdings" w:cs="Wingdings"/>
    </w:rPr>
  </w:style>
  <w:style w:type="character" w:styleId="WW8Num5z3" w:customStyle="1">
    <w:name w:val="WW8Num5z3"/>
    <w:qFormat/>
    <w:rPr>
      <w:rFonts w:ascii="Symbol" w:hAnsi="Symbol" w:cs="Symbol"/>
    </w:rPr>
  </w:style>
  <w:style w:type="character" w:styleId="WW8Num7z3" w:customStyle="1">
    <w:name w:val="WW8Num7z3"/>
    <w:qFormat/>
    <w:rPr>
      <w:rFonts w:ascii="Symbol" w:hAnsi="Symbol" w:cs="Symbol"/>
    </w:rPr>
  </w:style>
  <w:style w:type="character" w:styleId="WW8Num8z0" w:customStyle="1">
    <w:name w:val="WW8Num8z0"/>
    <w:qFormat/>
    <w:rPr>
      <w:rFonts w:ascii="Wingdings" w:hAnsi="Wingdings" w:cs="Wingdings"/>
    </w:rPr>
  </w:style>
  <w:style w:type="character" w:styleId="WW8Num8z1" w:customStyle="1">
    <w:name w:val="WW8Num8z1"/>
    <w:qFormat/>
    <w:rPr>
      <w:rFonts w:ascii="Times New Roman" w:hAnsi="Times New Roman" w:cs="Times New Roman"/>
    </w:rPr>
  </w:style>
  <w:style w:type="character" w:styleId="WW8Num8z3" w:customStyle="1">
    <w:name w:val="WW8Num8z3"/>
    <w:qFormat/>
    <w:rPr>
      <w:rFonts w:ascii="Symbol" w:hAnsi="Symbol" w:cs="Symbol"/>
    </w:rPr>
  </w:style>
  <w:style w:type="character" w:styleId="WW8Num8z4" w:customStyle="1">
    <w:name w:val="WW8Num8z4"/>
    <w:qFormat/>
    <w:rPr>
      <w:rFonts w:ascii="Courier New" w:hAnsi="Courier New" w:cs="Courier New"/>
    </w:rPr>
  </w:style>
  <w:style w:type="character" w:styleId="WW8Num9z0" w:customStyle="1">
    <w:name w:val="WW8Num9z0"/>
    <w:qFormat/>
    <w:rPr>
      <w:rFonts w:ascii="Wingdings" w:hAnsi="Wingdings" w:cs="Wingdings"/>
    </w:rPr>
  </w:style>
  <w:style w:type="character" w:styleId="WW8Num9z1" w:customStyle="1">
    <w:name w:val="WW8Num9z1"/>
    <w:qFormat/>
    <w:rPr>
      <w:rFonts w:ascii="Times New Roman" w:hAnsi="Times New Roman" w:cs="Times New Roman"/>
    </w:rPr>
  </w:style>
  <w:style w:type="character" w:styleId="WW8Num9z3" w:customStyle="1">
    <w:name w:val="WW8Num9z3"/>
    <w:qFormat/>
    <w:rPr>
      <w:rFonts w:ascii="Symbol" w:hAnsi="Symbol" w:cs="Symbol"/>
    </w:rPr>
  </w:style>
  <w:style w:type="character" w:styleId="WW8Num9z4" w:customStyle="1">
    <w:name w:val="WW8Num9z4"/>
    <w:qFormat/>
    <w:rPr>
      <w:rFonts w:ascii="Courier New" w:hAnsi="Courier New" w:cs="Courier New"/>
    </w:rPr>
  </w:style>
  <w:style w:type="character" w:styleId="WW8Num11z0" w:customStyle="1">
    <w:name w:val="WW8Num11z0"/>
    <w:qFormat/>
    <w:rPr>
      <w:rFonts w:ascii="Symbol" w:hAnsi="Symbol" w:cs="Symbol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2z0" w:customStyle="1">
    <w:name w:val="WW8Num12z0"/>
    <w:qFormat/>
    <w:rPr>
      <w:rFonts w:ascii="Times New Roman" w:hAnsi="Times New Roman" w:cs="Times New Roman"/>
    </w:rPr>
  </w:style>
  <w:style w:type="character" w:styleId="WW8Num12z1" w:customStyle="1">
    <w:name w:val="WW8Num12z1"/>
    <w:qFormat/>
    <w:rPr>
      <w:rFonts w:ascii="Symbol" w:hAnsi="Symbol" w:cs="Symbol"/>
    </w:rPr>
  </w:style>
  <w:style w:type="character" w:styleId="WW8Num14z1" w:customStyle="1">
    <w:name w:val="WW8Num14z1"/>
    <w:qFormat/>
    <w:rPr>
      <w:rFonts w:ascii="Courier New" w:hAnsi="Courier New" w:cs="Courier New"/>
    </w:rPr>
  </w:style>
  <w:style w:type="character" w:styleId="WW8Num14z2" w:customStyle="1">
    <w:name w:val="WW8Num14z2"/>
    <w:qFormat/>
    <w:rPr>
      <w:rFonts w:ascii="Wingdings" w:hAnsi="Wingdings" w:cs="Wingdings"/>
    </w:rPr>
  </w:style>
  <w:style w:type="character" w:styleId="WW8Num14z3" w:customStyle="1">
    <w:name w:val="WW8Num14z3"/>
    <w:qFormat/>
    <w:rPr>
      <w:rFonts w:ascii="Symbol" w:hAnsi="Symbol" w:cs="Symbol"/>
    </w:rPr>
  </w:style>
  <w:style w:type="character" w:styleId="WW8Num17z0" w:customStyle="1">
    <w:name w:val="WW8Num17z0"/>
    <w:qFormat/>
    <w:rPr>
      <w:rFonts w:ascii="Wingdings" w:hAnsi="Wingdings" w:cs="Wingdings"/>
    </w:rPr>
  </w:style>
  <w:style w:type="character" w:styleId="WW8Num17z2" w:customStyle="1">
    <w:name w:val="WW8Num17z2"/>
    <w:qFormat/>
    <w:rPr>
      <w:rFonts w:ascii="Times New Roman" w:hAnsi="Times New Roman" w:cs="Times New Roman"/>
    </w:rPr>
  </w:style>
  <w:style w:type="character" w:styleId="WW8Num18z3" w:customStyle="1">
    <w:name w:val="WW8Num18z3"/>
    <w:qFormat/>
    <w:rPr>
      <w:rFonts w:ascii="Symbol" w:hAnsi="Symbol" w:cs="Symbol"/>
    </w:rPr>
  </w:style>
  <w:style w:type="character" w:styleId="WW8Num18z4" w:customStyle="1">
    <w:name w:val="WW8Num18z4"/>
    <w:qFormat/>
    <w:rPr>
      <w:rFonts w:ascii="Courier New" w:hAnsi="Courier New" w:cs="Courier New"/>
    </w:rPr>
  </w:style>
  <w:style w:type="character" w:styleId="WW8Num20z1" w:customStyle="1">
    <w:name w:val="WW8Num20z1"/>
    <w:qFormat/>
    <w:rPr>
      <w:rFonts w:ascii="Courier New" w:hAnsi="Courier New" w:cs="Courier New"/>
    </w:rPr>
  </w:style>
  <w:style w:type="character" w:styleId="WW8Num20z2" w:customStyle="1">
    <w:name w:val="WW8Num20z2"/>
    <w:qFormat/>
    <w:rPr>
      <w:rFonts w:ascii="Wingdings" w:hAnsi="Wingdings" w:cs="Wingdings"/>
    </w:rPr>
  </w:style>
  <w:style w:type="character" w:styleId="WW8Num20z3" w:customStyle="1">
    <w:name w:val="WW8Num20z3"/>
    <w:qFormat/>
    <w:rPr>
      <w:rFonts w:ascii="Symbol" w:hAnsi="Symbol" w:cs="Symbol"/>
    </w:rPr>
  </w:style>
  <w:style w:type="character" w:styleId="14" w:customStyle="1">
    <w:name w:val="Основной шрифт абзаца1"/>
    <w:qFormat/>
    <w:rPr/>
  </w:style>
  <w:style w:type="character" w:styleId="Style20" w:customStyle="1">
    <w:name w:val="Символ нумерации"/>
    <w:qFormat/>
    <w:rPr/>
  </w:style>
  <w:style w:type="character" w:styleId="15" w:customStyle="1">
    <w:name w:val="Знак примечания1"/>
    <w:qFormat/>
    <w:rPr>
      <w:sz w:val="16"/>
      <w:szCs w:val="16"/>
    </w:rPr>
  </w:style>
  <w:style w:type="character" w:styleId="16" w:customStyle="1">
    <w:name w:val="Верхний колонтитул Знак1"/>
    <w:qFormat/>
    <w:rPr>
      <w:rFonts w:ascii="Times New Roman" w:hAnsi="Times New Roman" w:cs="Calibri"/>
      <w:sz w:val="28"/>
      <w:szCs w:val="28"/>
      <w:lang w:eastAsia="zh-CN"/>
    </w:rPr>
  </w:style>
  <w:style w:type="character" w:styleId="17" w:customStyle="1">
    <w:name w:val="Нижний колонтитул Знак1"/>
    <w:qFormat/>
    <w:rPr>
      <w:rFonts w:ascii="Times New Roman" w:hAnsi="Times New Roman" w:cs="Calibri"/>
      <w:sz w:val="28"/>
      <w:szCs w:val="28"/>
      <w:lang w:eastAsia="zh-CN"/>
    </w:rPr>
  </w:style>
  <w:style w:type="character" w:styleId="18" w:customStyle="1">
    <w:name w:val="Текст сноски Знак1"/>
    <w:qFormat/>
    <w:rPr>
      <w:rFonts w:ascii="Calibri" w:hAnsi="Calibri" w:cs="Calibri"/>
      <w:lang w:eastAsia="zh-CN"/>
    </w:rPr>
  </w:style>
  <w:style w:type="character" w:styleId="19" w:customStyle="1">
    <w:name w:val="Текст выноски Знак1"/>
    <w:qFormat/>
    <w:rPr>
      <w:rFonts w:ascii="Tahoma" w:hAnsi="Tahoma" w:eastAsia="Calibri" w:cs="Tahoma"/>
      <w:sz w:val="16"/>
      <w:szCs w:val="16"/>
      <w:lang w:eastAsia="zh-CN"/>
    </w:rPr>
  </w:style>
  <w:style w:type="character" w:styleId="110" w:customStyle="1">
    <w:name w:val="Текст примечания Знак1"/>
    <w:qFormat/>
    <w:rPr>
      <w:rFonts w:ascii="Times New Roman" w:hAnsi="Times New Roman" w:eastAsia="Times New Roman" w:cs="Times New Roman"/>
    </w:rPr>
  </w:style>
  <w:style w:type="character" w:styleId="112" w:customStyle="1">
    <w:name w:val="Тема примечания Знак1"/>
    <w:qFormat/>
    <w:rPr>
      <w:rFonts w:ascii="Times New Roman" w:hAnsi="Times New Roman" w:eastAsia="Times New Roman" w:cs="Calibri"/>
      <w:b/>
      <w:bCs/>
      <w:lang w:eastAsia="zh-CN"/>
    </w:rPr>
  </w:style>
  <w:style w:type="character" w:styleId="Apple-style-span" w:customStyle="1">
    <w:name w:val="apple-style-span"/>
    <w:qFormat/>
    <w:rPr/>
  </w:style>
  <w:style w:type="character" w:styleId="Apple-converted-space" w:customStyle="1">
    <w:name w:val="apple-converted-space"/>
    <w:qFormat/>
    <w:rPr/>
  </w:style>
  <w:style w:type="character" w:styleId="Ecattext" w:customStyle="1">
    <w:name w:val="ecattext"/>
    <w:qFormat/>
    <w:rPr/>
  </w:style>
  <w:style w:type="character" w:styleId="Linenumber1" w:customStyle="1">
    <w:name w:val="line number1"/>
    <w:qFormat/>
    <w:rPr/>
  </w:style>
  <w:style w:type="character" w:styleId="24" w:customStyle="1">
    <w:name w:val="Стиль2 Знак"/>
    <w:qFormat/>
    <w:rPr>
      <w:sz w:val="24"/>
      <w:szCs w:val="24"/>
    </w:rPr>
  </w:style>
  <w:style w:type="character" w:styleId="25" w:customStyle="1">
    <w:name w:val="Основной текст с отступом 2 Знак"/>
    <w:link w:val="BodyTextIndent2"/>
    <w:qFormat/>
    <w:rPr>
      <w:sz w:val="28"/>
      <w:szCs w:val="28"/>
    </w:rPr>
  </w:style>
  <w:style w:type="character" w:styleId="26" w:customStyle="1">
    <w:name w:val="Основной текст 2 Знак"/>
    <w:link w:val="BodyText2"/>
    <w:qFormat/>
    <w:rPr>
      <w:sz w:val="28"/>
      <w:szCs w:val="28"/>
    </w:rPr>
  </w:style>
  <w:style w:type="character" w:styleId="HTML" w:customStyle="1">
    <w:name w:val="Стандартный HTML Знак"/>
    <w:basedOn w:val="DefaultParagraphFont"/>
    <w:link w:val="HTMLPreformatted"/>
    <w:qFormat/>
    <w:rPr>
      <w:rFonts w:ascii="Courier New" w:hAnsi="Courier New" w:cs="Courier New"/>
      <w:lang w:bidi="th-TH"/>
    </w:rPr>
  </w:style>
  <w:style w:type="character" w:styleId="35" w:customStyle="1">
    <w:name w:val="Стиль3 Знак"/>
    <w:link w:val="314"/>
    <w:qFormat/>
    <w:rPr>
      <w:sz w:val="24"/>
      <w:szCs w:val="24"/>
    </w:rPr>
  </w:style>
  <w:style w:type="character" w:styleId="51" w:customStyle="1">
    <w:name w:val="Стиль5 Знак"/>
    <w:link w:val="52"/>
    <w:qFormat/>
    <w:rPr>
      <w:sz w:val="28"/>
      <w:szCs w:val="28"/>
    </w:rPr>
  </w:style>
  <w:style w:type="character" w:styleId="81" w:customStyle="1">
    <w:name w:val="Стиль8 Знак"/>
    <w:link w:val="82"/>
    <w:qFormat/>
    <w:rPr>
      <w:sz w:val="24"/>
      <w:szCs w:val="22"/>
    </w:rPr>
  </w:style>
  <w:style w:type="character" w:styleId="Style21" w:customStyle="1">
    <w:name w:val="Обычный список маркированный Знак"/>
    <w:link w:val="Style49"/>
    <w:qFormat/>
    <w:rPr>
      <w:rFonts w:ascii="Arial" w:hAnsi="Arial"/>
      <w:sz w:val="28"/>
      <w:szCs w:val="22"/>
      <w:lang w:val="x-none" w:eastAsia="en-US"/>
    </w:rPr>
  </w:style>
  <w:style w:type="character" w:styleId="42" w:customStyle="1">
    <w:name w:val="Стиль4 Знак"/>
    <w:link w:val="44"/>
    <w:qFormat/>
    <w:rPr>
      <w:b/>
      <w:sz w:val="24"/>
      <w:szCs w:val="24"/>
    </w:rPr>
  </w:style>
  <w:style w:type="character" w:styleId="61" w:customStyle="1">
    <w:name w:val="Стиль6 Знак"/>
    <w:link w:val="62"/>
    <w:qFormat/>
    <w:rPr/>
  </w:style>
  <w:style w:type="character" w:styleId="71" w:customStyle="1">
    <w:name w:val="Стиль7 Знак"/>
    <w:link w:val="72"/>
    <w:qFormat/>
    <w:rPr>
      <w:sz w:val="24"/>
      <w:szCs w:val="28"/>
    </w:rPr>
  </w:style>
  <w:style w:type="character" w:styleId="113" w:customStyle="1">
    <w:name w:val="Стиль1 Знак"/>
    <w:qFormat/>
    <w:rPr>
      <w:rFonts w:ascii="DejaVu Sans" w:hAnsi="DejaVu Sans" w:eastAsia="DejaVu Sans" w:cs="Lohit Hindi"/>
      <w:b/>
      <w:bCs/>
      <w:sz w:val="24"/>
      <w:szCs w:val="24"/>
      <w:lang w:eastAsia="zh-CN"/>
    </w:rPr>
  </w:style>
  <w:style w:type="character" w:styleId="FontStyle17" w:customStyle="1">
    <w:name w:val="Font Style17"/>
    <w:qFormat/>
    <w:rPr>
      <w:rFonts w:ascii="Times New Roman" w:hAnsi="Times New Roman" w:cs="Times New Roman"/>
      <w:sz w:val="20"/>
      <w:szCs w:val="20"/>
    </w:rPr>
  </w:style>
  <w:style w:type="character" w:styleId="131" w:customStyle="1">
    <w:name w:val="Знак Знак13"/>
    <w:qFormat/>
    <w:rPr>
      <w:b/>
      <w:bCs/>
      <w:sz w:val="28"/>
    </w:rPr>
  </w:style>
  <w:style w:type="character" w:styleId="B-serp-itemtextpassage1" w:customStyle="1">
    <w:name w:val="b-serp-item__text_passage1"/>
    <w:qFormat/>
    <w:rPr>
      <w:b/>
      <w:bCs/>
      <w:color w:val="888888"/>
    </w:rPr>
  </w:style>
  <w:style w:type="character" w:styleId="ConsPlusNormal" w:customStyle="1">
    <w:name w:val="ConsPlusNormal Знак"/>
    <w:link w:val="ConsPlusNormal1"/>
    <w:qFormat/>
    <w:rPr>
      <w:rFonts w:ascii="Arial" w:hAnsi="Arial" w:cs="Arial"/>
    </w:rPr>
  </w:style>
  <w:style w:type="character" w:styleId="Style22" w:customStyle="1">
    <w:name w:val="Ссылка указателя"/>
    <w:qFormat/>
    <w:rPr/>
  </w:style>
  <w:style w:type="character" w:styleId="Linenumber2" w:customStyle="1">
    <w:name w:val="line number2"/>
    <w:qFormat/>
    <w:rPr/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114" w:customStyle="1">
    <w:name w:val="Основной текст Знак1"/>
    <w:qFormat/>
    <w:rPr>
      <w:rFonts w:ascii="Times New Roman" w:hAnsi="Times New Roman" w:cs="Times New Roman"/>
      <w:sz w:val="28"/>
    </w:rPr>
  </w:style>
  <w:style w:type="character" w:styleId="WW8Num10z0" w:customStyle="1">
    <w:name w:val="WW8Num10z0"/>
    <w:qFormat/>
    <w:rPr>
      <w:rFonts w:ascii="Symbol" w:hAnsi="Symbol" w:cs="Symbol"/>
      <w:sz w:val="24"/>
      <w:szCs w:val="24"/>
    </w:rPr>
  </w:style>
  <w:style w:type="character" w:styleId="Linenumber">
    <w:name w:val="line number"/>
    <w:qFormat/>
    <w:rPr/>
  </w:style>
  <w:style w:type="character" w:styleId="Strong">
    <w:name w:val="Strong"/>
    <w:qFormat/>
    <w:rPr>
      <w:b/>
      <w:bCs/>
    </w:rPr>
  </w:style>
  <w:style w:type="paragraph" w:styleId="Style2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"/>
    <w:link w:val="Style6"/>
    <w:pPr>
      <w:spacing w:before="0" w:after="120"/>
    </w:pPr>
    <w:rPr/>
  </w:style>
  <w:style w:type="paragraph" w:styleId="List">
    <w:name w:val="List"/>
    <w:basedOn w:val="BodyText"/>
    <w:pPr>
      <w:spacing w:lineRule="auto" w:line="276"/>
      <w:ind w:firstLine="709"/>
      <w:jc w:val="both"/>
    </w:pPr>
    <w:rPr>
      <w:rFonts w:eastAsia="Calibri" w:cs="Lohit Hindi"/>
      <w:lang w:eastAsia="zh-CN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Normal"/>
    <w:next w:val="BodyText"/>
    <w:link w:val="Style19"/>
    <w:qFormat/>
    <w:pPr>
      <w:keepNext w:val="true"/>
      <w:spacing w:lineRule="auto" w:line="276" w:before="240" w:after="120"/>
      <w:ind w:firstLine="709"/>
      <w:jc w:val="both"/>
    </w:pPr>
    <w:rPr>
      <w:rFonts w:ascii="Arial" w:hAnsi="Arial" w:eastAsia="DejaVu Sans" w:cs="Lohit Hindi"/>
      <w:lang w:eastAsia="zh-CN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heading1">
    <w:name w:val="index heading1"/>
    <w:basedOn w:val="Title"/>
    <w:qFormat/>
    <w:pPr/>
    <w:rPr/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heading11" w:customStyle="1">
    <w:name w:val="index heading11"/>
    <w:basedOn w:val="Title"/>
    <w:qFormat/>
    <w:pPr/>
    <w:rPr/>
  </w:style>
  <w:style w:type="paragraph" w:styleId="Caption111" w:customStyle="1">
    <w:name w:val="caption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" w:customStyle="1">
    <w:name w:val="index heading111"/>
    <w:basedOn w:val="Title"/>
    <w:qFormat/>
    <w:pPr/>
    <w:rPr/>
  </w:style>
  <w:style w:type="paragraph" w:styleId="Caption1111" w:customStyle="1">
    <w:name w:val="caption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" w:customStyle="1">
    <w:name w:val="index heading1111"/>
    <w:basedOn w:val="Title"/>
    <w:qFormat/>
    <w:pPr/>
    <w:rPr/>
  </w:style>
  <w:style w:type="paragraph" w:styleId="Style25" w:customStyle="1">
    <w:name w:val="Название раздела инструкции"/>
    <w:basedOn w:val="Normal"/>
    <w:autoRedefine/>
    <w:qFormat/>
    <w:pPr>
      <w:jc w:val="center"/>
    </w:pPr>
    <w:rPr>
      <w:b/>
    </w:rPr>
  </w:style>
  <w:style w:type="paragraph" w:styleId="Style26" w:customStyle="1">
    <w:name w:val="Раздел положения"/>
    <w:basedOn w:val="Normal"/>
    <w:autoRedefine/>
    <w:qFormat/>
    <w:pPr>
      <w:numPr>
        <w:ilvl w:val="0"/>
        <w:numId w:val="1"/>
      </w:numPr>
      <w:spacing w:before="80" w:after="80"/>
      <w:jc w:val="center"/>
    </w:pPr>
    <w:rPr>
      <w:b/>
      <w:sz w:val="32"/>
      <w:szCs w:val="32"/>
    </w:rPr>
  </w:style>
  <w:style w:type="paragraph" w:styleId="Style27" w:customStyle="1">
    <w:name w:val="Подраздел раздела положения"/>
    <w:basedOn w:val="Normal"/>
    <w:autoRedefine/>
    <w:qFormat/>
    <w:pPr>
      <w:numPr>
        <w:ilvl w:val="1"/>
        <w:numId w:val="1"/>
      </w:numPr>
      <w:spacing w:before="80" w:after="80"/>
      <w:jc w:val="both"/>
    </w:pPr>
    <w:rPr/>
  </w:style>
  <w:style w:type="paragraph" w:styleId="FootnoteText">
    <w:name w:val="Footnote Text"/>
    <w:basedOn w:val="Normal"/>
    <w:link w:val="Style5"/>
    <w:pPr/>
    <w:rPr>
      <w:sz w:val="20"/>
      <w:szCs w:val="20"/>
    </w:rPr>
  </w:style>
  <w:style w:type="paragraph" w:styleId="115" w:customStyle="1">
    <w:name w:val="Шапка 1"/>
    <w:basedOn w:val="Normal"/>
    <w:qFormat/>
    <w:pPr>
      <w:pBdr>
        <w:bottom w:val="thickThinSmallGap" w:sz="24" w:space="1" w:color="000000"/>
      </w:pBdr>
      <w:spacing w:before="0" w:after="240"/>
      <w:jc w:val="center"/>
    </w:pPr>
    <w:rPr>
      <w:sz w:val="22"/>
      <w:szCs w:val="22"/>
    </w:rPr>
  </w:style>
  <w:style w:type="paragraph" w:styleId="27" w:customStyle="1">
    <w:name w:val="Шапка 2"/>
    <w:basedOn w:val="Normal"/>
    <w:qFormat/>
    <w:pPr>
      <w:pBdr>
        <w:bottom w:val="thickThinSmallGap" w:sz="24" w:space="1" w:color="000000"/>
      </w:pBdr>
      <w:spacing w:before="0" w:after="120"/>
      <w:jc w:val="center"/>
    </w:pPr>
    <w:rPr>
      <w:b/>
      <w:sz w:val="22"/>
      <w:szCs w:val="22"/>
    </w:rPr>
  </w:style>
  <w:style w:type="paragraph" w:styleId="36" w:customStyle="1">
    <w:name w:val="Шапка 3"/>
    <w:basedOn w:val="Normal"/>
    <w:qFormat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styleId="116" w:customStyle="1">
    <w:name w:val="Название1"/>
    <w:basedOn w:val="Normal"/>
    <w:link w:val="Style1"/>
    <w:qFormat/>
    <w:pPr>
      <w:jc w:val="center"/>
    </w:pPr>
    <w:rPr>
      <w:szCs w:val="20"/>
      <w:lang w:val="x-none" w:eastAsia="x-none"/>
    </w:rPr>
  </w:style>
  <w:style w:type="paragraph" w:styleId="Style28" w:customStyle="1">
    <w:name w:val="Колонтитул"/>
    <w:basedOn w:val="Normal"/>
    <w:qFormat/>
    <w:pPr/>
    <w:rPr/>
  </w:style>
  <w:style w:type="paragraph" w:styleId="Header">
    <w:name w:val="Header"/>
    <w:basedOn w:val="Normal"/>
    <w:link w:val="Style10"/>
    <w:pPr>
      <w:tabs>
        <w:tab w:val="clear" w:pos="708"/>
        <w:tab w:val="center" w:pos="4677" w:leader="none"/>
        <w:tab w:val="right" w:pos="9355" w:leader="none"/>
      </w:tabs>
    </w:pPr>
    <w:rPr>
      <w:sz w:val="24"/>
      <w:szCs w:val="24"/>
    </w:rPr>
  </w:style>
  <w:style w:type="paragraph" w:styleId="BodyTextIndent">
    <w:name w:val="Body Text Indent"/>
    <w:basedOn w:val="Normal"/>
    <w:link w:val="Style15"/>
    <w:pPr>
      <w:ind w:left="360" w:hanging="0"/>
    </w:pPr>
    <w:rPr>
      <w:sz w:val="24"/>
      <w:szCs w:val="24"/>
    </w:rPr>
  </w:style>
  <w:style w:type="paragraph" w:styleId="Footer">
    <w:name w:val="Footer"/>
    <w:basedOn w:val="Normal"/>
    <w:link w:val="Style14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odyTextIndent2">
    <w:name w:val="Body Text Indent 2"/>
    <w:basedOn w:val="Normal"/>
    <w:link w:val="25"/>
    <w:qFormat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link w:val="33"/>
    <w:qFormat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link w:val="32"/>
    <w:qFormat/>
    <w:pPr>
      <w:spacing w:before="0" w:after="120"/>
      <w:ind w:left="283" w:hanging="0"/>
    </w:pPr>
    <w:rPr>
      <w:sz w:val="16"/>
      <w:szCs w:val="16"/>
    </w:rPr>
  </w:style>
  <w:style w:type="paragraph" w:styleId="BodyText2">
    <w:name w:val="Body Text 2"/>
    <w:basedOn w:val="Normal"/>
    <w:link w:val="26"/>
    <w:qFormat/>
    <w:pPr>
      <w:spacing w:lineRule="auto" w:line="480" w:before="0" w:after="120"/>
    </w:pPr>
    <w:rPr/>
  </w:style>
  <w:style w:type="paragraph" w:styleId="BlockText">
    <w:name w:val="Block Text"/>
    <w:basedOn w:val="Normal"/>
    <w:qFormat/>
    <w:pPr>
      <w:ind w:left="-567" w:right="-766" w:hanging="0"/>
      <w:jc w:val="center"/>
    </w:pPr>
    <w:rPr>
      <w:b/>
      <w:bCs/>
      <w:sz w:val="24"/>
      <w:szCs w:val="20"/>
    </w:rPr>
  </w:style>
  <w:style w:type="paragraph" w:styleId="Style29" w:customStyle="1">
    <w:name w:val="Подпункт"/>
    <w:basedOn w:val="Normal"/>
    <w:link w:val="11"/>
    <w:qFormat/>
    <w:pPr>
      <w:tabs>
        <w:tab w:val="clear" w:pos="708"/>
        <w:tab w:val="left" w:pos="1134" w:leader="none"/>
      </w:tabs>
      <w:snapToGrid w:val="false"/>
      <w:spacing w:lineRule="auto" w:line="360"/>
      <w:ind w:left="1134" w:hanging="1134"/>
      <w:jc w:val="both"/>
    </w:pPr>
    <w:rPr>
      <w:szCs w:val="20"/>
      <w:lang w:val="x-none" w:eastAsia="x-none"/>
    </w:rPr>
  </w:style>
  <w:style w:type="paragraph" w:styleId="28" w:customStyle="1">
    <w:name w:val="Пункт2"/>
    <w:basedOn w:val="Normal"/>
    <w:link w:val="22"/>
    <w:qFormat/>
    <w:pPr>
      <w:keepNext w:val="true"/>
      <w:tabs>
        <w:tab w:val="clear" w:pos="708"/>
        <w:tab w:val="left" w:pos="1134" w:leader="none"/>
      </w:tabs>
      <w:snapToGrid w:val="false"/>
      <w:spacing w:before="240" w:after="120"/>
      <w:ind w:left="1134" w:hanging="1134"/>
      <w:outlineLvl w:val="2"/>
    </w:pPr>
    <w:rPr>
      <w:b/>
      <w:szCs w:val="20"/>
    </w:rPr>
  </w:style>
  <w:style w:type="paragraph" w:styleId="TOC1">
    <w:name w:val="TOC 1"/>
    <w:basedOn w:val="Normal"/>
    <w:next w:val="Normal"/>
    <w:autoRedefine/>
    <w:pPr>
      <w:tabs>
        <w:tab w:val="clear" w:pos="708"/>
        <w:tab w:val="left" w:pos="567" w:leader="none"/>
        <w:tab w:val="right" w:pos="9911" w:leader="dot"/>
      </w:tabs>
      <w:spacing w:before="120" w:after="0"/>
    </w:pPr>
    <w:rPr>
      <w:rFonts w:cs="Calibri Light (Заголовки)"/>
      <w:b/>
      <w:bCs/>
      <w:sz w:val="24"/>
      <w:szCs w:val="24"/>
    </w:rPr>
  </w:style>
  <w:style w:type="paragraph" w:styleId="TOC3">
    <w:name w:val="TOC 3"/>
    <w:basedOn w:val="Normal"/>
    <w:next w:val="Normal"/>
    <w:autoRedefine/>
    <w:pPr>
      <w:tabs>
        <w:tab w:val="clear" w:pos="708"/>
        <w:tab w:val="left" w:pos="1120" w:leader="none"/>
        <w:tab w:val="right" w:pos="9911" w:leader="dot"/>
      </w:tabs>
      <w:ind w:left="567" w:hanging="0"/>
    </w:pPr>
    <w:rPr>
      <w:rFonts w:cs="Calibri"/>
      <w:sz w:val="20"/>
      <w:szCs w:val="20"/>
    </w:rPr>
  </w:style>
  <w:style w:type="paragraph" w:styleId="Style30" w:customStyle="1">
    <w:name w:val="Раздел регламента"/>
    <w:basedOn w:val="Normal"/>
    <w:qFormat/>
    <w:pPr/>
    <w:rPr/>
  </w:style>
  <w:style w:type="paragraph" w:styleId="Style31" w:customStyle="1">
    <w:name w:val="Приложение к регламенту"/>
    <w:basedOn w:val="Normal"/>
    <w:qFormat/>
    <w:pPr>
      <w:jc w:val="right"/>
    </w:pPr>
    <w:rPr/>
  </w:style>
  <w:style w:type="paragraph" w:styleId="TOC2">
    <w:name w:val="TOC 2"/>
    <w:basedOn w:val="Normal"/>
    <w:next w:val="Normal"/>
    <w:autoRedefine/>
    <w:pPr>
      <w:tabs>
        <w:tab w:val="clear" w:pos="708"/>
        <w:tab w:val="right" w:pos="9911" w:leader="dot"/>
      </w:tabs>
      <w:spacing w:before="240" w:after="0"/>
    </w:pPr>
    <w:rPr>
      <w:rFonts w:cs="Calibri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Style18"/>
    <w:qFormat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Style11"/>
    <w:qFormat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tyle17"/>
    <w:qFormat/>
    <w:pPr/>
    <w:rPr>
      <w:b/>
      <w:bCs/>
    </w:rPr>
  </w:style>
  <w:style w:type="paragraph" w:styleId="117" w:customStyle="1">
    <w:name w:val="Обычный (веб)1"/>
    <w:basedOn w:val="Normal"/>
    <w:qFormat/>
    <w:pPr>
      <w:spacing w:before="280" w:after="280"/>
    </w:pPr>
    <w:rPr>
      <w:rFonts w:ascii="Arial Unicode MS" w:hAnsi="Arial Unicode MS" w:eastAsia="Arial Unicode MS" w:cs="Arial Unicode MS"/>
      <w:sz w:val="24"/>
      <w:szCs w:val="24"/>
    </w:rPr>
  </w:style>
  <w:style w:type="paragraph" w:styleId="TOC9">
    <w:name w:val="TOC 9"/>
    <w:basedOn w:val="Normal"/>
    <w:next w:val="Normal"/>
    <w:autoRedefine/>
    <w:pPr>
      <w:ind w:left="1960" w:hanging="0"/>
    </w:pPr>
    <w:rPr>
      <w:rFonts w:ascii="Calibri" w:hAnsi="Calibri" w:cs="Calibri"/>
      <w:sz w:val="20"/>
      <w:szCs w:val="20"/>
    </w:rPr>
  </w:style>
  <w:style w:type="paragraph" w:styleId="TOC5">
    <w:name w:val="TOC 5"/>
    <w:basedOn w:val="Normal"/>
    <w:next w:val="Normal"/>
    <w:autoRedefine/>
    <w:pPr>
      <w:ind w:left="840" w:hanging="0"/>
    </w:pPr>
    <w:rPr>
      <w:rFonts w:ascii="Calibri" w:hAnsi="Calibri" w:cs="Calibri"/>
      <w:sz w:val="20"/>
      <w:szCs w:val="20"/>
    </w:rPr>
  </w:style>
  <w:style w:type="paragraph" w:styleId="TOC4">
    <w:name w:val="TOC 4"/>
    <w:basedOn w:val="Normal"/>
    <w:next w:val="Normal"/>
    <w:autoRedefine/>
    <w:pPr>
      <w:ind w:left="560" w:hanging="0"/>
    </w:pPr>
    <w:rPr>
      <w:rFonts w:cs="Calibri"/>
      <w:sz w:val="20"/>
      <w:szCs w:val="20"/>
    </w:rPr>
  </w:style>
  <w:style w:type="paragraph" w:styleId="29" w:customStyle="1">
    <w:name w:val="Раздел положения 2"/>
    <w:basedOn w:val="Normal"/>
    <w:qFormat/>
    <w:pPr>
      <w:pageBreakBefore/>
      <w:jc w:val="both"/>
      <w:outlineLvl w:val="0"/>
    </w:pPr>
    <w:rPr>
      <w:b/>
    </w:rPr>
  </w:style>
  <w:style w:type="paragraph" w:styleId="Style32" w:customStyle="1">
    <w:name w:val="Знак Знак Знак Знак Знак Знак Знак Знак Знак"/>
    <w:basedOn w:val="Normal"/>
    <w:qFormat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NoSpacing">
    <w:name w:val="No Spacing"/>
    <w:basedOn w:val="Normal"/>
    <w:qFormat/>
    <w:pPr>
      <w:spacing w:lineRule="auto" w:line="360"/>
    </w:pPr>
    <w:rPr>
      <w:rFonts w:eastAsia="Calibri"/>
      <w:sz w:val="24"/>
      <w:szCs w:val="24"/>
    </w:rPr>
  </w:style>
  <w:style w:type="paragraph" w:styleId="Caption11111" w:customStyle="1">
    <w:name w:val="caption11111"/>
    <w:basedOn w:val="Normal"/>
    <w:next w:val="Normal"/>
    <w:qFormat/>
    <w:pPr/>
    <w:rPr>
      <w:rFonts w:eastAsia="Calibri"/>
      <w:b/>
      <w:bCs/>
      <w:color w:val="4F81BD"/>
      <w:sz w:val="18"/>
      <w:szCs w:val="18"/>
    </w:rPr>
  </w:style>
  <w:style w:type="paragraph" w:styleId="Subtitle">
    <w:name w:val="Subtitle"/>
    <w:basedOn w:val="Normal"/>
    <w:next w:val="Normal"/>
    <w:link w:val="Style2"/>
    <w:qFormat/>
    <w:p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ListParagraph">
    <w:name w:val="List Paragraph"/>
    <w:basedOn w:val="Normal"/>
    <w:link w:val="Style7"/>
    <w:uiPriority w:val="34"/>
    <w:qFormat/>
    <w:pPr>
      <w:spacing w:before="0" w:after="0"/>
      <w:ind w:left="720" w:hanging="0"/>
      <w:contextualSpacing/>
    </w:pPr>
    <w:rPr>
      <w:rFonts w:eastAsia="Calibri"/>
      <w:sz w:val="24"/>
      <w:szCs w:val="24"/>
    </w:rPr>
  </w:style>
  <w:style w:type="paragraph" w:styleId="Quote">
    <w:name w:val="Quote"/>
    <w:basedOn w:val="Normal"/>
    <w:next w:val="Normal"/>
    <w:link w:val="21"/>
    <w:qFormat/>
    <w:pPr/>
    <w:rPr>
      <w:rFonts w:ascii="Calibri" w:hAnsi="Calibri" w:eastAsia="Calibri"/>
      <w:i/>
      <w:iCs/>
      <w:color w:val="000000"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Style3"/>
    <w:qFormat/>
    <w:pPr>
      <w:pBdr>
        <w:bottom w:val="single" w:sz="4" w:space="4" w:color="4F81BD"/>
      </w:pBdr>
      <w:spacing w:before="200" w:after="280"/>
      <w:ind w:left="936" w:right="936" w:hanging="0"/>
    </w:pPr>
    <w:rPr>
      <w:rFonts w:ascii="Calibri" w:hAnsi="Calibri" w:eastAsia="Calibri"/>
      <w:b/>
      <w:bCs/>
      <w:i/>
      <w:iCs/>
      <w:color w:val="4F81BD"/>
      <w:sz w:val="20"/>
      <w:szCs w:val="20"/>
      <w:lang w:val="x-none" w:eastAsia="x-none"/>
    </w:rPr>
  </w:style>
  <w:style w:type="paragraph" w:styleId="IndexHeading">
    <w:name w:val="Index Heading"/>
    <w:basedOn w:val="Style23"/>
    <w:pPr/>
    <w:rPr/>
  </w:style>
  <w:style w:type="paragraph" w:styleId="TOCHeading">
    <w:name w:val="TOC Heading"/>
    <w:basedOn w:val="Heading1"/>
    <w:next w:val="Normal"/>
    <w:qFormat/>
    <w:pPr>
      <w:keepLines/>
      <w:spacing w:before="480" w:after="60"/>
      <w:outlineLvl w:val="9"/>
    </w:pPr>
    <w:rPr>
      <w:rFonts w:ascii="Cambria" w:hAnsi="Cambria"/>
      <w:bCs/>
      <w:color w:val="365F91"/>
    </w:rPr>
  </w:style>
  <w:style w:type="paragraph" w:styleId="E-mailSignature">
    <w:name w:val="E-mail Signature"/>
    <w:basedOn w:val="Normal"/>
    <w:link w:val="Style4"/>
    <w:qFormat/>
    <w:pPr/>
    <w:rPr>
      <w:rFonts w:eastAsia="Calibri"/>
      <w:sz w:val="24"/>
      <w:szCs w:val="24"/>
      <w:lang w:val="x-none" w:eastAsia="x-none"/>
    </w:rPr>
  </w:style>
  <w:style w:type="paragraph" w:styleId="Style33" w:customStyle="1">
    <w:name w:val="Знак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 w:eastAsia="en-US"/>
    </w:rPr>
  </w:style>
  <w:style w:type="paragraph" w:styleId="37" w:customStyle="1">
    <w:name w:val="Нумерованный список ур3"/>
    <w:basedOn w:val="Normal"/>
    <w:qFormat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styleId="311" w:customStyle="1">
    <w:name w:val="Список 31"/>
    <w:basedOn w:val="Normal"/>
    <w:qFormat/>
    <w:pPr>
      <w:numPr>
        <w:ilvl w:val="0"/>
        <w:numId w:val="2"/>
      </w:numPr>
      <w:spacing w:before="120" w:after="0"/>
      <w:jc w:val="both"/>
    </w:pPr>
    <w:rPr>
      <w:rFonts w:ascii="Garamond" w:hAnsi="Garamond"/>
      <w:sz w:val="24"/>
      <w:szCs w:val="20"/>
    </w:rPr>
  </w:style>
  <w:style w:type="paragraph" w:styleId="210" w:customStyle="1">
    <w:name w:val="Нумерованный список ур2"/>
    <w:basedOn w:val="Normal"/>
    <w:qFormat/>
    <w:pPr>
      <w:numPr>
        <w:ilvl w:val="1"/>
        <w:numId w:val="2"/>
      </w:numPr>
      <w:spacing w:before="120" w:after="0"/>
      <w:jc w:val="both"/>
    </w:pPr>
    <w:rPr>
      <w:rFonts w:ascii="Garamond" w:hAnsi="Garamond"/>
      <w:sz w:val="24"/>
      <w:szCs w:val="20"/>
    </w:rPr>
  </w:style>
  <w:style w:type="paragraph" w:styleId="Revision">
    <w:name w:val="Revision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4"/>
      <w:szCs w:val="24"/>
      <w:lang w:val="ru-RU" w:eastAsia="ru-RU" w:bidi="ar-SA"/>
    </w:rPr>
  </w:style>
  <w:style w:type="paragraph" w:styleId="ConsPlusNormal1" w:customStyle="1">
    <w:name w:val="ConsPlusNormal"/>
    <w:link w:val="ConsPlusNormal"/>
    <w:qFormat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38" w:customStyle="1">
    <w:name w:val="Знак Знак3 Знак Знак"/>
    <w:basedOn w:val="Normal"/>
    <w:qFormat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Style34" w:customStyle="1">
    <w:name w:val="Пункт"/>
    <w:basedOn w:val="Normal"/>
    <w:qFormat/>
    <w:pPr>
      <w:widowControl w:val="false"/>
      <w:tabs>
        <w:tab w:val="clear" w:pos="708"/>
        <w:tab w:val="left" w:pos="1134" w:leader="none"/>
      </w:tabs>
      <w:spacing w:lineRule="auto" w:line="360" w:before="120" w:after="0"/>
      <w:ind w:left="1134" w:right="800" w:hanging="1134"/>
      <w:jc w:val="both"/>
    </w:pPr>
    <w:rPr>
      <w:rFonts w:ascii="Arial" w:hAnsi="Arial"/>
      <w:b/>
      <w:i/>
      <w:szCs w:val="20"/>
    </w:rPr>
  </w:style>
  <w:style w:type="paragraph" w:styleId="118" w:customStyle="1">
    <w:name w:val="Абзац списка1"/>
    <w:basedOn w:val="Normal"/>
    <w:qFormat/>
    <w:pPr>
      <w:spacing w:lineRule="auto" w:line="276" w:before="0" w:after="200"/>
      <w:ind w:left="720" w:hanging="0"/>
      <w:contextualSpacing/>
    </w:pPr>
    <w:rPr>
      <w:rFonts w:ascii="Calibri" w:hAnsi="Calibri"/>
      <w:sz w:val="22"/>
      <w:szCs w:val="22"/>
      <w:lang w:eastAsia="en-US"/>
    </w:rPr>
  </w:style>
  <w:style w:type="paragraph" w:styleId="Style35" w:customStyle="1">
    <w:name w:val="Таблица"/>
    <w:basedOn w:val="Normal"/>
    <w:qFormat/>
    <w:pPr>
      <w:keepNext w:val="true"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styleId="Style36" w:customStyle="1">
    <w:name w:val="Таблица шапка"/>
    <w:basedOn w:val="Normal"/>
    <w:qFormat/>
    <w:pPr>
      <w:keepNext w:val="true"/>
      <w:spacing w:before="40" w:after="40"/>
      <w:ind w:left="57" w:right="57" w:hanging="0"/>
    </w:pPr>
    <w:rPr>
      <w:sz w:val="22"/>
      <w:szCs w:val="26"/>
    </w:rPr>
  </w:style>
  <w:style w:type="paragraph" w:styleId="Style37" w:customStyle="1">
    <w:name w:val="Подподпункт"/>
    <w:basedOn w:val="Style29"/>
    <w:link w:val="Style9"/>
    <w:qFormat/>
    <w:pPr>
      <w:tabs>
        <w:tab w:val="clear" w:pos="1134"/>
        <w:tab w:val="left" w:pos="5104" w:leader="none"/>
      </w:tabs>
      <w:snapToGrid w:val="true"/>
      <w:spacing w:lineRule="auto" w:line="240" w:before="120" w:after="0"/>
      <w:ind w:left="5104" w:hanging="567"/>
    </w:pPr>
    <w:rPr>
      <w:sz w:val="26"/>
      <w:szCs w:val="26"/>
      <w:lang w:val="ru-RU" w:eastAsia="ru-RU"/>
    </w:rPr>
  </w:style>
  <w:style w:type="paragraph" w:styleId="Style38" w:customStyle="1">
    <w:name w:val="УРОВЕНЬ_(а)"/>
    <w:basedOn w:val="ListParagraph"/>
    <w:qFormat/>
    <w:pPr>
      <w:numPr>
        <w:ilvl w:val="3"/>
        <w:numId w:val="4"/>
      </w:numPr>
      <w:spacing w:lineRule="exact" w:line="360" w:before="120" w:after="0"/>
      <w:contextualSpacing w:val="false"/>
      <w:jc w:val="both"/>
      <w:outlineLvl w:val="3"/>
    </w:pPr>
    <w:rPr>
      <w:sz w:val="26"/>
      <w:szCs w:val="28"/>
      <w:lang w:eastAsia="en-US"/>
    </w:rPr>
  </w:style>
  <w:style w:type="paragraph" w:styleId="-" w:customStyle="1">
    <w:name w:val="УРОВЕНЬ_-"/>
    <w:basedOn w:val="ListParagraph"/>
    <w:qFormat/>
    <w:pPr>
      <w:numPr>
        <w:ilvl w:val="4"/>
        <w:numId w:val="4"/>
      </w:numPr>
      <w:spacing w:lineRule="exact" w:line="360" w:before="120" w:after="0"/>
      <w:contextualSpacing w:val="false"/>
      <w:jc w:val="both"/>
      <w:outlineLvl w:val="4"/>
    </w:pPr>
    <w:rPr>
      <w:sz w:val="26"/>
      <w:szCs w:val="28"/>
      <w:lang w:eastAsia="en-US"/>
    </w:rPr>
  </w:style>
  <w:style w:type="paragraph" w:styleId="211" w:customStyle="1">
    <w:name w:val="УРОВЕНЬ_Абзац_тип2"/>
    <w:basedOn w:val="ListParagraph"/>
    <w:qFormat/>
    <w:pPr>
      <w:numPr>
        <w:ilvl w:val="6"/>
        <w:numId w:val="4"/>
      </w:numPr>
      <w:spacing w:lineRule="exact" w:line="360" w:before="120" w:after="0"/>
      <w:contextualSpacing w:val="false"/>
      <w:jc w:val="both"/>
    </w:pPr>
    <w:rPr>
      <w:sz w:val="26"/>
      <w:szCs w:val="28"/>
      <w:lang w:eastAsia="en-US"/>
    </w:rPr>
  </w:style>
  <w:style w:type="paragraph" w:styleId="39" w:customStyle="1">
    <w:name w:val="УРОВЕНЬ_Абзац_тип3"/>
    <w:basedOn w:val="ListParagraph"/>
    <w:link w:val="31"/>
    <w:qFormat/>
    <w:pPr>
      <w:numPr>
        <w:ilvl w:val="7"/>
        <w:numId w:val="4"/>
      </w:numPr>
      <w:spacing w:lineRule="exact" w:line="360" w:before="120" w:after="0"/>
      <w:contextualSpacing w:val="false"/>
      <w:jc w:val="both"/>
    </w:pPr>
    <w:rPr>
      <w:sz w:val="26"/>
      <w:szCs w:val="28"/>
      <w:lang w:eastAsia="en-US"/>
    </w:rPr>
  </w:style>
  <w:style w:type="paragraph" w:styleId="Style39" w:customStyle="1">
    <w:name w:val="УРОВЕНЬ_Подпись"/>
    <w:basedOn w:val="ListParagraph"/>
    <w:qFormat/>
    <w:pPr>
      <w:keepNext w:val="true"/>
      <w:numPr>
        <w:ilvl w:val="5"/>
        <w:numId w:val="4"/>
      </w:numPr>
      <w:spacing w:lineRule="exact" w:line="360" w:before="120" w:after="120"/>
      <w:contextualSpacing w:val="false"/>
      <w:jc w:val="right"/>
      <w:outlineLvl w:val="3"/>
    </w:pPr>
    <w:rPr>
      <w:sz w:val="26"/>
      <w:szCs w:val="28"/>
      <w:lang w:eastAsia="en-US"/>
    </w:rPr>
  </w:style>
  <w:style w:type="paragraph" w:styleId="119" w:customStyle="1">
    <w:name w:val="Стиль Заголовок 1 + по ширине"/>
    <w:basedOn w:val="Heading1"/>
    <w:qFormat/>
    <w:pPr>
      <w:keepLines/>
      <w:tabs>
        <w:tab w:val="clear" w:pos="0"/>
        <w:tab w:val="left" w:pos="567" w:leader="none"/>
      </w:tabs>
      <w:spacing w:before="480" w:after="240"/>
      <w:ind w:left="567" w:hanging="567"/>
      <w:jc w:val="both"/>
    </w:pPr>
    <w:rPr>
      <w:rFonts w:ascii="Arial" w:hAnsi="Arial" w:eastAsia="Times New Roman"/>
      <w:bCs/>
      <w:kern w:val="2"/>
      <w:sz w:val="40"/>
      <w:szCs w:val="20"/>
      <w:lang w:val="ru-RU" w:eastAsia="ru-RU"/>
    </w:rPr>
  </w:style>
  <w:style w:type="paragraph" w:styleId="EndnoteText">
    <w:name w:val="Endnote Text"/>
    <w:basedOn w:val="Normal"/>
    <w:link w:val="Style12"/>
    <w:pPr/>
    <w:rPr>
      <w:sz w:val="20"/>
      <w:szCs w:val="20"/>
    </w:rPr>
  </w:style>
  <w:style w:type="paragraph" w:styleId="212" w:customStyle="1">
    <w:name w:val="Заголовок 2 КВВ"/>
    <w:basedOn w:val="Normal"/>
    <w:qFormat/>
    <w:pPr>
      <w:keepNext w:val="true"/>
      <w:numPr>
        <w:ilvl w:val="0"/>
        <w:numId w:val="5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styleId="Style40" w:customStyle="1">
    <w:name w:val="Таблица текст"/>
    <w:basedOn w:val="Normal"/>
    <w:qFormat/>
    <w:pPr>
      <w:spacing w:before="40" w:after="40"/>
      <w:ind w:left="57" w:right="57" w:hanging="0"/>
    </w:pPr>
    <w:rPr>
      <w:sz w:val="24"/>
      <w:szCs w:val="26"/>
    </w:rPr>
  </w:style>
  <w:style w:type="paragraph" w:styleId="NormalWeb">
    <w:name w:val="Normal (Web)"/>
    <w:basedOn w:val="Normal"/>
    <w:qFormat/>
    <w:pPr>
      <w:spacing w:before="280" w:after="280"/>
    </w:pPr>
    <w:rPr>
      <w:sz w:val="24"/>
      <w:szCs w:val="24"/>
    </w:rPr>
  </w:style>
  <w:style w:type="paragraph" w:styleId="120" w:customStyle="1">
    <w:name w:val="УРОВЕНЬ_1."/>
    <w:basedOn w:val="ListParagraph"/>
    <w:qFormat/>
    <w:pPr>
      <w:keepNext w:val="true"/>
      <w:keepLines/>
      <w:spacing w:lineRule="auto" w:line="276" w:before="240" w:after="120"/>
      <w:ind w:left="0" w:hanging="0"/>
      <w:contextualSpacing w:val="false"/>
      <w:jc w:val="both"/>
      <w:outlineLvl w:val="0"/>
    </w:pPr>
    <w:rPr>
      <w:caps/>
      <w:sz w:val="28"/>
      <w:szCs w:val="28"/>
      <w:lang w:eastAsia="en-US"/>
    </w:rPr>
  </w:style>
  <w:style w:type="paragraph" w:styleId="TOC6">
    <w:name w:val="TOC 6"/>
    <w:basedOn w:val="Normal"/>
    <w:next w:val="Normal"/>
    <w:autoRedefine/>
    <w:pPr>
      <w:ind w:left="1120" w:hanging="0"/>
    </w:pPr>
    <w:rPr>
      <w:rFonts w:ascii="Calibri" w:hAnsi="Calibri" w:cs="Calibri"/>
      <w:sz w:val="20"/>
      <w:szCs w:val="20"/>
    </w:rPr>
  </w:style>
  <w:style w:type="paragraph" w:styleId="TOC7">
    <w:name w:val="TOC 7"/>
    <w:basedOn w:val="Normal"/>
    <w:next w:val="Normal"/>
    <w:autoRedefine/>
    <w:pPr>
      <w:ind w:left="1400" w:hanging="0"/>
    </w:pPr>
    <w:rPr>
      <w:rFonts w:ascii="Calibri" w:hAnsi="Calibri" w:cs="Calibri"/>
      <w:sz w:val="20"/>
      <w:szCs w:val="20"/>
    </w:rPr>
  </w:style>
  <w:style w:type="paragraph" w:styleId="TOC8">
    <w:name w:val="TOC 8"/>
    <w:basedOn w:val="Normal"/>
    <w:next w:val="Normal"/>
    <w:autoRedefine/>
    <w:pPr>
      <w:ind w:left="1680" w:hanging="0"/>
    </w:pPr>
    <w:rPr>
      <w:rFonts w:ascii="Calibri" w:hAnsi="Calibri" w:cs="Calibri"/>
      <w:sz w:val="20"/>
      <w:szCs w:val="20"/>
    </w:rPr>
  </w:style>
  <w:style w:type="paragraph" w:styleId="310" w:customStyle="1">
    <w:name w:val="Абзац списка3"/>
    <w:basedOn w:val="Normal"/>
    <w:qFormat/>
    <w:pPr>
      <w:spacing w:lineRule="auto" w:line="276" w:before="0" w:after="200"/>
      <w:ind w:left="720" w:hanging="0"/>
      <w:contextualSpacing/>
    </w:pPr>
    <w:rPr>
      <w:rFonts w:ascii="Calibri" w:hAnsi="Calibri"/>
      <w:sz w:val="22"/>
      <w:szCs w:val="22"/>
      <w:lang w:eastAsia="en-US"/>
    </w:rPr>
  </w:style>
  <w:style w:type="paragraph" w:styleId="H2" w:customStyle="1">
    <w:name w:val="##h2*"/>
    <w:basedOn w:val="Heading2"/>
    <w:qFormat/>
    <w:pPr>
      <w:keepNext w:val="false"/>
      <w:numPr>
        <w:ilvl w:val="1"/>
        <w:numId w:val="8"/>
      </w:numPr>
      <w:tabs>
        <w:tab w:val="left" w:pos="0" w:leader="none"/>
        <w:tab w:val="left" w:pos="360" w:leader="none"/>
      </w:tabs>
      <w:spacing w:lineRule="auto" w:line="276" w:before="0" w:after="0"/>
      <w:ind w:left="0" w:right="266" w:firstLine="567"/>
      <w:jc w:val="both"/>
    </w:pPr>
    <w:rPr>
      <w:rFonts w:eastAsia="Times New Roman"/>
      <w:b w:val="false"/>
      <w:iCs/>
      <w:lang w:val="ru-RU" w:eastAsia="ru-RU"/>
    </w:rPr>
  </w:style>
  <w:style w:type="paragraph" w:styleId="1111" w:customStyle="1">
    <w:name w:val="111"/>
    <w:basedOn w:val="Normal"/>
    <w:link w:val="111"/>
    <w:qFormat/>
    <w:pPr>
      <w:spacing w:lineRule="auto" w:line="360"/>
      <w:ind w:left="425" w:right="851" w:firstLine="425"/>
      <w:jc w:val="both"/>
    </w:pPr>
    <w:rPr>
      <w:rFonts w:ascii="Arial" w:hAnsi="Arial"/>
      <w:iCs/>
      <w:sz w:val="22"/>
      <w:szCs w:val="32"/>
      <w:lang w:val="x-none" w:eastAsia="x-none"/>
    </w:rPr>
  </w:style>
  <w:style w:type="paragraph" w:styleId="DocumentMap">
    <w:name w:val="Document Map"/>
    <w:basedOn w:val="Normal"/>
    <w:link w:val="Style16"/>
    <w:qFormat/>
    <w:pPr/>
    <w:rPr>
      <w:rFonts w:ascii="Tahoma" w:hAnsi="Tahoma" w:cs="Tahoma"/>
      <w:sz w:val="16"/>
      <w:szCs w:val="16"/>
    </w:rPr>
  </w:style>
  <w:style w:type="paragraph" w:styleId="121" w:customStyle="1">
    <w:name w:val="Знак1"/>
    <w:basedOn w:val="Normal"/>
    <w:qFormat/>
    <w:pPr>
      <w:tabs>
        <w:tab w:val="clear" w:pos="708"/>
        <w:tab w:val="left" w:pos="720" w:leader="none"/>
      </w:tabs>
      <w:spacing w:lineRule="exact" w:line="240" w:before="0" w:after="160"/>
      <w:ind w:left="720" w:hanging="720"/>
      <w:jc w:val="both"/>
    </w:pPr>
    <w:rPr>
      <w:rFonts w:ascii="Verdana" w:hAnsi="Verdana" w:eastAsia="Calibri" w:cs="Verdana"/>
      <w:sz w:val="20"/>
      <w:szCs w:val="20"/>
      <w:lang w:val="en-US" w:eastAsia="en-US"/>
    </w:rPr>
  </w:style>
  <w:style w:type="paragraph" w:styleId="Msonormalcxspmiddle" w:customStyle="1">
    <w:name w:val="msonormalcxspmiddle"/>
    <w:basedOn w:val="Normal"/>
    <w:qFormat/>
    <w:pPr>
      <w:spacing w:before="280" w:after="280"/>
    </w:pPr>
    <w:rPr>
      <w:sz w:val="24"/>
      <w:szCs w:val="24"/>
    </w:rPr>
  </w:style>
  <w:style w:type="paragraph" w:styleId="43" w:customStyle="1">
    <w:name w:val="Указатель4"/>
    <w:basedOn w:val="Normal"/>
    <w:qFormat/>
    <w:pPr>
      <w:suppressLineNumbers/>
      <w:spacing w:lineRule="auto" w:line="276"/>
      <w:ind w:firstLine="709"/>
      <w:jc w:val="both"/>
    </w:pPr>
    <w:rPr>
      <w:rFonts w:eastAsia="Calibri" w:cs="Lohit Hindi"/>
      <w:lang w:eastAsia="zh-CN"/>
    </w:rPr>
  </w:style>
  <w:style w:type="paragraph" w:styleId="213" w:customStyle="1">
    <w:name w:val="Название объекта2"/>
    <w:basedOn w:val="Normal"/>
    <w:qFormat/>
    <w:pPr>
      <w:suppressLineNumbers/>
      <w:spacing w:lineRule="auto" w:line="276" w:before="120" w:after="120"/>
      <w:ind w:firstLine="709"/>
      <w:jc w:val="both"/>
    </w:pPr>
    <w:rPr>
      <w:rFonts w:eastAsia="Calibri" w:cs="Lohit Hindi"/>
      <w:i/>
      <w:iCs/>
      <w:sz w:val="24"/>
      <w:szCs w:val="24"/>
      <w:lang w:eastAsia="zh-CN"/>
    </w:rPr>
  </w:style>
  <w:style w:type="paragraph" w:styleId="312" w:customStyle="1">
    <w:name w:val="Указатель3"/>
    <w:basedOn w:val="Normal"/>
    <w:qFormat/>
    <w:pPr>
      <w:suppressLineNumbers/>
      <w:spacing w:lineRule="auto" w:line="276"/>
      <w:ind w:firstLine="709"/>
      <w:jc w:val="both"/>
    </w:pPr>
    <w:rPr>
      <w:rFonts w:eastAsia="Calibri" w:cs="Lohit Hindi"/>
      <w:lang w:eastAsia="zh-CN"/>
    </w:rPr>
  </w:style>
  <w:style w:type="paragraph" w:styleId="122" w:customStyle="1">
    <w:name w:val="Название объекта1"/>
    <w:basedOn w:val="Normal"/>
    <w:qFormat/>
    <w:pPr>
      <w:suppressLineNumbers/>
      <w:spacing w:lineRule="auto" w:line="276" w:before="120" w:after="120"/>
      <w:ind w:firstLine="709"/>
      <w:jc w:val="both"/>
    </w:pPr>
    <w:rPr>
      <w:rFonts w:eastAsia="Calibri" w:cs="Lohit Hindi"/>
      <w:i/>
      <w:iCs/>
      <w:sz w:val="24"/>
      <w:szCs w:val="24"/>
      <w:lang w:eastAsia="zh-CN"/>
    </w:rPr>
  </w:style>
  <w:style w:type="paragraph" w:styleId="214" w:customStyle="1">
    <w:name w:val="Указатель2"/>
    <w:basedOn w:val="Normal"/>
    <w:qFormat/>
    <w:pPr>
      <w:suppressLineNumbers/>
      <w:spacing w:lineRule="auto" w:line="276"/>
      <w:ind w:firstLine="709"/>
      <w:jc w:val="both"/>
    </w:pPr>
    <w:rPr>
      <w:rFonts w:eastAsia="Calibri" w:cs="Lohit Hindi"/>
      <w:lang w:eastAsia="zh-CN"/>
    </w:rPr>
  </w:style>
  <w:style w:type="paragraph" w:styleId="123" w:customStyle="1">
    <w:name w:val="Указатель1"/>
    <w:basedOn w:val="Normal"/>
    <w:qFormat/>
    <w:pPr>
      <w:suppressLineNumbers/>
      <w:spacing w:lineRule="auto" w:line="276"/>
      <w:ind w:firstLine="709"/>
      <w:jc w:val="both"/>
    </w:pPr>
    <w:rPr>
      <w:rFonts w:eastAsia="Calibri" w:cs="Lohit Hindi"/>
      <w:lang w:eastAsia="zh-CN"/>
    </w:rPr>
  </w:style>
  <w:style w:type="paragraph" w:styleId="124" w:customStyle="1">
    <w:name w:val="Обычный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Calibri"/>
      <w:color w:val="000000"/>
      <w:kern w:val="0"/>
      <w:sz w:val="24"/>
      <w:szCs w:val="24"/>
      <w:lang w:val="ru-RU" w:eastAsia="zh-CN" w:bidi="ar-SA"/>
    </w:rPr>
  </w:style>
  <w:style w:type="paragraph" w:styleId="Style41" w:customStyle="1">
    <w:name w:val="Содержимое таблицы"/>
    <w:basedOn w:val="Normal"/>
    <w:qFormat/>
    <w:pPr>
      <w:suppressLineNumbers/>
      <w:spacing w:lineRule="auto" w:line="276"/>
      <w:ind w:firstLine="709"/>
      <w:jc w:val="both"/>
    </w:pPr>
    <w:rPr>
      <w:rFonts w:eastAsia="Calibri" w:cs="Calibri"/>
      <w:lang w:eastAsia="zh-CN"/>
    </w:rPr>
  </w:style>
  <w:style w:type="paragraph" w:styleId="Style42" w:customStyle="1">
    <w:name w:val="Заголовок таблицы"/>
    <w:basedOn w:val="Style41"/>
    <w:qFormat/>
    <w:pPr>
      <w:jc w:val="center"/>
    </w:pPr>
    <w:rPr>
      <w:b/>
      <w:bCs/>
    </w:rPr>
  </w:style>
  <w:style w:type="paragraph" w:styleId="Style43" w:customStyle="1">
    <w:name w:val="Содержимое врезки"/>
    <w:basedOn w:val="BodyText"/>
    <w:qFormat/>
    <w:pPr>
      <w:spacing w:lineRule="auto" w:line="276"/>
      <w:ind w:firstLine="709"/>
      <w:jc w:val="both"/>
    </w:pPr>
    <w:rPr>
      <w:rFonts w:eastAsia="Calibri" w:cs="Calibri"/>
      <w:lang w:eastAsia="zh-CN"/>
    </w:rPr>
  </w:style>
  <w:style w:type="paragraph" w:styleId="125" w:customStyle="1">
    <w:name w:val="Текст примечания1"/>
    <w:basedOn w:val="Normal"/>
    <w:qFormat/>
    <w:pPr>
      <w:spacing w:lineRule="auto" w:line="276"/>
      <w:ind w:firstLine="709"/>
      <w:jc w:val="both"/>
    </w:pPr>
    <w:rPr>
      <w:rFonts w:eastAsia="Calibri" w:cs="Calibri"/>
      <w:sz w:val="20"/>
      <w:szCs w:val="20"/>
      <w:lang w:eastAsia="zh-CN"/>
    </w:rPr>
  </w:style>
  <w:style w:type="paragraph" w:styleId="Style44" w:customStyle="1">
    <w:name w:val="Обычный+ без отступа"/>
    <w:basedOn w:val="Normal"/>
    <w:qFormat/>
    <w:pPr>
      <w:spacing w:lineRule="auto" w:line="360" w:before="120" w:after="0"/>
      <w:jc w:val="both"/>
    </w:pPr>
    <w:rPr>
      <w:rFonts w:eastAsia="MS Mincho"/>
    </w:rPr>
  </w:style>
  <w:style w:type="paragraph" w:styleId="Style45" w:customStyle="1">
    <w:name w:val="Текст таблицы"/>
    <w:basedOn w:val="Normal"/>
    <w:qFormat/>
    <w:pPr>
      <w:spacing w:before="40" w:after="40"/>
      <w:ind w:left="57" w:right="57" w:hanging="0"/>
    </w:pPr>
    <w:rPr>
      <w:sz w:val="24"/>
      <w:szCs w:val="24"/>
    </w:rPr>
  </w:style>
  <w:style w:type="paragraph" w:styleId="Style46" w:customStyle="1">
    <w:name w:val="Пункт Знак"/>
    <w:basedOn w:val="Normal"/>
    <w:qFormat/>
    <w:pPr>
      <w:tabs>
        <w:tab w:val="clear" w:pos="708"/>
        <w:tab w:val="left" w:pos="851" w:leader="none"/>
        <w:tab w:val="left" w:pos="1134" w:leader="none"/>
        <w:tab w:val="left" w:pos="1844" w:leader="none"/>
      </w:tabs>
      <w:snapToGrid w:val="false"/>
      <w:spacing w:lineRule="auto" w:line="360"/>
      <w:ind w:left="1844" w:hanging="567"/>
      <w:jc w:val="both"/>
    </w:pPr>
    <w:rPr>
      <w:b/>
      <w:szCs w:val="20"/>
    </w:rPr>
  </w:style>
  <w:style w:type="paragraph" w:styleId="Style47" w:customStyle="1">
    <w:name w:val="Подподподпункт"/>
    <w:basedOn w:val="Normal"/>
    <w:qFormat/>
    <w:pPr>
      <w:tabs>
        <w:tab w:val="clear" w:pos="708"/>
        <w:tab w:val="left" w:pos="1134" w:leader="none"/>
        <w:tab w:val="left" w:pos="1701" w:leader="none"/>
      </w:tabs>
      <w:snapToGrid w:val="false"/>
      <w:spacing w:lineRule="auto" w:line="360"/>
      <w:ind w:left="1718" w:hanging="1008"/>
      <w:jc w:val="both"/>
    </w:pPr>
    <w:rPr>
      <w:szCs w:val="20"/>
    </w:rPr>
  </w:style>
  <w:style w:type="paragraph" w:styleId="126" w:customStyle="1">
    <w:name w:val="Пункт1"/>
    <w:basedOn w:val="Normal"/>
    <w:qFormat/>
    <w:pPr>
      <w:tabs>
        <w:tab w:val="clear" w:pos="708"/>
        <w:tab w:val="left" w:pos="567" w:leader="none"/>
      </w:tabs>
      <w:snapToGrid w:val="false"/>
      <w:spacing w:lineRule="auto" w:line="360" w:before="240" w:after="0"/>
      <w:ind w:left="567" w:hanging="279"/>
      <w:jc w:val="center"/>
    </w:pPr>
    <w:rPr>
      <w:rFonts w:ascii="Arial" w:hAnsi="Arial"/>
      <w:b/>
    </w:rPr>
  </w:style>
  <w:style w:type="paragraph" w:styleId="313" w:customStyle="1">
    <w:name w:val="Пункт_3"/>
    <w:basedOn w:val="Normal"/>
    <w:qFormat/>
    <w:pPr>
      <w:tabs>
        <w:tab w:val="clear" w:pos="708"/>
        <w:tab w:val="left" w:pos="1134" w:leader="none"/>
      </w:tabs>
      <w:snapToGrid w:val="false"/>
      <w:spacing w:lineRule="auto" w:line="360"/>
      <w:ind w:left="1134" w:hanging="1133"/>
      <w:jc w:val="both"/>
    </w:pPr>
    <w:rPr>
      <w:szCs w:val="20"/>
    </w:rPr>
  </w:style>
  <w:style w:type="paragraph" w:styleId="Style48" w:customStyle="1">
    <w:name w:val="Знак Знак Знак Знак Знак Знак Знак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 w:eastAsia="en-US"/>
    </w:rPr>
  </w:style>
  <w:style w:type="paragraph" w:styleId="127" w:customStyle="1">
    <w:name w:val="Заголовок1"/>
    <w:basedOn w:val="Normal"/>
    <w:next w:val="BodyText"/>
    <w:qFormat/>
    <w:pPr>
      <w:keepNext w:val="true"/>
      <w:spacing w:lineRule="auto" w:line="276" w:before="240" w:after="120"/>
      <w:ind w:firstLine="709"/>
      <w:jc w:val="both"/>
    </w:pPr>
    <w:rPr>
      <w:rFonts w:ascii="Arial" w:hAnsi="Arial" w:eastAsia="DejaVu Sans" w:cs="Lohit Hindi"/>
      <w:lang w:eastAsia="zh-CN"/>
    </w:rPr>
  </w:style>
  <w:style w:type="paragraph" w:styleId="FORMATTEXT" w:customStyle="1">
    <w:name w:val=".FORMATTEXT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HTMLPreformatted">
    <w:name w:val="HTML Preformatted"/>
    <w:basedOn w:val="Normal"/>
    <w:link w:val="HTML"/>
    <w:qFormat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  <w:lang w:bidi="th-TH"/>
    </w:rPr>
  </w:style>
  <w:style w:type="paragraph" w:styleId="Msonormal" w:customStyle="1">
    <w:name w:val="msonormal"/>
    <w:basedOn w:val="Normal"/>
    <w:qFormat/>
    <w:pPr>
      <w:spacing w:before="280" w:after="280"/>
    </w:pPr>
    <w:rPr>
      <w:sz w:val="24"/>
      <w:szCs w:val="24"/>
    </w:rPr>
  </w:style>
  <w:style w:type="paragraph" w:styleId="Font5" w:customStyle="1">
    <w:name w:val="font5"/>
    <w:basedOn w:val="Normal"/>
    <w:qFormat/>
    <w:pPr>
      <w:spacing w:before="280" w:after="280"/>
    </w:pPr>
    <w:rPr>
      <w:rFonts w:ascii="Calibri" w:hAnsi="Calibri"/>
      <w:color w:val="000000"/>
      <w:sz w:val="20"/>
      <w:szCs w:val="20"/>
    </w:rPr>
  </w:style>
  <w:style w:type="paragraph" w:styleId="Xl64" w:customStyle="1">
    <w:name w:val="xl64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</w:rPr>
  </w:style>
  <w:style w:type="paragraph" w:styleId="Xl65" w:customStyle="1">
    <w:name w:val="xl65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sz w:val="24"/>
      <w:szCs w:val="24"/>
    </w:rPr>
  </w:style>
  <w:style w:type="paragraph" w:styleId="Xl66" w:customStyle="1">
    <w:name w:val="xl66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</w:rPr>
  </w:style>
  <w:style w:type="paragraph" w:styleId="Xl67" w:customStyle="1">
    <w:name w:val="xl67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</w:rPr>
  </w:style>
  <w:style w:type="paragraph" w:styleId="Xl68" w:customStyle="1">
    <w:name w:val="xl68"/>
    <w:basedOn w:val="Normal"/>
    <w:qFormat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</w:rPr>
  </w:style>
  <w:style w:type="paragraph" w:styleId="Xl69" w:customStyle="1">
    <w:name w:val="xl69"/>
    <w:basedOn w:val="Normal"/>
    <w:qFormat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</w:pPr>
    <w:rPr>
      <w:sz w:val="24"/>
      <w:szCs w:val="24"/>
    </w:rPr>
  </w:style>
  <w:style w:type="paragraph" w:styleId="Xl70" w:customStyle="1">
    <w:name w:val="xl70"/>
    <w:basedOn w:val="Normal"/>
    <w:qFormat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4"/>
      <w:szCs w:val="24"/>
    </w:rPr>
  </w:style>
  <w:style w:type="paragraph" w:styleId="Xl71" w:customStyle="1">
    <w:name w:val="xl71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</w:pPr>
    <w:rPr>
      <w:sz w:val="24"/>
      <w:szCs w:val="24"/>
    </w:rPr>
  </w:style>
  <w:style w:type="paragraph" w:styleId="Xl72" w:customStyle="1">
    <w:name w:val="xl72"/>
    <w:basedOn w:val="Normal"/>
    <w:qFormat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</w:pPr>
    <w:rPr>
      <w:sz w:val="24"/>
      <w:szCs w:val="24"/>
    </w:rPr>
  </w:style>
  <w:style w:type="paragraph" w:styleId="Xl73" w:customStyle="1">
    <w:name w:val="xl73"/>
    <w:basedOn w:val="Normal"/>
    <w:qFormat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0"/>
      <w:szCs w:val="20"/>
    </w:rPr>
  </w:style>
  <w:style w:type="paragraph" w:styleId="Xl74" w:customStyle="1">
    <w:name w:val="xl74"/>
    <w:basedOn w:val="Normal"/>
    <w:qFormat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</w:rPr>
  </w:style>
  <w:style w:type="paragraph" w:styleId="Xl75" w:customStyle="1">
    <w:name w:val="xl75"/>
    <w:basedOn w:val="Normal"/>
    <w:qFormat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</w:rPr>
  </w:style>
  <w:style w:type="paragraph" w:styleId="Xl76" w:customStyle="1">
    <w:name w:val="xl76"/>
    <w:basedOn w:val="Normal"/>
    <w:qFormat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textAlignment w:val="center"/>
    </w:pPr>
    <w:rPr>
      <w:sz w:val="24"/>
      <w:szCs w:val="24"/>
    </w:rPr>
  </w:style>
  <w:style w:type="paragraph" w:styleId="Xl77" w:customStyle="1">
    <w:name w:val="xl77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</w:rPr>
  </w:style>
  <w:style w:type="paragraph" w:styleId="Xl78" w:customStyle="1">
    <w:name w:val="xl78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</w:rPr>
  </w:style>
  <w:style w:type="paragraph" w:styleId="Xl79" w:customStyle="1">
    <w:name w:val="xl79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textAlignment w:val="center"/>
    </w:pPr>
    <w:rPr>
      <w:sz w:val="24"/>
      <w:szCs w:val="24"/>
    </w:rPr>
  </w:style>
  <w:style w:type="paragraph" w:styleId="Xl80" w:customStyle="1">
    <w:name w:val="xl80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</w:rPr>
  </w:style>
  <w:style w:type="paragraph" w:styleId="Xl81" w:customStyle="1">
    <w:name w:val="xl81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sz w:val="24"/>
      <w:szCs w:val="24"/>
    </w:rPr>
  </w:style>
  <w:style w:type="paragraph" w:styleId="Xl82" w:customStyle="1">
    <w:name w:val="xl82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textAlignment w:val="center"/>
    </w:pPr>
    <w:rPr>
      <w:sz w:val="24"/>
      <w:szCs w:val="24"/>
    </w:rPr>
  </w:style>
  <w:style w:type="paragraph" w:styleId="Xl83" w:customStyle="1">
    <w:name w:val="xl83"/>
    <w:basedOn w:val="Normal"/>
    <w:qFormat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  <w:textAlignment w:val="center"/>
    </w:pPr>
    <w:rPr>
      <w:sz w:val="20"/>
      <w:szCs w:val="20"/>
    </w:rPr>
  </w:style>
  <w:style w:type="paragraph" w:styleId="Xl84" w:customStyle="1">
    <w:name w:val="xl84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  <w:textAlignment w:val="center"/>
    </w:pPr>
    <w:rPr>
      <w:sz w:val="20"/>
      <w:szCs w:val="20"/>
    </w:rPr>
  </w:style>
  <w:style w:type="paragraph" w:styleId="Xl85" w:customStyle="1">
    <w:name w:val="xl85"/>
    <w:basedOn w:val="Normal"/>
    <w:qFormat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sz w:val="20"/>
      <w:szCs w:val="20"/>
    </w:rPr>
  </w:style>
  <w:style w:type="paragraph" w:styleId="Xl86" w:customStyle="1">
    <w:name w:val="xl86"/>
    <w:basedOn w:val="Normal"/>
    <w:qFormat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0"/>
      <w:szCs w:val="20"/>
    </w:rPr>
  </w:style>
  <w:style w:type="paragraph" w:styleId="Xl87" w:customStyle="1">
    <w:name w:val="xl87"/>
    <w:basedOn w:val="Normal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0"/>
      <w:szCs w:val="20"/>
    </w:rPr>
  </w:style>
  <w:style w:type="paragraph" w:styleId="Xl88" w:customStyle="1">
    <w:name w:val="xl88"/>
    <w:basedOn w:val="Normal"/>
    <w:qFormat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0"/>
      <w:szCs w:val="20"/>
    </w:rPr>
  </w:style>
  <w:style w:type="paragraph" w:styleId="Xl89" w:customStyle="1">
    <w:name w:val="xl89"/>
    <w:basedOn w:val="Normal"/>
    <w:qFormat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0"/>
      <w:szCs w:val="20"/>
    </w:rPr>
  </w:style>
  <w:style w:type="paragraph" w:styleId="Xl90" w:customStyle="1">
    <w:name w:val="xl90"/>
    <w:basedOn w:val="Normal"/>
    <w:qFormat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center"/>
    </w:pPr>
    <w:rPr>
      <w:sz w:val="20"/>
      <w:szCs w:val="20"/>
    </w:rPr>
  </w:style>
  <w:style w:type="paragraph" w:styleId="314" w:customStyle="1">
    <w:name w:val="Стиль3"/>
    <w:basedOn w:val="Normal"/>
    <w:link w:val="35"/>
    <w:qFormat/>
    <w:pPr>
      <w:tabs>
        <w:tab w:val="clear" w:pos="708"/>
        <w:tab w:val="left" w:pos="420" w:leader="none"/>
      </w:tabs>
      <w:spacing w:lineRule="exact" w:line="400"/>
      <w:ind w:left="1224" w:hanging="504"/>
      <w:jc w:val="both"/>
    </w:pPr>
    <w:rPr>
      <w:sz w:val="24"/>
      <w:szCs w:val="24"/>
    </w:rPr>
  </w:style>
  <w:style w:type="paragraph" w:styleId="52" w:customStyle="1">
    <w:name w:val="Стиль5"/>
    <w:basedOn w:val="Normal"/>
    <w:link w:val="51"/>
    <w:qFormat/>
    <w:pPr>
      <w:ind w:left="1783" w:hanging="648"/>
    </w:pPr>
    <w:rPr/>
  </w:style>
  <w:style w:type="paragraph" w:styleId="82" w:customStyle="1">
    <w:name w:val="Стиль8"/>
    <w:basedOn w:val="Normal"/>
    <w:link w:val="81"/>
    <w:qFormat/>
    <w:pPr>
      <w:pageBreakBefore/>
      <w:tabs>
        <w:tab w:val="clear" w:pos="708"/>
        <w:tab w:val="left" w:pos="1260" w:leader="none"/>
      </w:tabs>
      <w:snapToGrid w:val="false"/>
      <w:ind w:hanging="1077"/>
      <w:jc w:val="right"/>
    </w:pPr>
    <w:rPr>
      <w:sz w:val="24"/>
      <w:szCs w:val="22"/>
    </w:rPr>
  </w:style>
  <w:style w:type="paragraph" w:styleId="Style61" w:customStyle="1">
    <w:name w:val="Style6"/>
    <w:basedOn w:val="Normal"/>
    <w:qFormat/>
    <w:pPr>
      <w:widowControl w:val="false"/>
      <w:spacing w:lineRule="exact" w:line="263"/>
      <w:jc w:val="both"/>
    </w:pPr>
    <w:rPr>
      <w:rFonts w:eastAsia="Malgun Gothic"/>
      <w:sz w:val="24"/>
      <w:szCs w:val="24"/>
    </w:rPr>
  </w:style>
  <w:style w:type="paragraph" w:styleId="Style71" w:customStyle="1">
    <w:name w:val="Style7"/>
    <w:basedOn w:val="Normal"/>
    <w:qFormat/>
    <w:pPr>
      <w:widowControl w:val="false"/>
      <w:spacing w:lineRule="exact" w:line="262"/>
      <w:ind w:firstLine="288"/>
      <w:jc w:val="both"/>
    </w:pPr>
    <w:rPr>
      <w:rFonts w:eastAsia="Malgun Gothic"/>
      <w:sz w:val="24"/>
      <w:szCs w:val="24"/>
    </w:rPr>
  </w:style>
  <w:style w:type="paragraph" w:styleId="Style49" w:customStyle="1">
    <w:name w:val="Обычный список маркированный"/>
    <w:basedOn w:val="Normal"/>
    <w:link w:val="Style21"/>
    <w:qFormat/>
    <w:pPr>
      <w:numPr>
        <w:ilvl w:val="0"/>
        <w:numId w:val="9"/>
      </w:numPr>
      <w:spacing w:before="0" w:after="240"/>
      <w:contextualSpacing/>
      <w:jc w:val="both"/>
    </w:pPr>
    <w:rPr>
      <w:rFonts w:ascii="Arial" w:hAnsi="Arial"/>
      <w:szCs w:val="22"/>
      <w:lang w:val="x-none" w:eastAsia="en-US"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Myriad Pro" w:hAnsi="Myriad Pro" w:eastAsia="Calibri" w:cs="Myriad Pro"/>
      <w:color w:val="000000"/>
      <w:kern w:val="0"/>
      <w:sz w:val="24"/>
      <w:szCs w:val="24"/>
      <w:lang w:val="ru-RU" w:eastAsia="ru-RU" w:bidi="ar-SA"/>
    </w:rPr>
  </w:style>
  <w:style w:type="paragraph" w:styleId="ConsPlusTitle" w:customStyle="1">
    <w:name w:val="ConsPlusTitle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b/>
      <w:bCs/>
      <w:color w:val="auto"/>
      <w:kern w:val="0"/>
      <w:sz w:val="24"/>
      <w:szCs w:val="24"/>
      <w:lang w:val="ru-RU" w:eastAsia="ru-RU" w:bidi="ar-SA"/>
    </w:rPr>
  </w:style>
  <w:style w:type="paragraph" w:styleId="3TimesNewRoman12" w:customStyle="1">
    <w:name w:val="Стиль Заголовок 3 + Times New Roman 12 пт"/>
    <w:basedOn w:val="Normal"/>
    <w:qFormat/>
    <w:pPr/>
    <w:rPr/>
  </w:style>
  <w:style w:type="paragraph" w:styleId="215" w:customStyle="1">
    <w:name w:val="Обычный2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Calibri"/>
      <w:color w:val="000000"/>
      <w:kern w:val="0"/>
      <w:sz w:val="24"/>
      <w:szCs w:val="24"/>
      <w:lang w:val="ru-RU" w:eastAsia="zh-CN" w:bidi="ar-SA"/>
    </w:rPr>
  </w:style>
  <w:style w:type="paragraph" w:styleId="44" w:customStyle="1">
    <w:name w:val="Стиль4"/>
    <w:basedOn w:val="Normal"/>
    <w:link w:val="42"/>
    <w:qFormat/>
    <w:pPr>
      <w:tabs>
        <w:tab w:val="clear" w:pos="708"/>
        <w:tab w:val="left" w:pos="420" w:leader="none"/>
      </w:tabs>
      <w:spacing w:lineRule="exact" w:line="400"/>
      <w:ind w:left="1080" w:hanging="0"/>
      <w:jc w:val="both"/>
    </w:pPr>
    <w:rPr>
      <w:b/>
      <w:sz w:val="24"/>
      <w:szCs w:val="24"/>
    </w:rPr>
  </w:style>
  <w:style w:type="paragraph" w:styleId="62" w:customStyle="1">
    <w:name w:val="Стиль6"/>
    <w:basedOn w:val="52"/>
    <w:link w:val="61"/>
    <w:qFormat/>
    <w:pPr>
      <w:ind w:left="1925" w:hanging="567"/>
    </w:pPr>
    <w:rPr>
      <w:sz w:val="20"/>
      <w:szCs w:val="20"/>
    </w:rPr>
  </w:style>
  <w:style w:type="paragraph" w:styleId="72" w:customStyle="1">
    <w:name w:val="Стиль7"/>
    <w:basedOn w:val="62"/>
    <w:link w:val="71"/>
    <w:qFormat/>
    <w:pPr/>
    <w:rPr>
      <w:sz w:val="24"/>
      <w:szCs w:val="28"/>
    </w:rPr>
  </w:style>
  <w:style w:type="paragraph" w:styleId="Western" w:customStyle="1">
    <w:name w:val="western"/>
    <w:basedOn w:val="Normal"/>
    <w:qFormat/>
    <w:pPr>
      <w:spacing w:before="280" w:after="119"/>
    </w:pPr>
    <w:rPr>
      <w:color w:val="000000"/>
    </w:rPr>
  </w:style>
  <w:style w:type="paragraph" w:styleId="Style50" w:customStyle="1">
    <w:name w:val="Описание"/>
    <w:basedOn w:val="Normal"/>
    <w:qFormat/>
    <w:pPr>
      <w:spacing w:before="120" w:after="60"/>
      <w:ind w:left="431" w:hanging="0"/>
      <w:contextualSpacing/>
    </w:pPr>
    <w:rPr>
      <w:sz w:val="24"/>
      <w:szCs w:val="24"/>
      <w:lang w:val="x-none" w:eastAsia="x-none"/>
    </w:rPr>
  </w:style>
  <w:style w:type="paragraph" w:styleId="Dt-p" w:customStyle="1">
    <w:name w:val="dt-p"/>
    <w:basedOn w:val="Normal"/>
    <w:qFormat/>
    <w:rsid w:val="004b635f"/>
    <w:pPr>
      <w:suppressAutoHyphens w:val="false"/>
      <w:overflowPunct w:val="true"/>
      <w:spacing w:beforeAutospacing="1" w:afterAutospacing="1"/>
    </w:pPr>
    <w:rPr>
      <w:sz w:val="24"/>
      <w:szCs w:val="24"/>
    </w:rPr>
  </w:style>
  <w:style w:type="paragraph" w:styleId="ConsPlusNonformat" w:customStyle="1">
    <w:name w:val="ConsPlusNonformat"/>
    <w:basedOn w:val="Normal"/>
    <w:qFormat/>
    <w:rsid w:val="004b635f"/>
    <w:pPr>
      <w:suppressAutoHyphens w:val="false"/>
      <w:overflowPunct w:val="true"/>
    </w:pPr>
    <w:rPr>
      <w:rFonts w:ascii="Courier New" w:hAnsi="Courier New" w:eastAsia="Calibri" w:cs="Courier New" w:eastAsiaTheme="minorHAnsi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128" w:customStyle="1">
    <w:name w:val="Стиль1"/>
    <w:qFormat/>
  </w:style>
  <w:style w:type="numbering" w:styleId="216" w:customStyle="1">
    <w:name w:val="Стиль2"/>
    <w:qFormat/>
  </w:style>
  <w:style w:type="numbering" w:styleId="129" w:customStyle="1">
    <w:name w:val="Нет списка1"/>
    <w:qFormat/>
  </w:style>
  <w:style w:type="numbering" w:styleId="217" w:customStyle="1">
    <w:name w:val="Нет списка2"/>
    <w:qFormat/>
  </w:style>
  <w:style w:type="numbering" w:styleId="315" w:customStyle="1">
    <w:name w:val="Нет списка3"/>
    <w:qFormat/>
  </w:style>
  <w:style w:type="numbering" w:styleId="45" w:customStyle="1">
    <w:name w:val="Нет списка4"/>
    <w:qFormat/>
  </w:style>
  <w:style w:type="numbering" w:styleId="1110" w:customStyle="1">
    <w:name w:val="Нет списка11"/>
    <w:qFormat/>
  </w:style>
  <w:style w:type="numbering" w:styleId="1112" w:customStyle="1">
    <w:name w:val="Стиль11"/>
    <w:qFormat/>
  </w:style>
  <w:style w:type="numbering" w:styleId="1113" w:customStyle="1">
    <w:name w:val="Нет списка111"/>
    <w:qFormat/>
  </w:style>
  <w:style w:type="numbering" w:styleId="218" w:customStyle="1">
    <w:name w:val="Нет списка21"/>
    <w:qFormat/>
  </w:style>
  <w:style w:type="numbering" w:styleId="316" w:customStyle="1">
    <w:name w:val="Нет списка31"/>
    <w:qFormat/>
  </w:style>
  <w:style w:type="numbering" w:styleId="WW8Num12" w:customStyle="1">
    <w:name w:val="WW8Num12"/>
    <w:qFormat/>
  </w:style>
  <w:style w:type="numbering" w:styleId="WW8Num18" w:customStyle="1">
    <w:name w:val="WW8Num18"/>
    <w:qFormat/>
  </w:style>
  <w:style w:type="numbering" w:styleId="WW8Num6" w:customStyle="1">
    <w:name w:val="WW8Num6"/>
    <w:qFormat/>
  </w:style>
  <w:style w:type="numbering" w:styleId="WW8Num5" w:customStyle="1">
    <w:name w:val="WW8Num5"/>
    <w:qFormat/>
  </w:style>
  <w:style w:type="numbering" w:styleId="WW8Num10" w:customStyle="1">
    <w:name w:val="WW8Num10"/>
    <w:qFormat/>
  </w:style>
  <w:style w:type="numbering" w:styleId="WW8Num11" w:customStyle="1">
    <w:name w:val="WW8Num11"/>
    <w:qFormat/>
  </w:style>
  <w:style w:type="numbering" w:styleId="WW8Num2" w:customStyle="1">
    <w:name w:val="WW8Num2"/>
    <w:qFormat/>
  </w:style>
  <w:style w:type="table" w:default="1" w:styleId="a6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ozlovaES@lhp.ru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hyperlink" Target="http://www.rushydro.ru/" TargetMode="Externa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header" Target="header5.xml"/><Relationship Id="rId12" Type="http://schemas.openxmlformats.org/officeDocument/2006/relationships/header" Target="header6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header" Target="header7.xml"/><Relationship Id="rId36" Type="http://schemas.openxmlformats.org/officeDocument/2006/relationships/header" Target="header8.xml"/><Relationship Id="rId37" Type="http://schemas.openxmlformats.org/officeDocument/2006/relationships/footer" Target="footer6.xml"/><Relationship Id="rId38" Type="http://schemas.openxmlformats.org/officeDocument/2006/relationships/footer" Target="footer7.xml"/><Relationship Id="rId39" Type="http://schemas.openxmlformats.org/officeDocument/2006/relationships/numbering" Target="numbering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AlterOffice/2025.3.0.0$Linux_X86_64 LibreOffice_project/4ba31b6a4271509a884f95065d0a726e9cb2bdbb</Application>
  <AppVersion>15.0000</AppVersion>
  <Pages>37</Pages>
  <Words>3288</Words>
  <Characters>23391</Characters>
  <CharactersWithSpaces>26270</CharactersWithSpaces>
  <Paragraphs>436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2026-07-17T09:52:00Z</dcterms:created>
  <dc:creator>Борисова Екатерина Михайловна</dc:creator>
  <dc:description/>
  <dc:language>ru-RU</dc:language>
  <cp:lastModifiedBy>kozlovaes</cp:lastModifiedBy>
  <cp:lastPrinted>2023-07-13T11:50:00Z</cp:lastPrinted>
  <dcterms:modified xsi:type="dcterms:W3CDTF">2026-07-17T13:50:09Z</dcterms:modified>
  <cp:revision>6</cp:revision>
  <dc:subject/>
  <dc:title>Российское открытое акционерное общество энергетики и электрификации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