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5"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7"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AlterOffice/3.4.0.9$Linux_X86_64 LibreOffice_project/b8daf9e823b1a5463a2f48435ddc2e8696e7d4fc</Application>
  <AppVersion>15.0000</AppVersion>
  <Pages>17</Pages>
  <Words>7247</Words>
  <Characters>51483</Characters>
  <CharactersWithSpaces>58443</CharactersWithSpaces>
  <Paragraphs>389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Вальков Владимир Алексеевич</cp:lastModifiedBy>
  <cp:lastPrinted>2018-05-22T09:46:00Z</cp:lastPrinted>
  <dcterms:modified xsi:type="dcterms:W3CDTF">2023-08-24T09:14:00Z</dcterms:modified>
  <cp:revision>13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