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media/image9.wmf" ContentType="image/x-wmf"/>
  <Override PartName="/word/media/image19.wmf" ContentType="image/x-wmf"/>
  <Override PartName="/word/media/image21.wmf" ContentType="image/x-wmf"/>
  <Override PartName="/word/media/image8.wmf" ContentType="image/x-wmf"/>
  <Override PartName="/word/media/image18.wmf" ContentType="image/x-wmf"/>
  <Override PartName="/word/media/image20.wmf" ContentType="image/x-wmf"/>
  <Override PartName="/word/media/image7.wmf" ContentType="image/x-wmf"/>
  <Override PartName="/word/media/image17.wmf" ContentType="image/x-wmf"/>
  <Override PartName="/word/media/image6.wmf" ContentType="image/x-wmf"/>
  <Override PartName="/word/media/image16.wmf" ContentType="image/x-wmf"/>
  <Override PartName="/word/media/image5.wmf" ContentType="image/x-wmf"/>
  <Override PartName="/word/media/image15.wmf" ContentType="image/x-wmf"/>
  <Override PartName="/word/media/image4.wmf" ContentType="image/x-wmf"/>
  <Override PartName="/word/media/image14.wmf" ContentType="image/x-wmf"/>
  <Override PartName="/word/media/image11.wmf" ContentType="image/x-wmf"/>
  <Override PartName="/word/media/image22.wmf" ContentType="image/x-wmf"/>
  <Override PartName="/word/media/image12.wmf" ContentType="image/x-wmf"/>
  <Override PartName="/word/media/image2.wmf" ContentType="image/x-wmf"/>
  <Override PartName="/word/media/image1.png" ContentType="image/png"/>
  <Override PartName="/word/media/image10.wmf" ContentType="image/x-wmf"/>
  <Override PartName="/word/media/image3.wmf" ContentType="image/x-wmf"/>
  <Override PartName="/word/media/image13.wmf" ContentType="image/x-wmf"/>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bookmarkStart w:id="0" w:name="_GoBack"/>
      <w:bookmarkEnd w:id="0"/>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гпт. Богородское</w:t>
      </w:r>
      <w:bookmarkStart w:id="1" w:name="OLE_LINK1"/>
      <w:bookmarkStart w:id="2" w:name="OLE_LINK2"/>
      <w:r>
        <w:rPr>
          <w:lang w:val="ru-RU"/>
        </w:rPr>
        <w:tab/>
        <w:tab/>
        <w:tab/>
        <w:tab/>
        <w:tab/>
        <w:tab/>
        <w:tab/>
      </w:r>
      <w:bookmarkEnd w:id="1"/>
      <w:bookmarkEnd w:id="2"/>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bCs/>
          <w:color w:val="000000"/>
          <w:shd w:fill="C0C0C0" w:val="clear"/>
        </w:rPr>
        <w:t>«Отходы»</w:t>
      </w:r>
      <w:r>
        <w:rPr>
          <w:color w:val="000000"/>
          <w:shd w:fill="C0C0C0" w:val="clear"/>
        </w:rPr>
        <w:t xml:space="preserve"> </w:t>
      </w:r>
      <w:r>
        <w:rPr>
          <w:color w:val="000000"/>
          <w:shd w:fill="C0C0C0" w:val="clear"/>
          <w:lang w:eastAsia="en-US"/>
        </w:rPr>
        <w:t>–</w:t>
      </w:r>
      <w:r>
        <w:rPr>
          <w:color w:val="000000"/>
          <w:shd w:fill="C0C0C0" w:val="clear"/>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оказании Услуг по Договору</w:t>
      </w:r>
      <w:r>
        <w:rPr>
          <w:rStyle w:val="FootnoteReference"/>
          <w:color w:val="000000"/>
          <w:shd w:fill="C0C0C0" w:val="clear"/>
        </w:rPr>
        <w:footnoteReference w:id="2"/>
      </w:r>
      <w:r>
        <w:rPr>
          <w:color w:val="000000"/>
          <w:shd w:fill="C0C0C0" w:val="clear"/>
        </w:rPr>
        <w:t>, ответственность за обращение с которыми несет Исполнитель.</w:t>
      </w:r>
      <w:r>
        <w:rPr>
          <w:rStyle w:val="FootnoteReference"/>
          <w:color w:val="000000"/>
          <w:shd w:fill="C0C0C0" w:val="clear"/>
        </w:rPr>
        <w:footnoteReference w:id="3"/>
      </w:r>
      <w:r>
        <w:rPr>
          <w:lang w:eastAsia="en-US"/>
        </w:rPr>
        <w:t xml:space="preserve">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spacing w:before="0" w:after="0"/>
        <w:ind w:firstLine="708"/>
        <w:jc w:val="both"/>
        <w:textAlignment w:val="baseline"/>
        <w:rPr>
          <w:lang w:val="ru-RU"/>
        </w:rPr>
      </w:pPr>
      <w:r>
        <w:rPr>
          <w:rFonts w:ascii="Times New Roman" w:hAnsi="Times New Roman"/>
          <w:color w:val="000000"/>
          <w:lang w:val="ru-RU" w:eastAsia="en-US"/>
        </w:rPr>
        <w:t xml:space="preserve">«Универсальный передаточный документ», «УПД» </w:t>
      </w:r>
      <w:r>
        <w:rPr>
          <w:rFonts w:ascii="Times New Roman" w:hAnsi="Times New Roman"/>
          <w:b w:val="false"/>
          <w:color w:val="000000"/>
          <w:lang w:val="ru-RU" w:eastAsia="en-US"/>
        </w:rPr>
        <w:t>–</w:t>
      </w:r>
      <w:r>
        <w:rPr>
          <w:rFonts w:ascii="Times New Roman" w:hAnsi="Times New Roman"/>
          <w:color w:val="000000"/>
          <w:lang w:val="ru-RU" w:eastAsia="en-US"/>
        </w:rPr>
        <w:t xml:space="preserve"> </w:t>
      </w:r>
      <w:r>
        <w:rPr>
          <w:rFonts w:ascii="Times New Roman" w:hAnsi="Times New Roman"/>
          <w:b w:val="false"/>
          <w:color w:val="000000"/>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lang w:val="ru-RU" w:eastAsia="en-US"/>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pPr>
      <w:bookmarkStart w:id="3"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3"/>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4"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4"/>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4"/>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1418" w:leader="none"/>
        </w:tabs>
        <w:ind w:left="0" w:firstLine="709"/>
        <w:jc w:val="both"/>
        <w:rPr/>
      </w:pPr>
      <w:r>
        <w:rPr>
          <w:highlight w:val="lightGray"/>
        </w:rPr>
        <w:t>До даты окончания оказания Услуг обеспечить за свой счет исполнение обязанностей в области обращения с Отходами, в том числе:</w:t>
      </w:r>
    </w:p>
    <w:p>
      <w:pPr>
        <w:pStyle w:val="ListParagraph"/>
        <w:numPr>
          <w:ilvl w:val="3"/>
          <w:numId w:val="14"/>
        </w:numPr>
        <w:shd w:val="clear" w:color="auto" w:fill="FFFFFF"/>
        <w:tabs>
          <w:tab w:val="clear" w:pos="709"/>
          <w:tab w:val="left" w:pos="1418" w:leader="none"/>
        </w:tabs>
        <w:ind w:left="0" w:firstLine="709"/>
        <w:jc w:val="both"/>
        <w:rPr>
          <w:shd w:fill="C0C0C0" w:val="clear"/>
        </w:rPr>
      </w:pPr>
      <w:r>
        <w:rPr>
          <w:bCs/>
          <w:shd w:fill="C0C0C0" w:val="clear"/>
        </w:rPr>
        <w:t xml:space="preserve">Обеспечить за свой счет осуществление деятельности по сбору, накоплению, транспортированию, обработке, утилизации, обезвреживанию, </w:t>
      </w:r>
      <w:r>
        <w:rPr>
          <w:bCs/>
          <w:color w:val="000000"/>
          <w:shd w:fill="C0C0C0" w:val="clear"/>
        </w:rPr>
        <w:t>размещению</w:t>
      </w:r>
      <w:r>
        <w:rPr>
          <w:bCs/>
          <w:shd w:fill="C0C0C0" w:val="clear"/>
        </w:rPr>
        <w:t xml:space="preserve"> Отходов, а также внесение платы за негативное воздействие на окружающую среду (далее </w:t>
      </w:r>
      <w:r>
        <w:rPr>
          <w:bCs/>
          <w:shd w:fill="C0C0C0" w:val="clear"/>
          <w:lang w:eastAsia="en-US"/>
        </w:rPr>
        <w:t>–</w:t>
      </w:r>
      <w:r>
        <w:rPr>
          <w:bCs/>
          <w:shd w:fill="C0C0C0" w:val="clear"/>
        </w:rPr>
        <w:t xml:space="preserve"> НВОС) при размещении Отходов.</w:t>
      </w:r>
    </w:p>
    <w:p>
      <w:pPr>
        <w:pStyle w:val="ListParagraph"/>
        <w:numPr>
          <w:ilvl w:val="3"/>
          <w:numId w:val="14"/>
        </w:numPr>
        <w:shd w:val="clear" w:color="auto" w:fill="FFFFFF"/>
        <w:tabs>
          <w:tab w:val="clear" w:pos="709"/>
          <w:tab w:val="left" w:pos="1418" w:leader="none"/>
        </w:tabs>
        <w:ind w:left="0" w:firstLine="709"/>
        <w:jc w:val="both"/>
        <w:rPr>
          <w:shd w:fill="C0C0C0" w:val="clear"/>
        </w:rPr>
      </w:pPr>
      <w:r>
        <w:rPr>
          <w:shd w:fill="C0C0C0" w:val="clear"/>
        </w:rPr>
        <w:t xml:space="preserve">Обеспечить накопление </w:t>
      </w:r>
      <w:r>
        <w:rPr>
          <w:color w:val="000000"/>
          <w:shd w:fill="C0C0C0" w:val="clear"/>
        </w:rPr>
        <w:t>Отходов</w:t>
      </w:r>
      <w:r>
        <w:rPr>
          <w:shd w:fill="C0C0C0" w:val="clear"/>
        </w:rPr>
        <w:t xml:space="preserve"> в </w:t>
      </w:r>
      <w:r>
        <w:rPr>
          <w:color w:val="000000"/>
          <w:shd w:fill="C0C0C0" w:val="clear"/>
        </w:rPr>
        <w:t>местах</w:t>
      </w:r>
      <w:r>
        <w:rPr>
          <w:shd w:fill="C0C0C0" w:val="clear"/>
        </w:rPr>
        <w:t>, указанных или согласованных с Заказчиком.</w:t>
      </w:r>
    </w:p>
    <w:p>
      <w:pPr>
        <w:pStyle w:val="ListParagraph"/>
        <w:numPr>
          <w:ilvl w:val="3"/>
          <w:numId w:val="14"/>
        </w:numPr>
        <w:shd w:val="clear" w:color="auto" w:fill="FFFFFF"/>
        <w:tabs>
          <w:tab w:val="clear" w:pos="709"/>
          <w:tab w:val="left" w:pos="1418" w:leader="none"/>
        </w:tabs>
        <w:ind w:left="0" w:firstLine="709"/>
        <w:jc w:val="both"/>
        <w:rPr>
          <w:shd w:fill="C0C0C0" w:val="clear"/>
        </w:rPr>
      </w:pPr>
      <w:r>
        <w:rPr>
          <w:shd w:fill="C0C0C0" w:val="clear"/>
        </w:rPr>
        <w:t>Своевременно</w:t>
      </w:r>
      <w:r>
        <w:rPr>
          <w:rStyle w:val="FootnoteReference"/>
          <w:shd w:fill="C0C0C0" w:val="clear"/>
        </w:rPr>
        <w:footnoteReference w:id="4"/>
      </w:r>
      <w:r>
        <w:rPr>
          <w:shd w:fill="C0C0C0" w:val="clear"/>
        </w:rPr>
        <w:t xml:space="preserve"> транспортировать Отходы из мест накопления на объекты </w:t>
      </w:r>
      <w:r>
        <w:rPr>
          <w:color w:val="000000"/>
          <w:shd w:fill="C0C0C0" w:val="clear"/>
        </w:rPr>
        <w:t>сбора</w:t>
      </w:r>
      <w:r>
        <w:rPr>
          <w:shd w:fill="C0C0C0" w:val="clear"/>
        </w:rPr>
        <w:t xml:space="preserve">, обработки, </w:t>
      </w:r>
      <w:r>
        <w:rPr>
          <w:color w:val="000000"/>
          <w:shd w:fill="C0C0C0" w:val="clear"/>
        </w:rPr>
        <w:t>утилизации</w:t>
      </w:r>
      <w:r>
        <w:rPr>
          <w:shd w:fill="C0C0C0" w:val="clear"/>
        </w:rPr>
        <w:t>, обезвреживания, размещения Отходов в соответствии с соблюдением экологических требований, санитарно-</w:t>
      </w:r>
      <w:r>
        <w:rPr>
          <w:color w:val="000000"/>
          <w:shd w:fill="C0C0C0" w:val="clear"/>
        </w:rPr>
        <w:t>эпидемиологических</w:t>
      </w:r>
      <w:r>
        <w:rPr>
          <w:shd w:fill="C0C0C0" w:val="clear"/>
        </w:rPr>
        <w:t xml:space="preserve"> требований и иных требований, установленных законодательством </w:t>
      </w:r>
      <w:r>
        <w:rPr>
          <w:color w:val="000000"/>
          <w:shd w:fill="C0C0C0" w:val="clear"/>
        </w:rPr>
        <w:t>Российской</w:t>
      </w:r>
      <w:r>
        <w:rPr>
          <w:shd w:fill="C0C0C0" w:val="clear"/>
        </w:rPr>
        <w:t xml:space="preserve"> </w:t>
      </w:r>
      <w:r>
        <w:rPr>
          <w:color w:val="000000"/>
          <w:shd w:fill="C0C0C0" w:val="clear"/>
        </w:rPr>
        <w:t>Федерации об автомобильном, железнодорожном, воздушном, внутреннем водном и морском транспорте, а также требованиями, установленными локальными нормативными документами (актами) Заказчика в области обращения с Отходами на территории Заказчика.</w:t>
      </w:r>
    </w:p>
    <w:p>
      <w:pPr>
        <w:pStyle w:val="ListParagraph"/>
        <w:numPr>
          <w:ilvl w:val="3"/>
          <w:numId w:val="14"/>
        </w:numPr>
        <w:shd w:val="clear" w:color="auto" w:fill="FFFFFF"/>
        <w:tabs>
          <w:tab w:val="clear" w:pos="709"/>
          <w:tab w:val="left" w:pos="1418" w:leader="none"/>
        </w:tabs>
        <w:ind w:left="0" w:firstLine="709"/>
        <w:jc w:val="both"/>
        <w:rPr>
          <w:shd w:fill="C0C0C0" w:val="clear"/>
        </w:rPr>
      </w:pPr>
      <w:r>
        <w:rPr>
          <w:color w:val="000000"/>
          <w:shd w:fill="C0C0C0" w:val="clear"/>
        </w:rPr>
        <w:t>Предоставить Заказчику копию распорядительного документа о назначении лица, допущенного к сбору, транспортированию, обработке, утилизации, обезвреживанию, размещению Отходов и несущего ответственность за деятельность в области обращения с Отходами.</w:t>
      </w:r>
    </w:p>
    <w:p>
      <w:pPr>
        <w:pStyle w:val="ListParagraph"/>
        <w:numPr>
          <w:ilvl w:val="3"/>
          <w:numId w:val="14"/>
        </w:numPr>
        <w:shd w:val="clear" w:color="auto" w:fill="FFFFFF"/>
        <w:tabs>
          <w:tab w:val="clear" w:pos="709"/>
          <w:tab w:val="left" w:pos="1418" w:leader="none"/>
        </w:tabs>
        <w:ind w:left="0" w:firstLine="709"/>
        <w:jc w:val="both"/>
        <w:rPr>
          <w:shd w:fill="C0C0C0" w:val="clear"/>
        </w:rPr>
      </w:pPr>
      <w:r>
        <w:rPr>
          <w:color w:val="000000"/>
          <w:shd w:fill="C0C0C0" w:val="clear"/>
        </w:rPr>
        <w:t>В случае необходимости осуществления деятельности в области обращения с Отходами I-IV классов опасности иметь соответствующие допуски, разрешения и / или лицензии или привлечь третьих лиц, имеющих право выполнения работ / оказания услуг по обращению с Отходами I-IV классов опасности с включением расходов по договору выполнения работ / оказания услуг по обращению с Отходами I-IV классов опасности в Расчет стоимости Услуг, в том числе допускать к обращению с Отходами I-IV классов опасности только лиц, имеющих профессиональную подготовку, подтвержденную свидетельствами (сертификатами) на право работ с Отходами I-IV классов опасности. Исполнитель обязан предоставить Заказчику копию соответствующих допусков, разрешений, лицензии и / или свидетельств (сертификатов).</w:t>
      </w:r>
      <w:r>
        <w:rPr>
          <w:rStyle w:val="FootnoteReference"/>
          <w:color w:val="000000"/>
          <w:shd w:fill="C0C0C0" w:val="clear"/>
        </w:rPr>
        <w:footnoteReference w:id="5"/>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r>
    </w:p>
    <w:p>
      <w:pPr>
        <w:pStyle w:val="ListParagraph"/>
        <w:numPr>
          <w:ilvl w:val="2"/>
          <w:numId w:val="20"/>
        </w:numPr>
        <w:shd w:val="clear" w:color="auto" w:fill="FFFFFF"/>
        <w:tabs>
          <w:tab w:val="clear" w:pos="709"/>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6"/>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3"/>
          <w:numId w:val="21"/>
        </w:numPr>
        <w:ind w:left="0" w:firstLine="709"/>
        <w:jc w:val="both"/>
        <w:rPr/>
      </w:pPr>
      <w:r>
        <w:rPr>
          <w:bCs/>
          <w:highlight w:val="lightGray"/>
        </w:rPr>
        <w:t xml:space="preserve">Исполнитель вправе заключить договор на оказание услуг по обращению с Отходами с третьими лицами с учетом ограничения и на условиях, предусмотренного пунктом 2.4.4. Договора. </w:t>
      </w:r>
    </w:p>
    <w:p>
      <w:pPr>
        <w:pStyle w:val="ListParagraph"/>
        <w:ind w:left="0" w:firstLine="709"/>
        <w:jc w:val="both"/>
        <w:rPr/>
      </w:pPr>
      <w:r>
        <w:rPr>
          <w:bCs/>
          <w:highlight w:val="lightGray"/>
        </w:rPr>
        <w:t>При этом оплата по договору, указанному в настоящем пункте Договора, осуществляется Исполнителем с включением расходов по соответствующему договору и расходов по внесению платы за НВОС при размещении Отходов в Сводный сметный расчет / Объектный сметный расчет с приложениями.</w:t>
      </w:r>
      <w:r>
        <w:rPr>
          <w:rStyle w:val="FootnoteReference"/>
          <w:bCs/>
          <w:highlight w:val="lightGray"/>
        </w:rPr>
        <w:footnoteReference w:id="7"/>
      </w:r>
    </w:p>
    <w:p>
      <w:pPr>
        <w:pStyle w:val="ListParagraph"/>
        <w:numPr>
          <w:ilvl w:val="2"/>
          <w:numId w:val="21"/>
        </w:numPr>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highlight w:val="lightGray"/>
        </w:rPr>
        <w:footnoteReference w:id="8"/>
      </w:r>
      <w:r>
        <w:rPr>
          <w:bCs/>
        </w:rPr>
        <w:t>.</w:t>
      </w:r>
    </w:p>
    <w:p>
      <w:pPr>
        <w:pStyle w:val="ListParagraph"/>
        <w:numPr>
          <w:ilvl w:val="1"/>
          <w:numId w:val="21"/>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21"/>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7 к Договору</w:t>
      </w:r>
      <w:r>
        <w:rPr>
          <w:rStyle w:val="FootnoteReference"/>
          <w:highlight w:val="lightGray"/>
        </w:rPr>
        <w:footnoteReference w:id="9"/>
      </w:r>
      <w:r>
        <w:rPr>
          <w:highlight w:val="lightGray"/>
        </w:rPr>
        <w:t>.</w:t>
      </w:r>
    </w:p>
    <w:p>
      <w:pPr>
        <w:pStyle w:val="ListParagraph"/>
        <w:numPr>
          <w:ilvl w:val="1"/>
          <w:numId w:val="21"/>
        </w:numPr>
        <w:tabs>
          <w:tab w:val="left" w:pos="709" w:leader="none"/>
          <w:tab w:val="left" w:pos="851"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10"/>
      </w:r>
      <w:r>
        <w:rPr>
          <w:bCs/>
        </w:rPr>
        <w:t>.</w:t>
      </w:r>
    </w:p>
    <w:p>
      <w:pPr>
        <w:pStyle w:val="ListParagraph"/>
        <w:numPr>
          <w:ilvl w:val="1"/>
          <w:numId w:val="27"/>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1" w:name="_Ref373240288"/>
      <w:bookmarkStart w:id="12" w:name="_Ref361834178"/>
      <w:bookmarkEnd w:id="12"/>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11"/>
      </w:r>
      <w:r>
        <w:rPr/>
        <w:t xml:space="preserve">,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12"/>
      </w:r>
      <w:r>
        <w:rPr/>
        <w:t xml:space="preserve"> / </w:t>
      </w:r>
      <w:r>
        <w:rPr>
          <w:highlight w:val="lightGray"/>
        </w:rPr>
        <w:t>45 (сорока пяти) календарных дней</w:t>
      </w:r>
      <w:r>
        <w:rPr>
          <w:rStyle w:val="FootnoteReference"/>
          <w:highlight w:val="lightGray"/>
        </w:rPr>
        <w:footnoteReference w:id="13"/>
      </w:r>
      <w:r>
        <w:rPr/>
        <w:t xml:space="preserve"> / </w:t>
      </w:r>
      <w:r>
        <w:rPr>
          <w:highlight w:val="lightGray"/>
        </w:rPr>
        <w:t>7 (семи) рабочих дней</w:t>
      </w:r>
      <w:r>
        <w:rPr>
          <w:rStyle w:val="FootnoteReference"/>
          <w:highlight w:val="lightGray"/>
        </w:rPr>
        <w:footnoteReference w:id="14"/>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Договору/УПД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shd w:val="clear" w:color="auto" w:fill="FFFFFF"/>
        <w:tabs>
          <w:tab w:val="clear" w:pos="709"/>
          <w:tab w:val="left" w:pos="1418" w:leader="none"/>
        </w:tabs>
        <w:ind w:left="0" w:firstLine="709"/>
        <w:jc w:val="both"/>
        <w:rPr>
          <w:bCs/>
        </w:rPr>
      </w:pPr>
      <w:r>
        <w:rPr>
          <w:bCs/>
          <w:color w:val="000000"/>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ind w:firstLine="709"/>
        <w:jc w:val="both"/>
        <w:rPr>
          <w:bCs/>
          <w:shd w:fill="FFFF00" w:val="clear"/>
          <w:lang w:val="ru-RU"/>
        </w:rPr>
      </w:pPr>
      <w:r>
        <w:rPr>
          <w:bCs/>
          <w:color w:val="000000"/>
          <w:lang w:val="ru-RU"/>
        </w:rPr>
        <w:t xml:space="preserve">Выбор формы направления такого требования осуществляется Бенефициаром самостоятельно. </w:t>
      </w:r>
      <w:r>
        <w:rPr>
          <w:bCs/>
          <w:lang w:val="ru-RU"/>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numPr>
          <w:ilvl w:val="2"/>
          <w:numId w:val="25"/>
        </w:numPr>
        <w:shd w:val="clear" w:color="auto" w:fill="FFFFFF"/>
        <w:tabs>
          <w:tab w:val="clear" w:pos="709"/>
          <w:tab w:val="left" w:pos="1418" w:leader="none"/>
          <w:tab w:val="left" w:pos="1701" w:leader="none"/>
        </w:tabs>
        <w:ind w:left="0" w:firstLine="709"/>
        <w:jc w:val="both"/>
        <w:rPr/>
      </w:pPr>
      <w:r>
        <w:rPr/>
        <w:t xml:space="preserve">Банковские гарантии, предусмотренные настоящим разделом Договора, предоставляются (по выбору Заказчика): </w:t>
      </w:r>
    </w:p>
    <w:p>
      <w:pPr>
        <w:pStyle w:val="ListParagraph"/>
        <w:shd w:val="clear" w:color="auto" w:fill="FFFFFF"/>
        <w:tabs>
          <w:tab w:val="clear" w:pos="709"/>
          <w:tab w:val="left" w:pos="1418" w:leader="none"/>
          <w:tab w:val="left" w:pos="1701" w:leader="none"/>
        </w:tabs>
        <w:ind w:left="0" w:firstLine="709"/>
        <w:jc w:val="both"/>
        <w:rPr/>
      </w:pPr>
      <w:r>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shd w:val="clear" w:color="auto" w:fill="FFFFFF"/>
        <w:tabs>
          <w:tab w:val="clear" w:pos="709"/>
          <w:tab w:val="left" w:pos="1418" w:leader="none"/>
          <w:tab w:val="left" w:pos="1701" w:leader="none"/>
        </w:tabs>
        <w:ind w:left="0" w:firstLine="709"/>
        <w:jc w:val="both"/>
        <w:rPr/>
      </w:pPr>
      <w:r>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5"/>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6"/>
      </w:r>
      <w:r>
        <w:rPr>
          <w:highlight w:val="lightGray"/>
        </w:rPr>
        <w:t>.</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Pr>
          <w:bCs/>
          <w:lang w:val="ru-RU"/>
        </w:rPr>
        <w:t>(неустойка с 1 по 30 день просрочки не начисляется)</w:t>
      </w:r>
      <w:r>
        <w:rPr/>
        <w:t xml:space="preserve">, </w:t>
      </w:r>
      <w:r>
        <w:rPr>
          <w:bCs/>
          <w:lang w:val="ru-RU"/>
        </w:rPr>
        <w:t>но не более 5% от несвоевременно уплаченной суммы</w:t>
      </w:r>
      <w:r>
        <w:rPr/>
        <w:t>.</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w:t>
      </w:r>
      <w:r>
        <w:rPr>
          <w:bCs/>
          <w:shd w:fill="C0C0C0" w:val="clear"/>
        </w:rPr>
        <w:t>экологических, санитарно-</w:t>
      </w:r>
      <w:r>
        <w:rPr>
          <w:bCs/>
          <w:color w:val="000000"/>
          <w:shd w:fill="C0C0C0" w:val="clear"/>
        </w:rPr>
        <w:t>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w:t>
      </w:r>
      <w:r>
        <w:rPr>
          <w:rStyle w:val="FootnoteReference"/>
          <w:bCs/>
          <w:color w:val="000000"/>
          <w:shd w:fill="C0C0C0" w:val="clear"/>
        </w:rPr>
        <w:footnoteReference w:id="17"/>
      </w:r>
      <w:r>
        <w:rPr>
          <w:bCs/>
          <w:color w:val="000000"/>
          <w:shd w:fill="C0C0C0" w:val="clear"/>
        </w:rPr>
        <w:t>,</w:t>
      </w:r>
      <w:r>
        <w:rPr>
          <w:bCs/>
          <w:color w:val="000000"/>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w:t>
      </w:r>
      <w:r>
        <w:rPr>
          <w:bCs/>
          <w:shd w:fill="C0C0C0" w:val="clear"/>
        </w:rPr>
        <w:t xml:space="preserve">включая реальный ущерб в виде возмещения расходов по уплате </w:t>
      </w:r>
      <w:r>
        <w:rPr>
          <w:bCs/>
          <w:color w:val="000000"/>
          <w:shd w:fill="C0C0C0" w:val="clear"/>
        </w:rPr>
        <w:t>соответствующих</w:t>
      </w:r>
      <w:r>
        <w:rPr>
          <w:bCs/>
          <w:shd w:fill="C0C0C0" w:val="clear"/>
        </w:rPr>
        <w:t xml:space="preserve"> административных штрафов</w:t>
      </w:r>
      <w:r>
        <w:rPr>
          <w:rStyle w:val="FootnoteReference"/>
          <w:bCs/>
          <w:shd w:fill="C0C0C0" w:val="clear"/>
        </w:rPr>
        <w:footnoteReference w:id="18"/>
      </w:r>
      <w:r>
        <w:rPr>
          <w:bCs/>
          <w:shd w:fill="C0C0C0" w:val="clear"/>
        </w:rPr>
        <w:t xml:space="preserve">, </w:t>
      </w:r>
      <w:r>
        <w:rPr>
          <w:bCs/>
        </w:rPr>
        <w:t xml:space="preserve">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highlight w:val="lightGray"/>
        </w:rPr>
      </w:pPr>
      <w:r>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Размер упущенной выгоды (выручки) подтверждается (по выбору Заказчика):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lang w:val="ru-RU"/>
        </w:rPr>
      </w:pPr>
      <w:r>
        <w:rPr>
          <w:szCs w:val="28"/>
          <w:highlight w:val="lightGray"/>
          <w:lang w:val="ru-RU"/>
        </w:rPr>
        <w:t>в ценовой зоне оптового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rPr>
      </w:pPr>
      <w:r>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Cs w:val="28"/>
          <w:highlight w:val="lightGray"/>
        </w:rPr>
        <w:t>(далее – Ассоциация «НП Совета рынка»).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lang w:val="ru-RU"/>
        </w:rPr>
      </w:pPr>
      <w:r>
        <w:rPr>
          <w:highlight w:val="lightGray"/>
          <w:lang w:val="ru-RU"/>
        </w:rPr>
        <w:t>в о</w:t>
      </w:r>
      <w:r>
        <w:rPr>
          <w:szCs w:val="28"/>
          <w:highlight w:val="lightGray"/>
          <w:lang w:val="ru-RU"/>
        </w:rPr>
        <w:t xml:space="preserve">тдельной территории ценовой зоны оптового рынка, ранее относившейся к  неценовой зоне оптового рынка Дальнего Востока: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В отношении </w:t>
      </w:r>
      <w:r>
        <w:rPr>
          <w:highlight w:val="lightGray"/>
          <w:lang w:val="ru-RU"/>
        </w:rPr>
        <w:t xml:space="preserve">вновь вводимого (модернизируемого) оборудования ТЭС в отдельной территории ценовой зоны оптового рынка, ранее относившейся к неценовой зоне </w:t>
      </w:r>
      <w:r>
        <w:rPr>
          <w:bCs/>
          <w:color w:val="000000"/>
          <w:highlight w:val="lightGray"/>
          <w:shd w:fill="CCCCCC" w:val="clear"/>
          <w:lang w:val="ru-RU"/>
        </w:rPr>
        <w:t xml:space="preserve">оптового рынка </w:t>
      </w:r>
      <w:r>
        <w:rPr>
          <w:highlight w:val="lightGray"/>
          <w:lang w:val="ru-RU"/>
        </w:rPr>
        <w:t xml:space="preserve">Дальнего Востока Подрядчик дополнительно компенсирует Заказчику упущенную выгоду (выручку) в </w:t>
      </w:r>
      <w:r>
        <w:rPr>
          <w:szCs w:val="28"/>
          <w:highlight w:val="lightGray"/>
          <w:lang w:val="ru-RU"/>
        </w:rPr>
        <w:t xml:space="preserve">связи: </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Размер упущенной выгоды для каждого месяца просрочки определяется </w:t>
      </w:r>
      <w:r>
        <w:rPr>
          <w:highlight w:val="lightGray"/>
          <w:lang w:val="ru-RU"/>
        </w:rPr>
        <w:t>в соответствии с Правилами ОРЭМ.</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ОРЭМ</w:t>
      </w:r>
      <w:r>
        <w:rPr>
          <w:rStyle w:val="FootnoteReference"/>
          <w:szCs w:val="28"/>
          <w:highlight w:val="lightGray"/>
        </w:rPr>
        <w:footnoteReference w:id="19"/>
      </w:r>
      <w:r>
        <w:rPr>
          <w:szCs w:val="28"/>
          <w:highlight w:val="lightGray"/>
        </w:rPr>
        <w:t>.</w:t>
      </w:r>
    </w:p>
    <w:p>
      <w:pPr>
        <w:pStyle w:val="Normal"/>
        <w:shd w:val="clear" w:color="auto" w:fill="D9D9D9" w:themeFill="background1" w:themeFillShade="d9"/>
        <w:tabs>
          <w:tab w:val="clear" w:pos="709"/>
          <w:tab w:val="left" w:pos="1134" w:leader="none"/>
        </w:tabs>
        <w:ind w:firstLine="709"/>
        <w:jc w:val="both"/>
        <w:rPr>
          <w:szCs w:val="28"/>
          <w:lang w:val="ru-RU"/>
        </w:rPr>
      </w:pPr>
      <w:r>
        <w:rPr>
          <w:szCs w:val="28"/>
          <w:highlight w:val="lightGray"/>
          <w:lang w:val="ru-RU"/>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t>
      </w:r>
      <w:r>
        <w:rPr>
          <w:bCs/>
          <w:color w:val="000000"/>
          <w:highlight w:val="lightGray"/>
          <w:lang w:val="ru-RU"/>
        </w:rPr>
        <w:t xml:space="preserve">оптового рынка </w:t>
      </w:r>
      <w:r>
        <w:rPr>
          <w:szCs w:val="28"/>
          <w:highlight w:val="lightGray"/>
          <w:lang w:val="ru-RU"/>
        </w:rPr>
        <w:t>Дальнего Востока изложена в Приложении № 8 к Договору.</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highlight w:val="lightGray"/>
        </w:rPr>
        <w:footnoteReference w:id="20"/>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ПАО «РусГидро»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21"/>
      </w:r>
      <w:r>
        <w:rPr>
          <w:highlight w:val="lightGray"/>
          <w:lang w:val="ru-RU" w:eastAsia="en-US"/>
        </w:rPr>
        <w:t>.</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8"/>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22"/>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jc w:val="both"/>
        <w:rPr>
          <w:lang w:val="ru-RU"/>
        </w:rPr>
      </w:pPr>
      <w:r>
        <w:rPr>
          <w:highlight w:val="lightGray"/>
          <w:lang w:val="ru-RU"/>
        </w:rPr>
        <w:t xml:space="preserve">Приложение № 8 – Методика </w:t>
      </w:r>
      <w:r>
        <w:rPr>
          <w:bCs/>
          <w:highlight w:val="lightGray"/>
          <w:lang w:val="ru-RU"/>
        </w:rPr>
        <w:t>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w:t>
            </w:r>
          </w:p>
          <w:p>
            <w:pPr>
              <w:pStyle w:val="Normal"/>
              <w:widowControl w:val="false"/>
              <w:rPr>
                <w:lang w:val="ru-RU"/>
              </w:rPr>
            </w:pPr>
            <w:r>
              <w:rPr>
                <w:lang w:val="ru-RU"/>
              </w:rPr>
              <w:t>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Юридический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b/>
                <w:lang w:val="ru-RU"/>
              </w:rPr>
              <w:t>Почтовый адрес:</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Юридический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12"/>
        <w:jc w:val="both"/>
        <w:rPr>
          <w:highlight w:val="lightGray"/>
        </w:rPr>
      </w:pPr>
      <w:r>
        <w:rPr>
          <w:highlight w:val="lightGray"/>
        </w:rPr>
      </w:r>
    </w:p>
    <w:p>
      <w:pPr>
        <w:pStyle w:val="12"/>
        <w:rPr>
          <w:b w:val="false"/>
          <w:bCs w:val="false"/>
          <w:highlight w:val="lightGray"/>
        </w:rPr>
      </w:pPr>
      <w:r>
        <w:rPr>
          <w:iCs/>
          <w:highlight w:val="lightGray"/>
        </w:rPr>
        <w:t>ФОРМА</w:t>
      </w:r>
    </w:p>
    <w:p>
      <w:pPr>
        <w:pStyle w:val="12"/>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12"/>
              <w:widowControl w:val="false"/>
              <w:rPr>
                <w:b w:val="false"/>
                <w:bCs w:val="false"/>
                <w:highlight w:val="lightGray"/>
              </w:rPr>
            </w:pPr>
            <w:r>
              <w:rPr>
                <w:b w:val="false"/>
                <w:bCs w:val="false"/>
                <w:highlight w:val="lightGray"/>
              </w:rPr>
              <w:t xml:space="preserve">Акт </w:t>
            </w:r>
          </w:p>
          <w:p>
            <w:pPr>
              <w:pStyle w:val="12"/>
              <w:widowControl w:val="false"/>
              <w:rPr>
                <w:i/>
                <w:i/>
                <w:iCs/>
                <w:highlight w:val="lightGray"/>
              </w:rPr>
            </w:pPr>
            <w:r>
              <w:rPr>
                <w:b w:val="false"/>
                <w:bCs w:val="false"/>
                <w:highlight w:val="lightGray"/>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12"/>
              <w:widowControl w:val="false"/>
              <w:jc w:val="left"/>
              <w:rPr>
                <w:i/>
                <w:i/>
                <w:iCs/>
                <w:highlight w:val="lightGray"/>
              </w:rPr>
            </w:pPr>
            <w:r>
              <w:rPr>
                <w:i/>
                <w:iCs/>
                <w:highlight w:val="lightGray"/>
              </w:rPr>
            </w:r>
          </w:p>
          <w:p>
            <w:pPr>
              <w:pStyle w:val="12"/>
              <w:widowControl w:val="false"/>
              <w:spacing w:before="0" w:after="120"/>
              <w:jc w:val="left"/>
              <w:rPr>
                <w:i/>
                <w:i/>
                <w:iCs/>
                <w:highlight w:val="lightGray"/>
              </w:rPr>
            </w:pPr>
            <w:r>
              <w:rPr>
                <w:i/>
                <w:iCs/>
                <w:highlight w:val="lightGray"/>
              </w:rPr>
            </w:r>
          </w:p>
        </w:tc>
      </w:tr>
    </w:tbl>
    <w:p>
      <w:pPr>
        <w:pStyle w:val="12"/>
        <w:jc w:val="left"/>
        <w:rPr>
          <w:i/>
          <w:i/>
          <w:iCs/>
          <w:highlight w:val="lightGray"/>
        </w:rPr>
      </w:pPr>
      <w:r>
        <w:rPr>
          <w:i/>
          <w:iCs/>
          <w:highlight w:val="lightGray"/>
        </w:rPr>
      </w:r>
    </w:p>
    <w:p>
      <w:pPr>
        <w:pStyle w:val="12"/>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r>
        <w:rPr>
          <w:rStyle w:val="FootnoteReference"/>
          <w:iCs/>
          <w:sz w:val="24"/>
          <w:szCs w:val="24"/>
        </w:rPr>
        <w:footnoteReference w:id="23"/>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pPr>
            <w:r>
              <w:rPr>
                <w:iCs/>
              </w:rPr>
              <w:t xml:space="preserve">АКТ </w:t>
            </w:r>
            <w:r>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jc w:val="both"/>
              <w:rPr>
                <w:lang w:val="ru-RU"/>
              </w:rPr>
            </w:pPr>
            <w:r>
              <w:rPr>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6"/>
        <w:gridCol w:w="5504"/>
      </w:tblGrid>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r>
              <w:rPr>
                <w:color w:val="000000"/>
                <w:shd w:fill="C0C0C0" w:val="clear"/>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color w:val="000000"/>
                <w:szCs w:val="28"/>
                <w:shd w:fill="C0C0C0" w:val="clear"/>
                <w:lang w:val="ru-RU"/>
              </w:rPr>
              <w:t>требований</w:t>
            </w:r>
            <w:r>
              <w:rPr>
                <w:color w:val="000000"/>
                <w:shd w:fill="C0C0C0" w:val="clear"/>
                <w:lang w:val="ru-RU"/>
              </w:rPr>
              <w:t>, установленных локальными нормативными актами (документами) Заказчика в области обращения с Отходами на территории Заказчика.</w:t>
            </w:r>
            <w:r>
              <w:rPr>
                <w:rStyle w:val="FootnoteReference"/>
                <w:color w:val="000000"/>
                <w:shd w:fill="C0C0C0" w:val="clear"/>
                <w:lang w:val="ru-RU"/>
              </w:rPr>
              <w:footnoteReference w:id="24"/>
            </w:r>
            <w:r>
              <w:rPr>
                <w:color w:val="000000"/>
                <w:lang w:val="ru-RU"/>
              </w:rPr>
              <w:t xml:space="preserve"> </w:t>
            </w:r>
          </w:p>
        </w:tc>
        <w:tc>
          <w:tcPr>
            <w:tcW w:w="55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r>
      <w:r>
        <w:br w:type="page"/>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25"/>
      </w:r>
      <w:r>
        <w:rPr>
          <w:lang w:val="ru-RU"/>
        </w:rPr>
        <w:t>, а также соответствовать следующим критериям:</w:t>
      </w:r>
    </w:p>
    <w:p>
      <w:pPr>
        <w:pStyle w:val="Normal"/>
        <w:numPr>
          <w:ilvl w:val="1"/>
          <w:numId w:val="32"/>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2"/>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2"/>
        </w:numPr>
        <w:tabs>
          <w:tab w:val="clear" w:pos="709"/>
          <w:tab w:val="left" w:pos="1134" w:leader="none"/>
        </w:tabs>
        <w:ind w:left="0" w:firstLine="710"/>
        <w:jc w:val="both"/>
        <w:rPr>
          <w:lang w:val="ru-RU"/>
        </w:rPr>
      </w:pPr>
      <w:r>
        <w:rPr>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5">
        <w:r>
          <w:rPr>
            <w:rStyle w:val="Hyperlink"/>
            <w:color w:val="auto"/>
            <w:lang w:val="ru-RU"/>
          </w:rPr>
          <w:t>www.cbr.ru</w:t>
        </w:r>
      </w:hyperlink>
      <w:r>
        <w:rPr>
          <w:lang w:val="ru-RU"/>
        </w:rPr>
        <w:t xml:space="preserve">) на официальных сайтах ЦБ РФ и/ или кредитной организации либо представленной кредитной организации Заказчику. </w:t>
      </w:r>
    </w:p>
    <w:p>
      <w:pPr>
        <w:pStyle w:val="Normal"/>
        <w:numPr>
          <w:ilvl w:val="1"/>
          <w:numId w:val="32"/>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26"/>
      </w:r>
      <w:r>
        <w:rPr>
          <w:lang w:val="ru-RU"/>
        </w:rPr>
        <w:t xml:space="preserve">. </w:t>
      </w:r>
    </w:p>
    <w:p>
      <w:pPr>
        <w:pStyle w:val="Normal"/>
        <w:numPr>
          <w:ilvl w:val="1"/>
          <w:numId w:val="32"/>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27"/>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2"/>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28"/>
      </w:r>
      <w:r>
        <w:rPr>
          <w:lang w:val="ru-RU"/>
        </w:rPr>
        <w:t>.</w:t>
      </w:r>
    </w:p>
    <w:p>
      <w:pPr>
        <w:pStyle w:val="Normal"/>
        <w:numPr>
          <w:ilvl w:val="1"/>
          <w:numId w:val="32"/>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3"/>
        </w:numPr>
        <w:tabs>
          <w:tab w:val="clear" w:pos="709"/>
          <w:tab w:val="left" w:pos="1134" w:leader="none"/>
        </w:tabs>
        <w:ind w:left="0" w:firstLine="709"/>
        <w:jc w:val="both"/>
        <w:rPr/>
      </w:pPr>
      <w:r>
        <w:rPr>
          <w:lang w:val="ru-RU"/>
        </w:rPr>
        <w:t xml:space="preserve"> </w:t>
      </w:r>
      <w:r>
        <w:rPr/>
        <w:t>ВЭБ.РФ.</w:t>
      </w:r>
    </w:p>
    <w:p>
      <w:pPr>
        <w:pStyle w:val="Normal"/>
        <w:numPr>
          <w:ilvl w:val="1"/>
          <w:numId w:val="33"/>
        </w:numPr>
        <w:tabs>
          <w:tab w:val="clear" w:pos="709"/>
          <w:tab w:val="left" w:pos="1134" w:leader="none"/>
        </w:tabs>
        <w:ind w:left="0" w:firstLine="709"/>
        <w:rPr/>
      </w:pPr>
      <w:r>
        <w:rPr/>
        <w:t>Нерезидентов Российской Федерации.</w:t>
      </w:r>
    </w:p>
    <w:p>
      <w:pPr>
        <w:pStyle w:val="Normal"/>
        <w:numPr>
          <w:ilvl w:val="1"/>
          <w:numId w:val="32"/>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firstLine="710"/>
        <w:jc w:val="both"/>
        <w:rPr>
          <w:lang w:val="ru-RU"/>
        </w:rPr>
      </w:pPr>
      <w:r>
        <w:rPr>
          <w:lang w:val="ru-RU"/>
        </w:rPr>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p>
      <w:pPr>
        <w:pStyle w:val="Normal"/>
        <w:tabs>
          <w:tab w:val="clear" w:pos="709"/>
          <w:tab w:val="left" w:pos="1134" w:leader="none"/>
        </w:tabs>
        <w:ind w:firstLine="709"/>
        <w:jc w:val="center"/>
        <w:rPr/>
      </w:pPr>
      <w:r>
        <w:rPr/>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ind w:right="-108" w:hanging="0"/>
              <w:rPr>
                <w:color w:val="000000"/>
              </w:rPr>
            </w:pPr>
            <w:r>
              <w:rPr>
                <w:b/>
                <w:i/>
                <w:color w:val="000000"/>
              </w:rPr>
              <w:t>Lim</w:t>
            </w:r>
            <w:r>
              <w:rPr>
                <w:b/>
                <w:i/>
                <w:color w:val="000000"/>
                <w:vertAlign w:val="subscript"/>
                <w:lang w:val="en-US"/>
              </w:rPr>
              <w:t xml:space="preserve">Ai </w:t>
            </w:r>
          </w:p>
        </w:tc>
        <w:tc>
          <w:tcPr>
            <w:tcW w:w="280" w:type="dxa"/>
            <w:tcBorders/>
            <w:shd w:color="auto" w:fill="auto" w:val="clear"/>
          </w:tcPr>
          <w:p>
            <w:pPr>
              <w:pStyle w:val="Normal"/>
              <w:widowControl w:val="false"/>
              <w:ind w:left="317" w:right="-108" w:hanging="317"/>
              <w:rPr>
                <w:color w:val="000000"/>
              </w:rPr>
            </w:pPr>
            <w:r>
              <w:rPr/>
              <w:t xml:space="preserve">-  </w:t>
            </w:r>
          </w:p>
        </w:tc>
        <w:tc>
          <w:tcPr>
            <w:tcW w:w="8509" w:type="dxa"/>
            <w:tcBorders/>
            <w:shd w:color="auto" w:fill="auto" w:val="clear"/>
          </w:tcPr>
          <w:p>
            <w:pPr>
              <w:pStyle w:val="Normal"/>
              <w:widowControl w:val="false"/>
              <w:ind w:left="-75" w:right="-108" w:firstLine="567"/>
              <w:rPr>
                <w:color w:val="000000"/>
                <w:lang w:val="ru-RU"/>
              </w:rPr>
            </w:pPr>
            <w:r>
              <w:rPr>
                <w:lang w:val="ru-RU"/>
              </w:rPr>
              <w:t xml:space="preserve">Лимит риска для </w:t>
            </w:r>
            <w:r>
              <w:rPr/>
              <w:t>i</w:t>
            </w:r>
            <w:r>
              <w:rPr>
                <w:lang w:val="ru-RU"/>
              </w:rPr>
              <w:t>-ой кредитной организации</w:t>
            </w:r>
            <w:r>
              <w:rPr>
                <w:rStyle w:val="FootnoteReference"/>
              </w:rPr>
              <w:footnoteReference w:id="29"/>
            </w:r>
            <w:r>
              <w:rPr>
                <w:lang w:val="ru-RU"/>
              </w:rPr>
              <w:t>.</w:t>
            </w:r>
          </w:p>
        </w:tc>
      </w:tr>
      <w:tr>
        <w:trPr>
          <w:trHeight w:val="280" w:hRule="atLeast"/>
        </w:trPr>
        <w:tc>
          <w:tcPr>
            <w:tcW w:w="817" w:type="dxa"/>
            <w:tcBorders/>
            <w:shd w:color="auto" w:fill="auto" w:val="clear"/>
          </w:tcPr>
          <w:p>
            <w:pPr>
              <w:pStyle w:val="Normal"/>
              <w:widowControl w:val="false"/>
              <w:ind w:right="-108" w:hanging="0"/>
              <w:rPr>
                <w:b/>
                <w:i/>
                <w:i/>
                <w:color w:val="000000"/>
                <w:vertAlign w:val="subscript"/>
              </w:rPr>
            </w:pPr>
            <w:r>
              <w:rPr>
                <w:b/>
                <w:i/>
                <w:color w:val="000000"/>
              </w:rPr>
              <w:t>С</w:t>
            </w:r>
            <w:r>
              <w:rPr>
                <w:b/>
                <w:i/>
                <w:color w:val="000000"/>
                <w:lang w:val="en-US"/>
              </w:rPr>
              <w:t>K</w:t>
            </w:r>
            <w:r>
              <w:rPr>
                <w:b/>
                <w:i/>
                <w:color w:val="000000"/>
                <w:vertAlign w:val="subscript"/>
                <w:lang w:val="en-US"/>
              </w:rPr>
              <w:t>i</w:t>
            </w:r>
          </w:p>
          <w:p>
            <w:pPr>
              <w:pStyle w:val="Normal"/>
              <w:widowControl w:val="false"/>
              <w:ind w:right="-108" w:firstLine="567"/>
              <w:rPr>
                <w:color w:val="000000"/>
              </w:rPr>
            </w:pPr>
            <w:r>
              <w:rPr>
                <w:color w:val="000000"/>
              </w:rPr>
            </w:r>
          </w:p>
        </w:tc>
        <w:tc>
          <w:tcPr>
            <w:tcW w:w="280" w:type="dxa"/>
            <w:tcBorders/>
            <w:shd w:color="auto" w:fill="auto" w:val="clear"/>
          </w:tcPr>
          <w:p>
            <w:pPr>
              <w:pStyle w:val="Normal"/>
              <w:widowControl w:val="false"/>
              <w:ind w:right="-108" w:hanging="0"/>
              <w:rPr>
                <w:color w:val="000000"/>
              </w:rPr>
            </w:pPr>
            <w:r>
              <w:rPr/>
              <w:t>-</w:t>
            </w:r>
            <w:r>
              <w:rPr>
                <w:color w:val="000000"/>
              </w:rPr>
              <w:t xml:space="preserve">  </w:t>
            </w:r>
          </w:p>
        </w:tc>
        <w:tc>
          <w:tcPr>
            <w:tcW w:w="8509" w:type="dxa"/>
            <w:tcBorders/>
            <w:shd w:color="auto" w:fill="auto" w:val="clear"/>
          </w:tcPr>
          <w:p>
            <w:pPr>
              <w:pStyle w:val="Normal"/>
              <w:widowControl w:val="false"/>
              <w:ind w:left="-75" w:right="-108" w:firstLine="567"/>
              <w:rPr>
                <w:color w:val="000000"/>
                <w:lang w:val="ru-RU"/>
              </w:rPr>
            </w:pPr>
            <w:r>
              <w:rPr>
                <w:lang w:val="ru-RU"/>
              </w:rPr>
              <w:t xml:space="preserve">размер собственных средств (капитала) </w:t>
            </w:r>
            <w:r>
              <w:rPr/>
              <w:t>i</w:t>
            </w:r>
            <w:r>
              <w:rPr>
                <w:lang w:val="ru-RU"/>
              </w:rPr>
              <w:t xml:space="preserve">-ой кредитной организации </w:t>
              <w:br/>
              <w:t xml:space="preserve">на 1 января текущего календарного года по данным отчетности </w:t>
              <w:br/>
              <w:t xml:space="preserve">(в соответствии с кодом формы по ОКУД 0409123 «Расчет собственных средств (капитала) («Базель </w:t>
            </w:r>
            <w:r>
              <w:rPr/>
              <w:t>III</w:t>
            </w:r>
            <w:r>
              <w:rPr>
                <w:lang w:val="ru-RU"/>
              </w:rPr>
              <w:t>»)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Pr>
                <w:t>www</w:t>
              </w:r>
              <w:r>
                <w:rPr>
                  <w:rStyle w:val="Hyperlink"/>
                  <w:lang w:val="ru-RU"/>
                </w:rPr>
                <w:t>.</w:t>
              </w:r>
              <w:r>
                <w:rPr>
                  <w:rStyle w:val="Hyperlink"/>
                </w:rPr>
                <w:t>cbr</w:t>
              </w:r>
              <w:r>
                <w:rPr>
                  <w:rStyle w:val="Hyperlink"/>
                  <w:lang w:val="ru-RU"/>
                </w:rPr>
                <w:t>.</w:t>
              </w:r>
              <w:r>
                <w:rPr>
                  <w:rStyle w:val="Hyperlink"/>
                </w:rPr>
                <w:t>ru</w:t>
              </w:r>
            </w:hyperlink>
            <w:r>
              <w:rPr>
                <w:lang w:val="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ind w:right="-108" w:hanging="0"/>
              <w:rPr>
                <w:b/>
                <w:i/>
                <w:i/>
                <w:color w:val="000000"/>
              </w:rPr>
            </w:pPr>
            <w:r>
              <w:rPr>
                <w:b/>
                <w:i/>
                <w:color w:val="000000"/>
              </w:rPr>
              <w:t>r</w:t>
            </w:r>
            <w:r>
              <w:rPr>
                <w:b/>
                <w:i/>
                <w:color w:val="000000"/>
                <w:vertAlign w:val="subscript"/>
              </w:rPr>
              <w:t>i</w:t>
            </w:r>
          </w:p>
        </w:tc>
        <w:tc>
          <w:tcPr>
            <w:tcW w:w="280" w:type="dxa"/>
            <w:tcBorders/>
          </w:tcPr>
          <w:p>
            <w:pPr>
              <w:pStyle w:val="Normal"/>
              <w:widowControl w:val="false"/>
              <w:ind w:right="-108" w:hanging="0"/>
              <w:rPr/>
            </w:pPr>
            <w:r>
              <w:rPr/>
              <w:t>-</w:t>
            </w:r>
          </w:p>
        </w:tc>
        <w:tc>
          <w:tcPr>
            <w:tcW w:w="8509" w:type="dxa"/>
            <w:tcBorders/>
          </w:tcPr>
          <w:p>
            <w:pPr>
              <w:pStyle w:val="Normal"/>
              <w:widowControl w:val="false"/>
              <w:tabs>
                <w:tab w:val="left" w:pos="709" w:leader="none"/>
                <w:tab w:val="left" w:pos="851" w:leader="none"/>
              </w:tabs>
              <w:ind w:left="680" w:hanging="0"/>
              <w:jc w:val="both"/>
              <w:rPr>
                <w:lang w:val="ru-RU"/>
              </w:rPr>
            </w:pPr>
            <w:r>
              <w:rPr>
                <w:lang w:val="ru-RU"/>
              </w:rPr>
              <w:t>рейтинговый коэффициент</w:t>
            </w:r>
            <w:r>
              <w:rPr>
                <w:rStyle w:val="FootnoteReference"/>
              </w:rPr>
              <w:footnoteReference w:id="30"/>
            </w:r>
            <w:r>
              <w:rPr>
                <w:lang w:val="ru-RU"/>
              </w:rPr>
              <w:t xml:space="preserve"> для </w:t>
            </w:r>
            <w:r>
              <w:rPr/>
              <w:t>i</w:t>
            </w:r>
            <w:r>
              <w:rPr>
                <w:lang w:val="ru-RU"/>
              </w:rPr>
              <w:t>-ой кредитной организации, равный:</w:t>
            </w:r>
          </w:p>
          <w:p>
            <w:pPr>
              <w:pStyle w:val="Normal"/>
              <w:widowControl w:val="false"/>
              <w:tabs>
                <w:tab w:val="left" w:pos="709" w:leader="none"/>
                <w:tab w:val="left" w:pos="851" w:leader="none"/>
              </w:tabs>
              <w:ind w:right="-108" w:firstLine="709"/>
              <w:jc w:val="both"/>
              <w:rPr>
                <w:lang w:val="ru-RU"/>
              </w:rPr>
            </w:pPr>
            <w:r>
              <w:rPr>
                <w:b/>
                <w:lang w:val="ru-RU"/>
              </w:rPr>
              <w:t>0,075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left" w:pos="709" w:leader="none"/>
                <w:tab w:val="left" w:pos="851" w:leader="none"/>
              </w:tabs>
              <w:ind w:right="-108" w:firstLine="709"/>
              <w:jc w:val="both"/>
              <w:rPr>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tabs>
                <w:tab w:val="clear" w:pos="709"/>
                <w:tab w:val="left" w:pos="7130" w:leader="none"/>
              </w:tabs>
              <w:ind w:right="-108" w:firstLine="567"/>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lang w:val="ru-RU"/>
        </w:rPr>
      </w:pPr>
      <w:r>
        <w:rPr>
          <w:lang w:val="ru-RU"/>
        </w:rPr>
      </w:r>
    </w:p>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63"/>
        <w:gridCol w:w="781"/>
        <w:gridCol w:w="1148"/>
        <w:gridCol w:w="1378"/>
        <w:gridCol w:w="2338"/>
        <w:gridCol w:w="2888"/>
        <w:gridCol w:w="2752"/>
        <w:gridCol w:w="973"/>
        <w:gridCol w:w="2046"/>
      </w:tblGrid>
      <w:tr>
        <w:trPr>
          <w:trHeight w:val="1327"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391"/>
        <w:gridCol w:w="1665"/>
        <w:gridCol w:w="1110"/>
        <w:gridCol w:w="1110"/>
        <w:gridCol w:w="1250"/>
        <w:gridCol w:w="2082"/>
        <w:gridCol w:w="1805"/>
        <w:gridCol w:w="1250"/>
        <w:gridCol w:w="2904"/>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31"/>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52"/>
        <w:gridCol w:w="1747"/>
        <w:gridCol w:w="1164"/>
        <w:gridCol w:w="1162"/>
        <w:gridCol w:w="1310"/>
        <w:gridCol w:w="1161"/>
        <w:gridCol w:w="1893"/>
        <w:gridCol w:w="1018"/>
        <w:gridCol w:w="1164"/>
        <w:gridCol w:w="870"/>
        <w:gridCol w:w="728"/>
        <w:gridCol w:w="899"/>
      </w:tblGrid>
      <w:tr>
        <w:trPr>
          <w:trHeight w:val="566"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8</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center"/>
        <w:rPr>
          <w:lang w:val="ru-RU"/>
        </w:rPr>
      </w:pPr>
      <w:r>
        <w:rPr>
          <w:lang w:val="ru-RU"/>
        </w:rPr>
      </w:r>
    </w:p>
    <w:p>
      <w:pPr>
        <w:pStyle w:val="Normal"/>
        <w:spacing w:before="20" w:after="20"/>
        <w:ind w:firstLine="709"/>
        <w:jc w:val="center"/>
        <w:rPr>
          <w:lang w:val="ru-RU"/>
        </w:rPr>
      </w:pPr>
      <w:bookmarkStart w:id="22" w:name="_Toc122678954_Копия_5"/>
      <w:r>
        <w:rPr>
          <w:b/>
          <w:lang w:val="ru-RU"/>
        </w:rPr>
        <w:t>Методика расчета упущенной выгоды (выручки)</w:t>
      </w:r>
      <w:bookmarkEnd w:id="22"/>
      <w:r>
        <w:rPr>
          <w:b/>
          <w:lang w:val="ru-RU"/>
        </w:rPr>
        <w:t xml:space="preserve"> </w:t>
      </w:r>
    </w:p>
    <w:p>
      <w:pPr>
        <w:pStyle w:val="Normal"/>
        <w:spacing w:before="20" w:after="20"/>
        <w:ind w:firstLine="709"/>
        <w:jc w:val="center"/>
        <w:rPr>
          <w:lang w:val="ru-RU"/>
        </w:rPr>
      </w:pPr>
      <w:r>
        <w:rPr>
          <w:b/>
          <w:lang w:val="ru-RU"/>
        </w:rPr>
        <w:t>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w:t>
      </w:r>
      <w:r>
        <w:rPr>
          <w:b/>
        </w:rPr>
        <w:t> </w:t>
      </w:r>
      <w:r>
        <w:rPr>
          <w:b/>
          <w:lang w:val="ru-RU"/>
        </w:rPr>
        <w:t>неценовой зоне отпового рынка Дальнего Востока</w:t>
      </w:r>
    </w:p>
    <w:p>
      <w:pPr>
        <w:pStyle w:val="Normal"/>
        <w:spacing w:before="20" w:after="20"/>
        <w:ind w:firstLine="709"/>
        <w:jc w:val="center"/>
        <w:rPr>
          <w:lang w:val="ru-RU"/>
        </w:rPr>
      </w:pPr>
      <w:r>
        <w:rPr>
          <w:lang w:val="ru-RU"/>
        </w:rPr>
      </w:r>
    </w:p>
    <w:p>
      <w:pPr>
        <w:pStyle w:val="Normal"/>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34"/>
        </w:numPr>
        <w:ind w:left="0" w:firstLine="709"/>
        <w:jc w:val="both"/>
        <w:rPr>
          <w:bCs/>
        </w:rPr>
      </w:pPr>
      <w:r>
        <w:rPr>
          <w:bCs/>
        </w:rPr>
        <w:t>номер заявки;</w:t>
      </w:r>
    </w:p>
    <w:p>
      <w:pPr>
        <w:pStyle w:val="Normal"/>
        <w:numPr>
          <w:ilvl w:val="0"/>
          <w:numId w:val="34"/>
        </w:numPr>
        <w:ind w:left="0" w:firstLine="709"/>
        <w:jc w:val="both"/>
        <w:rPr>
          <w:bCs/>
        </w:rPr>
      </w:pPr>
      <w:r>
        <w:rPr>
          <w:bCs/>
        </w:rPr>
        <w:t>подающее предприятие;</w:t>
      </w:r>
    </w:p>
    <w:p>
      <w:pPr>
        <w:pStyle w:val="Normal"/>
        <w:numPr>
          <w:ilvl w:val="0"/>
          <w:numId w:val="34"/>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4"/>
        </w:numPr>
        <w:ind w:left="0" w:firstLine="709"/>
        <w:jc w:val="both"/>
        <w:rPr>
          <w:bCs/>
        </w:rPr>
      </w:pPr>
      <w:r>
        <w:rPr>
          <w:bCs/>
        </w:rPr>
        <w:t>величина снижения максимальной мощности;</w:t>
      </w:r>
    </w:p>
    <w:p>
      <w:pPr>
        <w:pStyle w:val="Normal"/>
        <w:numPr>
          <w:ilvl w:val="0"/>
          <w:numId w:val="34"/>
        </w:numPr>
        <w:ind w:left="0" w:firstLine="709"/>
        <w:jc w:val="both"/>
        <w:rPr>
          <w:bCs/>
        </w:rPr>
      </w:pPr>
      <w:r>
        <w:rPr>
          <w:bCs/>
        </w:rPr>
        <w:t>содержание работ;</w:t>
      </w:r>
    </w:p>
    <w:p>
      <w:pPr>
        <w:pStyle w:val="Normal"/>
        <w:numPr>
          <w:ilvl w:val="0"/>
          <w:numId w:val="34"/>
        </w:numPr>
        <w:ind w:left="0" w:firstLine="709"/>
        <w:jc w:val="both"/>
        <w:rPr>
          <w:bCs/>
        </w:rPr>
      </w:pPr>
      <w:r>
        <w:rPr>
          <w:bCs/>
        </w:rPr>
        <w:t>время подачи заявки;</w:t>
      </w:r>
    </w:p>
    <w:p>
      <w:pPr>
        <w:pStyle w:val="Normal"/>
        <w:numPr>
          <w:ilvl w:val="0"/>
          <w:numId w:val="34"/>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«Порядка установления соответствия генерирующего оборудования участников оптового рынка техническим требованиям»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 </w:t>
      </w:r>
    </w:p>
    <w:p>
      <w:pPr>
        <w:pStyle w:val="Normal"/>
        <w:spacing w:before="20" w:after="20"/>
        <w:ind w:firstLine="709"/>
        <w:rPr>
          <w:lang w:val="ru-RU"/>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m</m:t>
                </m:r>
              </m:sub>
              <m:sup>
                <m:r>
                  <w:rPr>
                    <w:rFonts w:ascii="Cambria Math" w:hAnsi="Cambria Math"/>
                  </w:rPr>
                  <m:t xml:space="preserve">1</m:t>
                </m:r>
              </m:sup>
            </m:sSubSup>
          </m:sup>
        </m:sSup>
      </m:oMath>
      <w:r>
        <w:rPr>
          <w:lang w:val="ru-RU"/>
        </w:rPr>
        <w:t xml:space="preserve"> – </w:t>
      </w:r>
      <w:r>
        <w:rPr>
          <w:lang w:val="ru-RU"/>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lang w:val="ru-RU"/>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m</m:t>
                </m:r>
              </m:sub>
              <m:sup>
                <m:r>
                  <w:rPr>
                    <w:rFonts w:ascii="Cambria Math" w:hAnsi="Cambria Math"/>
                  </w:rPr>
                  <m:t xml:space="preserve">2</m:t>
                </m:r>
              </m:sup>
            </m:sSubSup>
          </m:sup>
        </m:sSup>
      </m:oMath>
      <w:r>
        <w:rPr>
          <w:lang w:val="ru-RU"/>
        </w:rPr>
        <w:t xml:space="preserve"> – </w:t>
      </w:r>
      <w:r>
        <w:rPr>
          <w:lang w:val="ru-RU"/>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lang w:val="ru-RU"/>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4"/>
                    <a:srcRect l="-222" t="-329" r="-222" b="-329"/>
                    <a:stretch>
                      <a:fillRect/>
                    </a:stretch>
                  </pic:blipFill>
                  <pic:spPr bwMode="auto">
                    <a:xfrm>
                      <a:off x="0" y="0"/>
                      <a:ext cx="323850" cy="219075"/>
                    </a:xfrm>
                    <a:prstGeom prst="rect">
                      <a:avLst/>
                    </a:prstGeom>
                  </pic:spPr>
                </pic:pic>
              </a:graphicData>
            </a:graphic>
          </wp:inline>
        </w:drawing>
      </w:r>
      <w:r>
        <w:rPr>
          <w:lang w:val="ru-RU"/>
        </w:rPr>
        <w:t xml:space="preserve"> – </w:t>
      </w:r>
      <w:r>
        <w:rPr>
          <w:lang w:val="ru-RU"/>
        </w:rPr>
        <w:t>величина согласованного планового ремонтного снижения мощности;</w:t>
      </w:r>
    </w:p>
    <w:p>
      <w:pPr>
        <w:pStyle w:val="Normal"/>
        <w:spacing w:lineRule="auto" w:line="276"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lang w:val="ru-RU"/>
        </w:rPr>
      </w:pPr>
      <w:r>
        <w:rPr>
          <w:lang w:val="ru-RU"/>
        </w:rPr>
        <w:t xml:space="preserve"> – </w:t>
      </w:r>
      <w:r>
        <w:rPr>
          <w:lang w:val="ru-RU"/>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lang w:val="ru-RU"/>
        </w:rPr>
      </w:pPr>
      <w:r>
        <w:rPr>
          <w:lang w:val="ru-RU"/>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lang w:val="ru-RU"/>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5"/>
                    <a:stretch>
                      <a:fillRect/>
                    </a:stretch>
                  </pic:blipFill>
                  <pic:spPr bwMode="auto">
                    <a:xfrm>
                      <a:off x="0" y="0"/>
                      <a:ext cx="545465" cy="273050"/>
                    </a:xfrm>
                    <a:prstGeom prst="rect">
                      <a:avLst/>
                    </a:prstGeom>
                  </pic:spPr>
                </pic:pic>
              </a:graphicData>
            </a:graphic>
          </wp:inline>
        </w:drawing>
      </w:r>
      <w:r>
        <w:rPr>
          <w:lang w:val="ru-RU"/>
        </w:rPr>
        <w:t xml:space="preserve"> – </w:t>
      </w:r>
      <w:r>
        <w:rPr>
          <w:lang w:val="ru-RU"/>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lang w:val="ru-RU"/>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6"/>
                    <a:stretch>
                      <a:fillRect/>
                    </a:stretch>
                  </pic:blipFill>
                  <pic:spPr bwMode="auto">
                    <a:xfrm>
                      <a:off x="0" y="0"/>
                      <a:ext cx="524510" cy="266065"/>
                    </a:xfrm>
                    <a:prstGeom prst="rect">
                      <a:avLst/>
                    </a:prstGeom>
                  </pic:spPr>
                </pic:pic>
              </a:graphicData>
            </a:graphic>
          </wp:inline>
        </w:drawing>
      </w:r>
      <w:r>
        <w:rPr>
          <w:lang w:val="ru-RU"/>
        </w:rPr>
        <w:t xml:space="preserve"> – </w:t>
      </w:r>
      <w:r>
        <w:rPr>
          <w:lang w:val="ru-RU"/>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lang w:val="ru-RU"/>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t>
                </m:r>
                <m:r>
                  <m:rPr>
                    <m:lit/>
                    <m:nor/>
                  </m:rPr>
                  <w:rPr>
                    <w:rFonts w:ascii="Cambria Math" w:hAnsi="Cambria Math"/>
                  </w:rPr>
                  <m:t xml:space="preserve">max</m:t>
                </m:r>
                <m:r>
                  <m:rPr>
                    <m:lit/>
                    <m:nor/>
                  </m:rPr>
                  <w:rPr>
                    <w:rFonts w:ascii="Cambria Math" w:hAnsi="Cambria Math"/>
                  </w:rPr>
                  <m:t xml:space="preserve">,</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lang w:val="ru-RU"/>
        </w:rPr>
        <w:t xml:space="preserve"> – </w:t>
      </w:r>
      <w:r>
        <w:rPr>
          <w:lang w:val="ru-RU"/>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lang w:val="ru-RU"/>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7"/>
                    <a:stretch>
                      <a:fillRect/>
                    </a:stretch>
                  </pic:blipFill>
                  <pic:spPr bwMode="auto">
                    <a:xfrm>
                      <a:off x="0" y="0"/>
                      <a:ext cx="532130" cy="272415"/>
                    </a:xfrm>
                    <a:prstGeom prst="rect">
                      <a:avLst/>
                    </a:prstGeom>
                  </pic:spPr>
                </pic:pic>
              </a:graphicData>
            </a:graphic>
          </wp:inline>
        </w:drawing>
      </w:r>
      <w:r>
        <w:rPr>
          <w:lang w:val="ru-RU"/>
        </w:rPr>
        <w:t xml:space="preserve"> – </w:t>
      </w:r>
      <w:r>
        <w:rPr>
          <w:lang w:val="ru-RU"/>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lang w:val="ru-RU"/>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8"/>
                    <a:stretch>
                      <a:fillRect/>
                    </a:stretch>
                  </pic:blipFill>
                  <pic:spPr bwMode="auto">
                    <a:xfrm>
                      <a:off x="0" y="0"/>
                      <a:ext cx="526415" cy="262890"/>
                    </a:xfrm>
                    <a:prstGeom prst="rect">
                      <a:avLst/>
                    </a:prstGeom>
                  </pic:spPr>
                </pic:pic>
              </a:graphicData>
            </a:graphic>
          </wp:inline>
        </w:drawing>
      </w:r>
      <w:r>
        <w:rPr>
          <w:lang w:val="ru-RU"/>
        </w:rPr>
        <w:t xml:space="preserve"> – </w:t>
      </w:r>
      <w:r>
        <w:rPr>
          <w:lang w:val="ru-RU"/>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lang w:val="ru-RU"/>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9"/>
                    <a:stretch>
                      <a:fillRect/>
                    </a:stretch>
                  </pic:blipFill>
                  <pic:spPr bwMode="auto">
                    <a:xfrm>
                      <a:off x="0" y="0"/>
                      <a:ext cx="620395" cy="320040"/>
                    </a:xfrm>
                    <a:prstGeom prst="rect">
                      <a:avLst/>
                    </a:prstGeom>
                  </pic:spPr>
                </pic:pic>
              </a:graphicData>
            </a:graphic>
          </wp:inline>
        </w:drawing>
      </w:r>
      <w:r>
        <w:rPr>
          <w:lang w:val="ru-RU"/>
        </w:rPr>
        <w:t xml:space="preserve"> – </w:t>
      </w:r>
      <w:r>
        <w:rPr>
          <w:lang w:val="ru-RU"/>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w:t>
      </w:r>
      <w:r>
        <w:rPr/>
        <w:t>n</w:t>
      </w:r>
      <w:r>
        <w:rPr>
          <w:lang w:val="ru-RU"/>
        </w:rPr>
        <w:t>-4) суток Х;</w:t>
      </w:r>
    </w:p>
    <w:p>
      <w:pPr>
        <w:pStyle w:val="Normal"/>
        <w:spacing w:lineRule="auto" w:line="276" w:before="20" w:after="20"/>
        <w:ind w:firstLine="709"/>
        <w:jc w:val="both"/>
        <w:rPr>
          <w:lang w:val="ru-RU"/>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0"/>
                    <a:stretch>
                      <a:fillRect/>
                    </a:stretch>
                  </pic:blipFill>
                  <pic:spPr bwMode="auto">
                    <a:xfrm>
                      <a:off x="0" y="0"/>
                      <a:ext cx="526415" cy="262890"/>
                    </a:xfrm>
                    <a:prstGeom prst="rect">
                      <a:avLst/>
                    </a:prstGeom>
                  </pic:spPr>
                </pic:pic>
              </a:graphicData>
            </a:graphic>
          </wp:inline>
        </w:drawing>
      </w:r>
      <w:r>
        <w:rPr>
          <w:lang w:val="ru-RU"/>
        </w:rPr>
        <w:t xml:space="preserve"> – </w:t>
      </w:r>
      <w:r>
        <w:rPr>
          <w:lang w:val="ru-RU"/>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w:t>
      </w:r>
      <w:r>
        <w:rPr/>
        <w:t>n</w:t>
      </w:r>
      <w:r>
        <w:rPr>
          <w:lang w:val="ru-RU"/>
        </w:rPr>
        <w:t>-4) суток Х;</w:t>
      </w:r>
    </w:p>
    <w:p>
      <w:pPr>
        <w:pStyle w:val="Normal"/>
        <w:spacing w:lineRule="auto" w:line="276" w:before="20" w:after="20"/>
        <w:ind w:firstLine="709"/>
        <w:jc w:val="both"/>
        <w:rPr>
          <w:lang w:val="ru-RU"/>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1"/>
                    <a:stretch>
                      <a:fillRect/>
                    </a:stretch>
                  </pic:blipFill>
                  <pic:spPr bwMode="auto">
                    <a:xfrm>
                      <a:off x="0" y="0"/>
                      <a:ext cx="511810" cy="241300"/>
                    </a:xfrm>
                    <a:prstGeom prst="rect">
                      <a:avLst/>
                    </a:prstGeom>
                  </pic:spPr>
                </pic:pic>
              </a:graphicData>
            </a:graphic>
          </wp:inline>
        </w:drawing>
      </w:r>
      <w:r>
        <w:rPr>
          <w:lang w:val="ru-RU"/>
        </w:rPr>
        <w:t xml:space="preserve"> – </w:t>
      </w:r>
      <w:r>
        <w:rPr>
          <w:lang w:val="ru-RU"/>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lang w:val="ru-RU"/>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2"/>
                    <a:stretch>
                      <a:fillRect/>
                    </a:stretch>
                  </pic:blipFill>
                  <pic:spPr bwMode="auto">
                    <a:xfrm>
                      <a:off x="0" y="0"/>
                      <a:ext cx="497205" cy="240665"/>
                    </a:xfrm>
                    <a:prstGeom prst="rect">
                      <a:avLst/>
                    </a:prstGeom>
                  </pic:spPr>
                </pic:pic>
              </a:graphicData>
            </a:graphic>
          </wp:inline>
        </w:drawing>
      </w:r>
      <w:r>
        <w:rPr>
          <w:lang w:val="ru-RU"/>
        </w:rPr>
        <w:t xml:space="preserve"> – </w:t>
      </w:r>
      <w:r>
        <w:rPr>
          <w:lang w:val="ru-RU"/>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lang w:val="ru-RU"/>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3"/>
                    <a:stretch>
                      <a:fillRect/>
                    </a:stretch>
                  </pic:blipFill>
                  <pic:spPr bwMode="auto">
                    <a:xfrm>
                      <a:off x="0" y="0"/>
                      <a:ext cx="914400" cy="285115"/>
                    </a:xfrm>
                    <a:prstGeom prst="rect">
                      <a:avLst/>
                    </a:prstGeom>
                  </pic:spPr>
                </pic:pic>
              </a:graphicData>
            </a:graphic>
          </wp:inline>
        </w:drawing>
      </w:r>
      <w:r>
        <w:rPr>
          <w:lang w:val="ru-RU"/>
        </w:rPr>
        <w:t xml:space="preserve"> – </w:t>
      </w:r>
      <w:r>
        <w:rPr>
          <w:lang w:val="ru-RU"/>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lang w:val="ru-RU"/>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4"/>
                    <a:stretch>
                      <a:fillRect/>
                    </a:stretch>
                  </pic:blipFill>
                  <pic:spPr bwMode="auto">
                    <a:xfrm>
                      <a:off x="0" y="0"/>
                      <a:ext cx="1052830" cy="357505"/>
                    </a:xfrm>
                    <a:prstGeom prst="rect">
                      <a:avLst/>
                    </a:prstGeom>
                  </pic:spPr>
                </pic:pic>
              </a:graphicData>
            </a:graphic>
          </wp:inline>
        </w:drawing>
      </w:r>
      <w:r>
        <w:rPr>
          <w:lang w:val="ru-RU"/>
        </w:rPr>
        <w:t xml:space="preserve"> – </w:t>
      </w:r>
      <w:r>
        <w:rPr>
          <w:lang w:val="ru-RU"/>
        </w:rPr>
        <w:t>регистрируется при согласованном увеличении времени включения в сеть;</w:t>
      </w:r>
    </w:p>
    <w:p>
      <w:pPr>
        <w:pStyle w:val="Normal"/>
        <w:spacing w:lineRule="auto" w:line="276" w:before="20" w:after="20"/>
        <w:ind w:firstLine="709"/>
        <w:jc w:val="both"/>
        <w:rPr>
          <w:lang w:val="ru-RU"/>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5"/>
                    <a:stretch>
                      <a:fillRect/>
                    </a:stretch>
                  </pic:blipFill>
                  <pic:spPr bwMode="auto">
                    <a:xfrm>
                      <a:off x="0" y="0"/>
                      <a:ext cx="958215" cy="313690"/>
                    </a:xfrm>
                    <a:prstGeom prst="rect">
                      <a:avLst/>
                    </a:prstGeom>
                  </pic:spPr>
                </pic:pic>
              </a:graphicData>
            </a:graphic>
          </wp:inline>
        </w:drawing>
      </w:r>
      <w:r>
        <w:rPr>
          <w:lang w:val="ru-RU"/>
        </w:rPr>
        <w:t xml:space="preserve"> – </w:t>
      </w:r>
      <w:r>
        <w:rPr>
          <w:lang w:val="ru-RU"/>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before="20" w:after="20"/>
        <w:ind w:firstLine="709"/>
        <w:rPr>
          <w:lang w:val="ru-RU"/>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6"/>
                    <a:stretch>
                      <a:fillRect/>
                    </a:stretch>
                  </pic:blipFill>
                  <pic:spPr bwMode="auto">
                    <a:xfrm>
                      <a:off x="0" y="0"/>
                      <a:ext cx="368300" cy="285750"/>
                    </a:xfrm>
                    <a:prstGeom prst="rect">
                      <a:avLst/>
                    </a:prstGeom>
                  </pic:spPr>
                </pic:pic>
              </a:graphicData>
            </a:graphic>
          </wp:inline>
        </w:drawing>
      </w:r>
      <w:r>
        <w:rPr>
          <w:lang w:val="ru-RU"/>
        </w:rPr>
        <w:t xml:space="preserve"> – </w:t>
      </w:r>
      <w:r>
        <w:rPr>
          <w:lang w:val="ru-RU"/>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before="120" w:after="20"/>
        <w:ind w:firstLine="709"/>
        <w:rPr>
          <w:lang w:val="ru-RU"/>
        </w:rPr>
      </w:pPr>
      <w:r>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7"/>
                    <a:stretch>
                      <a:fillRect/>
                    </a:stretch>
                  </pic:blipFill>
                  <pic:spPr bwMode="auto">
                    <a:xfrm>
                      <a:off x="0" y="0"/>
                      <a:ext cx="336550" cy="267335"/>
                    </a:xfrm>
                    <a:prstGeom prst="rect">
                      <a:avLst/>
                    </a:prstGeom>
                  </pic:spPr>
                </pic:pic>
              </a:graphicData>
            </a:graphic>
          </wp:inline>
        </w:drawing>
      </w:r>
      <w:r>
        <w:rPr>
          <w:lang w:val="ru-RU"/>
        </w:rPr>
        <w:t>, соответствующие объемам невыполнения требований в месяце, определяется по формуле:</w:t>
      </w:r>
    </w:p>
    <w:p>
      <w:pPr>
        <w:pStyle w:val="Normal"/>
        <w:spacing w:before="20" w:after="20"/>
        <w:jc w:val="center"/>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8"/>
                    <a:stretch>
                      <a:fillRect/>
                    </a:stretch>
                  </pic:blipFill>
                  <pic:spPr bwMode="auto">
                    <a:xfrm>
                      <a:off x="0" y="0"/>
                      <a:ext cx="1371600" cy="673100"/>
                    </a:xfrm>
                    <a:prstGeom prst="rect">
                      <a:avLst/>
                    </a:prstGeom>
                  </pic:spPr>
                </pic:pic>
              </a:graphicData>
            </a:graphic>
          </wp:inline>
        </w:drawing>
      </w:r>
    </w:p>
    <w:p>
      <w:pPr>
        <w:pStyle w:val="Normal"/>
        <w:spacing w:before="20" w:after="20"/>
        <w:ind w:firstLine="709"/>
        <w:rPr>
          <w:lang w:val="ru-RU"/>
        </w:rPr>
      </w:pPr>
      <w:r>
        <w:rPr>
          <w:lang w:val="ru-RU"/>
        </w:rPr>
        <w:t>где:</w:t>
      </w:r>
    </w:p>
    <w:p>
      <w:pPr>
        <w:pStyle w:val="Normal"/>
        <w:spacing w:before="20" w:after="20"/>
        <w:ind w:firstLine="709"/>
        <w:rPr>
          <w:lang w:val="ru-RU"/>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9"/>
                    <a:stretch>
                      <a:fillRect/>
                    </a:stretch>
                  </pic:blipFill>
                  <pic:spPr bwMode="auto">
                    <a:xfrm>
                      <a:off x="0" y="0"/>
                      <a:ext cx="293370" cy="267335"/>
                    </a:xfrm>
                    <a:prstGeom prst="rect">
                      <a:avLst/>
                    </a:prstGeom>
                  </pic:spPr>
                </pic:pic>
              </a:graphicData>
            </a:graphic>
          </wp:inline>
        </w:drawing>
      </w:r>
      <w:r>
        <w:rPr>
          <w:lang w:val="ru-RU"/>
        </w:rPr>
        <w:t xml:space="preserve"> – </w:t>
      </w:r>
      <w:r>
        <w:rPr>
          <w:lang w:val="ru-RU"/>
        </w:rPr>
        <w:t>значения снижения мощности ГТПГ, установленные СО в ГРМ;</w:t>
      </w:r>
    </w:p>
    <w:p>
      <w:pPr>
        <w:pStyle w:val="Normal"/>
        <w:spacing w:before="20" w:after="20"/>
        <w:ind w:firstLine="709"/>
        <w:rPr>
          <w:lang w:val="ru-RU"/>
        </w:rPr>
      </w:pPr>
      <w:r>
        <w:rPr>
          <w:lang w:val="ru-RU"/>
        </w:rPr>
        <w:t xml:space="preserve">Н – количество часов, соответствующее расчетному месяцу </w:t>
      </w:r>
      <w:r>
        <w:rPr/>
        <w:t>m</w:t>
      </w:r>
      <w:r>
        <w:rPr>
          <w:lang w:val="ru-RU"/>
        </w:rPr>
        <w:t xml:space="preserve">. </w:t>
      </w:r>
    </w:p>
    <w:p>
      <w:pPr>
        <w:pStyle w:val="Normal"/>
        <w:spacing w:before="20" w:after="20"/>
        <w:ind w:firstLine="709"/>
        <w:rPr>
          <w:lang w:val="ru-RU"/>
        </w:rPr>
      </w:pPr>
      <w:r>
        <w:rPr>
          <w:lang w:val="ru-RU"/>
        </w:rPr>
      </w:r>
    </w:p>
    <w:p>
      <w:pPr>
        <w:pStyle w:val="Normal"/>
        <w:spacing w:before="20" w:after="20"/>
        <w:ind w:firstLine="709"/>
        <w:rPr>
          <w:lang w:val="ru-RU"/>
        </w:rPr>
      </w:pPr>
      <w:r>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before="120" w:after="20"/>
        <w:ind w:firstLine="709"/>
        <w:rPr>
          <w:lang w:val="ru-RU"/>
        </w:rPr>
      </w:pPr>
      <w:r>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Pr/>
        <w:t>m</w:t>
      </w:r>
      <w:r>
        <w:rPr>
          <w:lang w:val="ru-RU"/>
        </w:rPr>
        <w:t>, рассчитывается для каждой ГТП (единицы оборудования) по формуле:</w:t>
      </w:r>
    </w:p>
    <w:p>
      <w:pPr>
        <w:pStyle w:val="Normal"/>
        <w:spacing w:before="20" w:after="20"/>
        <w:ind w:firstLine="709"/>
        <w:rPr>
          <w:lang w:val="ru-RU"/>
        </w:rPr>
      </w:pPr>
      <w:r>
        <w:rPr>
          <w:lang w:val="ru-RU"/>
        </w:rPr>
      </w:r>
    </w:p>
    <w:p>
      <w:pPr>
        <w:pStyle w:val="Normal"/>
        <w:spacing w:before="20" w:after="20"/>
        <w:ind w:firstLine="709"/>
        <w:jc w:val="center"/>
        <w:rPr>
          <w:lang w:val="ru-RU"/>
        </w:rPr>
      </w:pPr>
      <w:r>
        <w:rPr/>
      </w:r>
      <m:oMathPara xmlns:m="http://schemas.openxmlformats.org/officeDocument/2006/math">
        <m:oMathParaPr>
          <m:jc m:val="center"/>
        </m:oMathParaPr>
        <m:o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sSub>
            <m:e>
              <m:r>
                <w:rPr>
                  <w:rFonts w:ascii="Cambria Math" w:hAnsi="Cambria Math"/>
                </w:rPr>
                <m:t xml:space="preserve">k</m:t>
              </m:r>
            </m:e>
            <m:sub>
              <m:r>
                <m:rPr>
                  <m:lit/>
                  <m:nor/>
                </m:rPr>
                <w:rPr>
                  <w:rFonts w:ascii="Cambria Math" w:hAnsi="Cambria Math"/>
                </w:rPr>
                <m:t xml:space="preserve">Б1</m:t>
              </m:r>
            </m:sub>
          </m:sSub>
          <m:sSub>
            <m:e>
              <m:r>
                <w:rPr>
                  <w:rFonts w:ascii="Cambria Math" w:hAnsi="Cambria Math"/>
                </w:rPr>
                <m:t xml:space="preserve">k</m:t>
              </m:r>
            </m:e>
            <m:sub>
              <m:r>
                <m:rPr>
                  <m:lit/>
                  <m:nor/>
                </m:rPr>
                <w:rPr>
                  <w:rFonts w:ascii="Cambria Math" w:hAnsi="Cambria Math"/>
                </w:rPr>
                <m:t xml:space="preserve">Б2</m:t>
              </m:r>
            </m:sub>
          </m:sSub>
          <m:sSub>
            <m:e>
              <m:r>
                <w:rPr>
                  <w:rFonts w:ascii="Cambria Math" w:hAnsi="Cambria Math"/>
                </w:rPr>
                <m:t xml:space="preserve">k</m:t>
              </m:r>
            </m:e>
            <m:sub>
              <m:r>
                <m:rPr>
                  <m:lit/>
                  <m:nor/>
                </m:rPr>
                <w:rPr>
                  <w:rFonts w:ascii="Cambria Math" w:hAnsi="Cambria Math"/>
                </w:rPr>
                <m:t xml:space="preserve">В2</m:t>
              </m:r>
            </m:sub>
          </m:sSub>
          <m:sSub>
            <m:e>
              <m:r>
                <w:rPr>
                  <w:rFonts w:ascii="Cambria Math" w:hAnsi="Cambria Math"/>
                </w:rPr>
                <m:t xml:space="preserve">k</m:t>
              </m:r>
            </m:e>
            <m:sub>
              <m:r>
                <m:rPr>
                  <m:lit/>
                  <m:nor/>
                </m:rPr>
                <w:rPr>
                  <w:rFonts w:ascii="Cambria Math" w:hAnsi="Cambria Math"/>
                </w:rPr>
                <m:t xml:space="preserve">В3</m:t>
              </m:r>
            </m:sub>
          </m:sSub>
          <m:sSub>
            <m:e>
              <m:r>
                <w:rPr>
                  <w:rFonts w:ascii="Cambria Math" w:hAnsi="Cambria Math"/>
                </w:rPr>
                <m:t xml:space="preserve">k</m:t>
              </m:r>
            </m:e>
            <m:sub>
              <m:r>
                <m:rPr>
                  <m:lit/>
                  <m:nor/>
                </m:rPr>
                <w:rPr>
                  <w:rFonts w:ascii="Cambria Math" w:hAnsi="Cambria Math"/>
                </w:rPr>
                <m:t xml:space="preserve">Г1</m:t>
              </m:r>
            </m:sub>
          </m:sSub>
          <m:sSub>
            <m:e>
              <m:r>
                <w:rPr>
                  <w:rFonts w:ascii="Cambria Math" w:hAnsi="Cambria Math"/>
                </w:rPr>
                <m:t xml:space="preserve">k</m:t>
              </m:r>
            </m:e>
            <m:sub>
              <m:r>
                <m:rPr>
                  <m:lit/>
                  <m:nor/>
                </m:rPr>
                <w:rPr>
                  <w:rFonts w:ascii="Cambria Math" w:hAnsi="Cambria Math"/>
                </w:rPr>
                <m:t xml:space="preserve">Г2</m:t>
              </m:r>
            </m:sub>
          </m:sSub>
          <m:sSub>
            <m:e>
              <m:r>
                <w:rPr>
                  <w:rFonts w:ascii="Cambria Math" w:hAnsi="Cambria Math"/>
                </w:rPr>
                <m:t xml:space="preserve">k</m:t>
              </m:r>
            </m:e>
            <m:sub>
              <m:r>
                <m:rPr>
                  <m:lit/>
                  <m:nor/>
                </m:rPr>
                <w:rPr>
                  <w:rFonts w:ascii="Cambria Math" w:hAnsi="Cambria Math"/>
                </w:rPr>
                <m:t xml:space="preserve">Г3</m:t>
              </m:r>
            </m:sub>
          </m:sSub>
          <m:sSub>
            <m:e>
              <m:r>
                <w:rPr>
                  <w:rFonts w:ascii="Cambria Math" w:hAnsi="Cambria Math"/>
                </w:rPr>
                <m:t xml:space="preserve">k</m:t>
              </m:r>
            </m:e>
            <m:sub>
              <m:r>
                <w:rPr>
                  <w:rFonts w:ascii="Cambria Math" w:hAnsi="Cambria Math"/>
                </w:rPr>
                <m:t xml:space="preserve">Д</m:t>
              </m:r>
            </m:sub>
          </m:sSub>
          <m:sSub>
            <m:e>
              <m:r>
                <w:rPr>
                  <w:rFonts w:ascii="Cambria Math" w:hAnsi="Cambria Math"/>
                </w:rPr>
                <m:t xml:space="preserve">k</m:t>
              </m:r>
            </m:e>
            <m:sub>
              <m:r>
                <w:rPr>
                  <w:rFonts w:ascii="Cambria Math" w:hAnsi="Cambria Math"/>
                </w:rPr>
                <m:t xml:space="preserve">Е</m:t>
              </m:r>
            </m:sub>
          </m:sSub>
          <m:sSub>
            <m:e>
              <m:r>
                <w:rPr>
                  <w:rFonts w:ascii="Cambria Math" w:hAnsi="Cambria Math"/>
                </w:rPr>
                <m:t xml:space="preserve">k</m:t>
              </m:r>
            </m:e>
            <m:sub>
              <m:r>
                <w:rPr>
                  <w:rFonts w:ascii="Cambria Math" w:hAnsi="Cambria Math"/>
                </w:rPr>
                <m:t xml:space="preserve">Ж</m:t>
              </m:r>
            </m:sub>
          </m:sSub>
          <m:sSub>
            <m:e>
              <m:r>
                <w:rPr>
                  <w:rFonts w:ascii="Cambria Math" w:hAnsi="Cambria Math"/>
                </w:rPr>
                <m:t xml:space="preserve">k</m:t>
              </m:r>
            </m:e>
            <m:sub>
              <m:r>
                <w:rPr>
                  <w:rFonts w:ascii="Cambria Math" w:hAnsi="Cambria Math"/>
                </w:rPr>
                <m:t xml:space="preserve">З</m:t>
              </m:r>
            </m:sub>
          </m:sSub>
          <m:sSub>
            <m:e>
              <m:r>
                <w:rPr>
                  <w:rFonts w:ascii="Cambria Math" w:hAnsi="Cambria Math"/>
                </w:rPr>
                <m:t xml:space="preserve">k</m:t>
              </m:r>
            </m:e>
            <m:sub>
              <m:r>
                <w:rPr>
                  <w:rFonts w:ascii="Cambria Math" w:hAnsi="Cambria Math"/>
                </w:rPr>
                <m:t xml:space="preserve">И</m:t>
              </m:r>
            </m:sub>
          </m:sSub>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m:t>
                  </m:r>
                  <m:r>
                    <m:rPr>
                      <m:lit/>
                      <m:nor/>
                    </m:rPr>
                    <w:rPr>
                      <w:rFonts w:ascii="Cambria Math" w:hAnsi="Cambria Math"/>
                    </w:rPr>
                    <m:t xml:space="preserve">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t>
                          </m:r>
                          <m:r>
                            <m:rPr>
                              <m:lit/>
                              <m:nor/>
                            </m:rPr>
                            <w:rPr>
                              <w:rFonts w:ascii="Cambria Math" w:hAnsi="Cambria Math"/>
                            </w:rPr>
                            <m:t xml:space="preserve">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m:oMathPara>
    </w:p>
    <w:p>
      <w:pPr>
        <w:pStyle w:val="Normal"/>
        <w:spacing w:lineRule="auto" w:line="276" w:before="0" w:after="200"/>
        <w:ind w:firstLine="709"/>
        <w:rPr>
          <w:rFonts w:eastAsia="Arial"/>
          <w:lang w:val="ru-RU"/>
        </w:rPr>
      </w:pPr>
      <w:r>
        <w:rPr>
          <w:rFonts w:eastAsia="Arial"/>
          <w:lang w:val="ru-RU"/>
        </w:rPr>
        <w:t>где:</w:t>
        <w:tab/>
      </w:r>
    </w:p>
    <w:p>
      <w:pPr>
        <w:pStyle w:val="Normal"/>
        <w:numPr>
          <w:ilvl w:val="0"/>
          <w:numId w:val="0"/>
        </w:numPr>
        <w:spacing w:lineRule="auto" w:line="276" w:before="120" w:after="120"/>
        <w:ind w:left="0" w:firstLine="567"/>
        <w:jc w:val="both"/>
        <w:outlineLvl w:val="3"/>
        <w:rPr>
          <w:lang w:val="ru-RU"/>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0"/>
                    <a:stretch>
                      <a:fillRect/>
                    </a:stretch>
                  </pic:blipFill>
                  <pic:spPr bwMode="auto">
                    <a:xfrm>
                      <a:off x="0" y="0"/>
                      <a:ext cx="185420" cy="228600"/>
                    </a:xfrm>
                    <a:prstGeom prst="rect">
                      <a:avLst/>
                    </a:prstGeom>
                  </pic:spPr>
                </pic:pic>
              </a:graphicData>
            </a:graphic>
          </wp:inline>
        </w:drawing>
      </w:r>
      <w:r>
        <w:rPr>
          <w:lang w:val="ru-RU"/>
        </w:rPr>
        <w:t xml:space="preserve"> </w:t>
      </w:r>
      <w:r>
        <w:rPr>
          <w:rFonts w:eastAsia="Arial"/>
          <w:lang w:val="ru-RU"/>
        </w:rPr>
        <w:t>―</w:t>
      </w:r>
      <w:r>
        <w:rPr>
          <w:lang w:val="ru-RU"/>
        </w:rPr>
        <w:t xml:space="preserve"> </w:t>
      </w:r>
      <w:r>
        <w:rPr>
          <w:rFonts w:eastAsia="Arial"/>
          <w:lang w:val="ru-RU"/>
        </w:rPr>
        <w:t xml:space="preserve">коэффициенты </w:t>
      </w:r>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lang w:val="ru-RU"/>
        </w:rPr>
        <w:t>)</w:t>
      </w:r>
    </w:p>
    <w:p>
      <w:pPr>
        <w:pStyle w:val="Normal"/>
        <w:numPr>
          <w:ilvl w:val="0"/>
          <w:numId w:val="0"/>
        </w:numPr>
        <w:spacing w:lineRule="auto" w:line="276" w:before="120" w:after="120"/>
        <w:ind w:left="0" w:firstLine="567"/>
        <w:jc w:val="both"/>
        <w:outlineLvl w:val="3"/>
        <w:rPr>
          <w:lang w:val="ru-RU"/>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1"/>
                    <a:stretch>
                      <a:fillRect/>
                    </a:stretch>
                  </pic:blipFill>
                  <pic:spPr bwMode="auto">
                    <a:xfrm>
                      <a:off x="0" y="0"/>
                      <a:ext cx="184785" cy="277495"/>
                    </a:xfrm>
                    <a:prstGeom prst="rect">
                      <a:avLst/>
                    </a:prstGeom>
                  </pic:spPr>
                </pic:pic>
              </a:graphicData>
            </a:graphic>
          </wp:inline>
        </w:drawing>
      </w:r>
      <w:r>
        <w:rPr>
          <w:lang w:val="ru-RU"/>
        </w:rPr>
        <w:t xml:space="preserve"> </w:t>
      </w:r>
      <w:r>
        <w:rPr>
          <w:rFonts w:eastAsia="Arial"/>
          <w:lang w:val="ru-RU"/>
        </w:rPr>
        <w:t>―</w:t>
      </w:r>
      <w:r>
        <w:rPr>
          <w:lang w:val="ru-RU"/>
        </w:rPr>
        <w:t xml:space="preserve"> </w:t>
      </w:r>
      <w:r>
        <w:rPr>
          <w:rFonts w:eastAsia="Arial"/>
          <w:lang w:val="ru-RU"/>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lang w:val="ru-RU"/>
        </w:rPr>
        <w:t xml:space="preserve">), </w:t>
      </w:r>
    </w:p>
    <w:p>
      <w:pPr>
        <w:pStyle w:val="Normal"/>
        <w:numPr>
          <w:ilvl w:val="0"/>
          <w:numId w:val="0"/>
        </w:numPr>
        <w:spacing w:lineRule="auto" w:line="276" w:before="120" w:after="120"/>
        <w:ind w:left="0" w:firstLine="567"/>
        <w:jc w:val="both"/>
        <w:outlineLvl w:val="3"/>
        <w:rPr>
          <w:lang w:val="ru-RU"/>
        </w:rPr>
      </w:pPr>
      <w:r>
        <w:rPr>
          <w:rFonts w:eastAsia="Arial"/>
          <w:lang w:val="ru-RU"/>
        </w:rPr>
        <w:t xml:space="preserve">определяемые для каждого из соответствующих им объемов невыполнения требований по готовности </w:t>
      </w:r>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2"/>
                    <a:stretch>
                      <a:fillRect/>
                    </a:stretch>
                  </pic:blipFill>
                  <pic:spPr bwMode="auto">
                    <a:xfrm>
                      <a:off x="0" y="0"/>
                      <a:ext cx="277495" cy="277495"/>
                    </a:xfrm>
                    <a:prstGeom prst="rect">
                      <a:avLst/>
                    </a:prstGeom>
                  </pic:spPr>
                </pic:pic>
              </a:graphicData>
            </a:graphic>
          </wp:inline>
        </w:drawing>
      </w:r>
      <w:r>
        <w:rPr>
          <w:rFonts w:eastAsia="Arial"/>
          <w:lang w:val="ru-RU"/>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lang w:val="ru-RU"/>
        </w:rPr>
      </w:pPr>
      <w:r>
        <w:rPr>
          <w:rFonts w:eastAsia="Arial"/>
          <w:lang w:val="ru-RU"/>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3"/>
                    <a:stretch>
                      <a:fillRect/>
                    </a:stretch>
                  </pic:blipFill>
                  <pic:spPr bwMode="auto">
                    <a:xfrm>
                      <a:off x="0" y="0"/>
                      <a:ext cx="636270" cy="278130"/>
                    </a:xfrm>
                    <a:prstGeom prst="rect">
                      <a:avLst/>
                    </a:prstGeom>
                  </pic:spPr>
                </pic:pic>
              </a:graphicData>
            </a:graphic>
          </wp:inline>
        </w:drawing>
      </w:r>
      <w:r>
        <w:rPr>
          <w:rFonts w:eastAsia="Arial"/>
          <w:lang w:val="ru-RU"/>
        </w:rPr>
        <w:t>.</w:t>
      </w:r>
    </w:p>
    <w:p>
      <w:pPr>
        <w:pStyle w:val="Normal"/>
        <w:spacing w:lineRule="auto" w:line="276" w:before="0" w:after="200"/>
        <w:ind w:firstLine="567"/>
        <w:jc w:val="both"/>
        <w:rPr>
          <w:rFonts w:eastAsia="Arial"/>
          <w:lang w:val="ru-RU"/>
        </w:rPr>
      </w:pPr>
      <w:r>
        <w:rPr>
          <w:rFonts w:eastAsia="Arial"/>
          <w:lang w:val="ru-RU"/>
        </w:rPr>
        <w:t xml:space="preserve">В соответствии с Постановлением Правительства РФ от 27.12.2010 </w:t>
      </w:r>
      <w:r>
        <w:rPr>
          <w:rFonts w:eastAsia="Arial"/>
        </w:rPr>
        <w:t>N</w:t>
      </w:r>
      <w:r>
        <w:rPr>
          <w:rFonts w:eastAsia="Arial"/>
          <w:lang w:val="ru-RU"/>
        </w:rPr>
        <w:t xml:space="preserve">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eastAsia="Arial"/>
          <w:lang w:val="ru-RU"/>
        </w:rPr>
      </w:pPr>
      <w:r>
        <w:rPr>
          <w:rFonts w:eastAsia="Arial"/>
          <w:lang w:val="ru-RU"/>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lang w:val="ru-RU"/>
        </w:rPr>
      </w:pPr>
      <w:r>
        <w:rPr>
          <w:lang w:val="ru-RU"/>
        </w:rPr>
        <w:t xml:space="preserve">  </w:t>
      </w:r>
      <w:r>
        <w:rPr>
          <w:rFonts w:eastAsia="Arial"/>
          <w:lang w:val="ru-RU"/>
        </w:rPr>
        <w:t xml:space="preserve">- </w:t>
      </w:r>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4"/>
                    <a:stretch>
                      <a:fillRect/>
                    </a:stretch>
                  </pic:blipFill>
                  <pic:spPr bwMode="auto">
                    <a:xfrm>
                      <a:off x="0" y="0"/>
                      <a:ext cx="474980" cy="302260"/>
                    </a:xfrm>
                    <a:prstGeom prst="rect">
                      <a:avLst/>
                    </a:prstGeom>
                  </pic:spPr>
                </pic:pic>
              </a:graphicData>
            </a:graphic>
          </wp:inline>
        </w:drawing>
      </w:r>
      <w:r>
        <w:rPr>
          <w:rFonts w:eastAsia="Arial"/>
          <w:lang w:val="ru-RU"/>
        </w:rPr>
        <w:t xml:space="preserve"> - цена на мощность в месяце (</w:t>
      </w:r>
      <w:r>
        <w:rPr>
          <w:rFonts w:eastAsia="Arial"/>
        </w:rPr>
        <w:t>m</w:t>
      </w:r>
      <w:r>
        <w:rPr>
          <w:rFonts w:eastAsia="Arial"/>
          <w:lang w:val="ru-RU"/>
        </w:rPr>
        <w:t>), определяемая согласно Правилам ОРЭМ для генерирующего объекта (</w:t>
      </w:r>
      <w:r>
        <w:rPr>
          <w:rFonts w:eastAsia="Arial"/>
        </w:rPr>
        <w:t>g</w:t>
      </w:r>
      <w:r>
        <w:rPr>
          <w:rFonts w:eastAsia="Arial"/>
          <w:lang w:val="ru-RU"/>
        </w:rPr>
        <w:t>)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w:t>
      </w:r>
      <w:r>
        <w:rPr>
          <w:rFonts w:eastAsia="Arial"/>
        </w:rPr>
        <w:t>pr</w:t>
      </w:r>
      <w:r>
        <w:rPr>
          <w:rFonts w:eastAsia="Arial"/>
          <w:lang w:val="ru-RU"/>
        </w:rPr>
        <w:t>),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eastAsia="Arial"/>
          <w:lang w:val="ru-RU"/>
        </w:rPr>
      </w:pPr>
      <w:r>
        <w:rPr>
          <w:rFonts w:eastAsia="Arial"/>
          <w:lang w:val="ru-RU"/>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lang w:val="ru-RU"/>
        </w:rPr>
      </w:pPr>
      <w:r>
        <w:rPr>
          <w:rFonts w:eastAsia="Arial"/>
          <w:lang w:val="ru-RU"/>
        </w:rPr>
        <w:t xml:space="preserve">- </w:t>
      </w:r>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5"/>
                    <a:stretch>
                      <a:fillRect/>
                    </a:stretch>
                  </pic:blipFill>
                  <pic:spPr bwMode="auto">
                    <a:xfrm>
                      <a:off x="0" y="0"/>
                      <a:ext cx="457200" cy="302895"/>
                    </a:xfrm>
                    <a:prstGeom prst="rect">
                      <a:avLst/>
                    </a:prstGeom>
                  </pic:spPr>
                </pic:pic>
              </a:graphicData>
            </a:graphic>
          </wp:inline>
        </w:drawing>
      </w:r>
      <w:r>
        <w:rPr>
          <w:rFonts w:eastAsia="Arial"/>
          <w:lang w:val="ru-RU"/>
        </w:rPr>
        <w:t xml:space="preserve"> - сезонный коэффициент, рассчитанный для ценовой зоны оптового рынка (</w:t>
      </w:r>
      <w:r>
        <w:rPr>
          <w:rFonts w:eastAsia="Arial"/>
        </w:rPr>
        <w:t>z</w:t>
      </w:r>
      <w:r>
        <w:rPr>
          <w:rFonts w:eastAsia="Arial"/>
          <w:lang w:val="ru-RU"/>
        </w:rPr>
        <w:t>) месяца (</w:t>
      </w:r>
      <w:r>
        <w:rPr>
          <w:rFonts w:eastAsia="Arial"/>
        </w:rPr>
        <w:t>m</w:t>
      </w:r>
      <w:r>
        <w:rPr>
          <w:rFonts w:eastAsia="Arial"/>
          <w:lang w:val="ru-RU"/>
        </w:rPr>
        <w:t xml:space="preserve">); </w:t>
      </w:r>
    </w:p>
    <w:p>
      <w:pPr>
        <w:pStyle w:val="Normal"/>
        <w:spacing w:before="120" w:after="20"/>
        <w:ind w:firstLine="709"/>
        <w:jc w:val="both"/>
        <w:rPr>
          <w:lang w:val="ru-RU"/>
        </w:rPr>
      </w:pPr>
      <w:r>
        <w:rPr>
          <w:rFonts w:eastAsia="Arial"/>
          <w:lang w:val="ru-RU"/>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m:t>
                </m:r>
                <m:r>
                  <m:rPr>
                    <m:lit/>
                    <m:nor/>
                  </m:rPr>
                  <w:rPr>
                    <w:rFonts w:ascii="Cambria Math" w:hAnsi="Cambria Math"/>
                  </w:rPr>
                  <m:t xml:space="preserve">j</m:t>
                </m:r>
              </m:sup>
            </m:sSubSup>
          </m:sub>
        </m:sSub>
      </m:oMath>
      <w:r>
        <w:rPr>
          <w:rFonts w:eastAsia="Arial"/>
          <w:lang w:val="ru-RU"/>
        </w:rPr>
        <w:t xml:space="preserve"> на цену </w:t>
      </w:r>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6"/>
                    <a:srcRect l="-42" t="-65" r="-42" b="-65"/>
                    <a:stretch>
                      <a:fillRect/>
                    </a:stretch>
                  </pic:blipFill>
                  <pic:spPr bwMode="auto">
                    <a:xfrm>
                      <a:off x="0" y="0"/>
                      <a:ext cx="474980" cy="302260"/>
                    </a:xfrm>
                    <a:prstGeom prst="rect">
                      <a:avLst/>
                    </a:prstGeom>
                  </pic:spPr>
                </pic:pic>
              </a:graphicData>
            </a:graphic>
          </wp:inline>
        </w:drawing>
      </w:r>
      <w:r>
        <w:rPr>
          <w:rFonts w:eastAsia="Arial"/>
          <w:lang w:val="ru-RU"/>
        </w:rPr>
        <w:t xml:space="preserve"> и на коэффициент сезонности</w:t>
      </w:r>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7"/>
                    <a:srcRect l="-43" t="-65" r="-43" b="-65"/>
                    <a:stretch>
                      <a:fillRect/>
                    </a:stretch>
                  </pic:blipFill>
                  <pic:spPr bwMode="auto">
                    <a:xfrm>
                      <a:off x="0" y="0"/>
                      <a:ext cx="457200" cy="302895"/>
                    </a:xfrm>
                    <a:prstGeom prst="rect">
                      <a:avLst/>
                    </a:prstGeom>
                  </pic:spPr>
                </pic:pic>
              </a:graphicData>
            </a:graphic>
          </wp:inline>
        </w:drawing>
      </w:r>
      <w:r>
        <w:rPr>
          <w:rFonts w:eastAsia="Arial"/>
          <w:lang w:val="ru-RU"/>
        </w:rPr>
        <w:t xml:space="preserve">. </w:t>
      </w:r>
    </w:p>
    <w:p>
      <w:pPr>
        <w:pStyle w:val="Normal"/>
        <w:spacing w:before="120" w:after="20"/>
        <w:ind w:firstLine="709"/>
        <w:jc w:val="both"/>
        <w:rPr>
          <w:lang w:val="ru-RU"/>
        </w:rPr>
      </w:pPr>
      <w:r>
        <w:rPr>
          <w:lang w:val="ru-RU"/>
        </w:rPr>
      </w:r>
    </w:p>
    <w:tbl>
      <w:tblPr>
        <w:tblW w:w="1012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41"/>
        <w:gridCol w:w="4878"/>
      </w:tblGrid>
      <w:tr>
        <w:trPr>
          <w:trHeight w:val="282" w:hRule="atLeast"/>
        </w:trPr>
        <w:tc>
          <w:tcPr>
            <w:tcW w:w="5241" w:type="dxa"/>
            <w:tcBorders/>
          </w:tcPr>
          <w:p>
            <w:pPr>
              <w:pStyle w:val="Normal"/>
              <w:widowControl w:val="false"/>
              <w:jc w:val="center"/>
              <w:rPr>
                <w:b/>
              </w:rPr>
            </w:pPr>
            <w:r>
              <w:rPr>
                <w:b/>
              </w:rPr>
              <w:t>Заказчик:</w:t>
            </w:r>
          </w:p>
        </w:tc>
        <w:tc>
          <w:tcPr>
            <w:tcW w:w="4878" w:type="dxa"/>
            <w:tcBorders/>
          </w:tcPr>
          <w:p>
            <w:pPr>
              <w:pStyle w:val="Normal"/>
              <w:widowControl w:val="false"/>
              <w:jc w:val="center"/>
              <w:rPr>
                <w:b/>
              </w:rPr>
            </w:pPr>
            <w:r>
              <w:rPr>
                <w:b/>
                <w:lang w:val="ru-RU"/>
              </w:rPr>
              <w:t>Исполнитель</w:t>
            </w:r>
            <w:r>
              <w:rPr>
                <w:b/>
              </w:rPr>
              <w:t>:</w:t>
            </w:r>
          </w:p>
        </w:tc>
      </w:tr>
      <w:tr>
        <w:trPr>
          <w:trHeight w:val="611" w:hRule="atLeast"/>
        </w:trPr>
        <w:tc>
          <w:tcPr>
            <w:tcW w:w="524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487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spacing w:before="120" w:after="20"/>
        <w:jc w:val="both"/>
        <w:rPr>
          <w:lang w:val="ru-RU"/>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42</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shd w:fill="C0C0C0" w:val="clear"/>
          <w:lang w:val="ru-RU"/>
        </w:rPr>
        <w:t xml:space="preserve">За исключением отходов черных и цветных металлов, отработанных масел, образующихся от оборудования, зданий, строений и </w:t>
      </w:r>
      <w:r>
        <w:rPr>
          <w:color w:val="000000"/>
          <w:shd w:fill="C0C0C0" w:val="clear"/>
          <w:lang w:val="ru-RU" w:eastAsia="ru-RU"/>
        </w:rPr>
        <w:t>сооружений</w:t>
      </w:r>
      <w:r>
        <w:rPr>
          <w:shd w:fill="C0C0C0" w:val="clear"/>
          <w:lang w:val="ru-RU"/>
        </w:rPr>
        <w:t xml:space="preserve"> Заказчика.</w:t>
      </w:r>
    </w:p>
  </w:footnote>
  <w:footnote w:id="3">
    <w:p>
      <w:pPr>
        <w:pStyle w:val="FootnoteText"/>
        <w:rPr>
          <w:lang w:val="ru-RU"/>
        </w:rPr>
      </w:pPr>
      <w:r>
        <w:rPr>
          <w:rStyle w:val="Style6"/>
        </w:rPr>
        <w:footnoteRef/>
      </w:r>
      <w:r>
        <w:rPr>
          <w:lang w:val="ru-RU"/>
        </w:rPr>
        <w:t xml:space="preserve"> </w:t>
      </w:r>
      <w:r>
        <w:rPr>
          <w:lang w:val="ru-RU"/>
        </w:rPr>
        <w:t>Пункт включается в Договор, включающий выполнение работ / оказание услуг по:</w:t>
      </w:r>
    </w:p>
    <w:p>
      <w:pPr>
        <w:pStyle w:val="FootnoteText"/>
        <w:jc w:val="both"/>
        <w:rPr>
          <w:lang w:val="ru-RU"/>
        </w:rPr>
      </w:pPr>
      <w:r>
        <w:rPr>
          <w:lang w:val="ru-RU"/>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Pr>
          <w:lang w:val="ru-RU"/>
        </w:rPr>
        <w:t xml:space="preserve"> / сооружений, порогов пазов ремонтных затворов, </w:t>
      </w:r>
      <w:r>
        <w:rPr>
          <w:lang w:val="ru-RU" w:eastAsia="ru-RU"/>
        </w:rPr>
        <w:t>проводящего</w:t>
      </w:r>
      <w:r>
        <w:rPr>
          <w:lang w:val="ru-RU"/>
        </w:rPr>
        <w:t xml:space="preserve"> и отводящего </w:t>
      </w:r>
      <w:r>
        <w:rPr>
          <w:lang w:val="ru-RU" w:eastAsia="ru-RU"/>
        </w:rPr>
        <w:t>каналов</w:t>
      </w:r>
      <w:r>
        <w:rPr>
          <w:lang w:val="ru-RU"/>
        </w:rPr>
        <w:t xml:space="preserve"> и </w:t>
      </w:r>
      <w:r>
        <w:rPr>
          <w:lang w:val="ru-RU" w:eastAsia="ru-RU"/>
        </w:rPr>
        <w:t>т.п.;</w:t>
      </w:r>
    </w:p>
    <w:p>
      <w:pPr>
        <w:pStyle w:val="FootnoteText"/>
        <w:jc w:val="both"/>
        <w:rPr>
          <w:lang w:val="ru-RU"/>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lang w:val="ru-RU"/>
        </w:rPr>
      </w:pPr>
      <w:r>
        <w:rPr>
          <w:lang w:val="ru-RU" w:eastAsia="ru-RU"/>
        </w:rPr>
        <w:t>- техническому обслуживанию оборудования, зданий, сооружений Заказчика;</w:t>
      </w:r>
    </w:p>
    <w:p>
      <w:pPr>
        <w:pStyle w:val="FootnoteText"/>
        <w:jc w:val="both"/>
        <w:rPr>
          <w:lang w:val="ru-RU"/>
        </w:rPr>
      </w:pPr>
      <w:r>
        <w:rPr>
          <w:lang w:val="ru-RU" w:eastAsia="ru-RU"/>
        </w:rPr>
        <w:t>- утилизации плавмусора.</w:t>
      </w:r>
    </w:p>
  </w:footnote>
  <w:footnote w:id="4">
    <w:p>
      <w:pPr>
        <w:pStyle w:val="FootnoteText"/>
        <w:jc w:val="both"/>
        <w:rPr>
          <w:lang w:val="ru-RU"/>
        </w:rPr>
      </w:pPr>
      <w:r>
        <w:rPr>
          <w:rStyle w:val="Style6"/>
        </w:rPr>
        <w:footnoteRef/>
      </w:r>
      <w:r>
        <w:rPr>
          <w:lang w:val="ru-RU"/>
        </w:rPr>
        <w:t xml:space="preserve"> </w:t>
      </w:r>
      <w:r>
        <w:rPr>
          <w:lang w:val="ru-RU"/>
        </w:rPr>
        <w:t>Согласно требованиям, установленным локальными нормативными документами (актами) в области обращения с отходами на территории Заказчика (инструкциями, положениями и др.).</w:t>
      </w:r>
    </w:p>
  </w:footnote>
  <w:footnote w:id="5">
    <w:p>
      <w:pPr>
        <w:pStyle w:val="FootnoteText"/>
        <w:jc w:val="both"/>
        <w:rPr>
          <w:lang w:val="ru-RU"/>
        </w:rPr>
      </w:pPr>
      <w:r>
        <w:rPr>
          <w:rStyle w:val="Style6"/>
        </w:rPr>
        <w:footnoteRef/>
      </w:r>
      <w:r>
        <w:rPr>
          <w:lang w:val="ru-RU"/>
        </w:rPr>
        <w:t xml:space="preserve"> </w:t>
      </w:r>
      <w:r>
        <w:rPr>
          <w:lang w:val="ru-RU"/>
        </w:rPr>
        <w:t>Пункты включаются в Договор, включающий выполнение работ / оказание услуг по:</w:t>
      </w:r>
    </w:p>
    <w:p>
      <w:pPr>
        <w:pStyle w:val="FootnoteText"/>
        <w:jc w:val="both"/>
        <w:rPr>
          <w:lang w:val="ru-RU"/>
        </w:rPr>
      </w:pPr>
      <w:r>
        <w:rPr>
          <w:lang w:val="ru-RU"/>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Pr>
          <w:lang w:val="ru-RU"/>
        </w:rPr>
        <w:t xml:space="preserve"> / сооружений, порогов пазов ремонтных затворов, </w:t>
      </w:r>
      <w:r>
        <w:rPr>
          <w:lang w:val="ru-RU" w:eastAsia="ru-RU"/>
        </w:rPr>
        <w:t>проводящего</w:t>
      </w:r>
      <w:r>
        <w:rPr>
          <w:lang w:val="ru-RU"/>
        </w:rPr>
        <w:t xml:space="preserve"> и отводящего </w:t>
      </w:r>
      <w:r>
        <w:rPr>
          <w:lang w:val="ru-RU" w:eastAsia="ru-RU"/>
        </w:rPr>
        <w:t>каналов</w:t>
      </w:r>
      <w:r>
        <w:rPr>
          <w:lang w:val="ru-RU"/>
        </w:rPr>
        <w:t xml:space="preserve"> и </w:t>
      </w:r>
      <w:r>
        <w:rPr>
          <w:lang w:val="ru-RU" w:eastAsia="ru-RU"/>
        </w:rPr>
        <w:t>т.п.;</w:t>
      </w:r>
    </w:p>
    <w:p>
      <w:pPr>
        <w:pStyle w:val="FootnoteText"/>
        <w:jc w:val="both"/>
        <w:rPr>
          <w:lang w:val="ru-RU"/>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lang w:val="ru-RU"/>
        </w:rPr>
      </w:pPr>
      <w:r>
        <w:rPr>
          <w:lang w:val="ru-RU" w:eastAsia="ru-RU"/>
        </w:rPr>
        <w:t>- техническому обслуживанию оборудования, зданий, сооружений Заказчика;</w:t>
      </w:r>
    </w:p>
    <w:p>
      <w:pPr>
        <w:pStyle w:val="FootnoteText"/>
        <w:rPr>
          <w:lang w:val="ru-RU"/>
        </w:rPr>
      </w:pPr>
      <w:r>
        <w:rPr>
          <w:lang w:val="ru-RU" w:eastAsia="ru-RU"/>
        </w:rPr>
        <w:t>- утилизации плавмусора.</w:t>
      </w:r>
      <w:r>
        <w:rPr>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7">
    <w:p>
      <w:pPr>
        <w:pStyle w:val="FootnoteText"/>
        <w:rPr>
          <w:lang w:val="ru-RU"/>
        </w:rPr>
      </w:pPr>
      <w:r>
        <w:rPr>
          <w:rStyle w:val="Style6"/>
        </w:rPr>
        <w:footnoteRef/>
      </w:r>
      <w:r>
        <w:rPr>
          <w:lang w:val="ru-RU"/>
        </w:rPr>
        <w:t xml:space="preserve"> </w:t>
      </w:r>
      <w:r>
        <w:rPr>
          <w:lang w:val="ru-RU"/>
        </w:rPr>
        <w:t>Пункт включается в Договор, включающий выполнение работ / оказание услуг по:</w:t>
      </w:r>
    </w:p>
    <w:p>
      <w:pPr>
        <w:pStyle w:val="FootnoteText"/>
        <w:jc w:val="both"/>
        <w:rPr>
          <w:lang w:val="ru-RU"/>
        </w:rPr>
      </w:pPr>
      <w:r>
        <w:rPr>
          <w:lang w:val="ru-RU"/>
        </w:rPr>
        <w:t xml:space="preserve">- очистке, техническому обслуживанию, обследованию, ремонту, техническому перевооружению и реконструкции сороудерживающих </w:t>
      </w:r>
      <w:r>
        <w:rPr>
          <w:color w:val="000000"/>
          <w:lang w:val="ru-RU" w:eastAsia="ru-RU"/>
        </w:rPr>
        <w:t>решеток</w:t>
      </w:r>
      <w:r>
        <w:rPr>
          <w:lang w:val="ru-RU"/>
        </w:rPr>
        <w:t xml:space="preserve"> / сооружений, порогов пазов ремонтных затворов, </w:t>
      </w:r>
      <w:r>
        <w:rPr>
          <w:color w:val="000000"/>
          <w:lang w:val="ru-RU" w:eastAsia="ru-RU"/>
        </w:rPr>
        <w:t>проводящего</w:t>
      </w:r>
      <w:r>
        <w:rPr>
          <w:lang w:val="ru-RU"/>
        </w:rPr>
        <w:t xml:space="preserve"> и отводящего </w:t>
      </w:r>
      <w:r>
        <w:rPr>
          <w:color w:val="000000"/>
          <w:lang w:val="ru-RU" w:eastAsia="ru-RU"/>
        </w:rPr>
        <w:t>каналов</w:t>
      </w:r>
      <w:r>
        <w:rPr>
          <w:lang w:val="ru-RU"/>
        </w:rPr>
        <w:t xml:space="preserve"> и </w:t>
      </w:r>
      <w:r>
        <w:rPr>
          <w:color w:val="000000"/>
          <w:lang w:val="ru-RU" w:eastAsia="ru-RU"/>
        </w:rPr>
        <w:t>т.п.;</w:t>
      </w:r>
    </w:p>
    <w:p>
      <w:pPr>
        <w:pStyle w:val="FootnoteText"/>
        <w:jc w:val="both"/>
        <w:rPr>
          <w:lang w:val="ru-RU"/>
        </w:rPr>
      </w:pPr>
      <w:r>
        <w:rPr>
          <w:color w:val="000000"/>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lang w:val="ru-RU"/>
        </w:rPr>
      </w:pPr>
      <w:r>
        <w:rPr>
          <w:color w:val="000000"/>
          <w:lang w:val="ru-RU" w:eastAsia="ru-RU"/>
        </w:rPr>
        <w:t>- техническому обслуживанию оборудования, зданий, сооружений Заказчика;</w:t>
      </w:r>
    </w:p>
    <w:p>
      <w:pPr>
        <w:pStyle w:val="FootnoteText"/>
        <w:rPr>
          <w:lang w:val="ru-RU"/>
        </w:rPr>
      </w:pPr>
      <w:r>
        <w:rPr>
          <w:bCs/>
          <w:color w:val="000000"/>
          <w:lang w:val="ru-RU" w:eastAsia="ru-RU"/>
        </w:rPr>
        <w:t>- утилизации плавмусора.</w:t>
      </w:r>
    </w:p>
  </w:footnote>
  <w:footnote w:id="8">
    <w:p>
      <w:pPr>
        <w:pStyle w:val="FootnoteText"/>
        <w:jc w:val="both"/>
        <w:rPr>
          <w:lang w:val="ru-RU"/>
        </w:rPr>
      </w:pPr>
      <w:r>
        <w:rPr>
          <w:rStyle w:val="Style6"/>
        </w:rPr>
        <w:footnoteRef/>
      </w:r>
      <w:r>
        <w:rPr>
          <w:highlight w:val="lightGray"/>
          <w:lang w:val="ru-RU"/>
        </w:rPr>
        <w:t xml:space="preserve"> </w:t>
      </w:r>
      <w:r>
        <w:rPr>
          <w:highlight w:val="lightGray"/>
          <w:lang w:val="ru-RU"/>
        </w:rPr>
        <w:t>Пункт 2.4.5 включается в Договор в случае, если цена Договора превышает 100 000 000 (сто миллионов) рублей без учета НДС (включительно)</w:t>
      </w:r>
      <w:r>
        <w:rPr>
          <w:lang w:val="ru-RU"/>
        </w:rPr>
        <w:t>.</w:t>
      </w:r>
    </w:p>
  </w:footnote>
  <w:footnote w:id="9">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10">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11">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1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13">
    <w:p>
      <w:pPr>
        <w:pStyle w:val="Normal"/>
        <w:jc w:val="both"/>
        <w:rPr>
          <w:sz w:val="20"/>
          <w:szCs w:val="20"/>
          <w:highlight w:val="yellow"/>
          <w:vertAlign w:val="subscript"/>
          <w:lang w:val="ru-RU"/>
        </w:rPr>
      </w:pPr>
      <w:r>
        <w:rPr>
          <w:rStyle w:val="Style6"/>
        </w:rPr>
        <w:footnoteRef/>
      </w:r>
      <w:r>
        <w:rPr>
          <w:sz w:val="20"/>
          <w:szCs w:val="20"/>
          <w:lang w:val="ru-RU"/>
        </w:rPr>
        <w:t xml:space="preserve"> </w:t>
      </w:r>
      <w:r>
        <w:rPr>
          <w:sz w:val="20"/>
          <w:szCs w:val="20"/>
          <w:lang w:val="ru-RU"/>
        </w:rPr>
        <w:t>Для договоров, заключенных в рамках реализации инвестиционной программы Общества.</w:t>
      </w:r>
    </w:p>
  </w:footnote>
  <w:footnote w:id="14">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5">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6">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7">
    <w:p>
      <w:pPr>
        <w:pStyle w:val="FootnoteText"/>
        <w:rPr>
          <w:lang w:val="ru-RU"/>
        </w:rPr>
      </w:pPr>
      <w:r>
        <w:rPr>
          <w:rStyle w:val="Style6"/>
        </w:rPr>
        <w:footnoteRef/>
      </w:r>
      <w:r>
        <w:rPr>
          <w:lang w:val="ru-RU"/>
        </w:rPr>
        <w:t xml:space="preserve"> </w:t>
      </w:r>
      <w:r>
        <w:rPr>
          <w:lang w:val="ru-RU"/>
        </w:rPr>
        <w:t>Включается в Договор, включающий выполнение работ / оказание услуг по:</w:t>
      </w:r>
    </w:p>
    <w:p>
      <w:pPr>
        <w:pStyle w:val="FootnoteText"/>
        <w:jc w:val="both"/>
        <w:rPr>
          <w:lang w:val="ru-RU"/>
        </w:rPr>
      </w:pPr>
      <w:r>
        <w:rPr>
          <w:lang w:val="ru-RU"/>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Pr>
          <w:lang w:val="ru-RU"/>
        </w:rPr>
        <w:t xml:space="preserve"> / сооружений, порогов пазов ремонтных затворов, </w:t>
      </w:r>
      <w:r>
        <w:rPr>
          <w:lang w:val="ru-RU" w:eastAsia="ru-RU"/>
        </w:rPr>
        <w:t>проводящего</w:t>
      </w:r>
      <w:r>
        <w:rPr>
          <w:lang w:val="ru-RU"/>
        </w:rPr>
        <w:t xml:space="preserve"> и отводящего </w:t>
      </w:r>
      <w:r>
        <w:rPr>
          <w:lang w:val="ru-RU" w:eastAsia="ru-RU"/>
        </w:rPr>
        <w:t>каналов</w:t>
      </w:r>
      <w:r>
        <w:rPr>
          <w:lang w:val="ru-RU"/>
        </w:rPr>
        <w:t xml:space="preserve"> и </w:t>
      </w:r>
      <w:r>
        <w:rPr>
          <w:lang w:val="ru-RU" w:eastAsia="ru-RU"/>
        </w:rPr>
        <w:t>т.п.;</w:t>
      </w:r>
    </w:p>
    <w:p>
      <w:pPr>
        <w:pStyle w:val="FootnoteText"/>
        <w:jc w:val="both"/>
        <w:rPr>
          <w:lang w:val="ru-RU"/>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lang w:val="ru-RU"/>
        </w:rPr>
      </w:pPr>
      <w:r>
        <w:rPr>
          <w:lang w:val="ru-RU" w:eastAsia="ru-RU"/>
        </w:rPr>
        <w:t>- техническому обслуживанию оборудования, зданий, сооружений Заказчика;</w:t>
      </w:r>
    </w:p>
    <w:p>
      <w:pPr>
        <w:pStyle w:val="FootnoteText"/>
        <w:rPr>
          <w:lang w:val="ru-RU"/>
        </w:rPr>
      </w:pPr>
      <w:r>
        <w:rPr>
          <w:lang w:val="ru-RU" w:eastAsia="ru-RU"/>
        </w:rPr>
        <w:t>- утилизации плавмусора.</w:t>
      </w:r>
      <w:r>
        <w:rPr>
          <w:lang w:val="ru-RU"/>
        </w:rPr>
        <w:t xml:space="preserve"> </w:t>
      </w:r>
    </w:p>
  </w:footnote>
  <w:footnote w:id="18">
    <w:p>
      <w:pPr>
        <w:pStyle w:val="FootnoteText"/>
        <w:rPr>
          <w:lang w:val="ru-RU"/>
        </w:rPr>
      </w:pPr>
      <w:r>
        <w:rPr>
          <w:rStyle w:val="Style6"/>
        </w:rPr>
        <w:footnoteRef/>
      </w:r>
      <w:r>
        <w:rPr>
          <w:lang w:val="ru-RU"/>
        </w:rPr>
        <w:t xml:space="preserve"> </w:t>
      </w:r>
      <w:r>
        <w:rPr>
          <w:lang w:val="ru-RU"/>
        </w:rPr>
        <w:t>Включается в Договор, включающий выполнение работ / оказание услуг по:</w:t>
      </w:r>
    </w:p>
    <w:p>
      <w:pPr>
        <w:pStyle w:val="FootnoteText"/>
        <w:jc w:val="both"/>
        <w:rPr>
          <w:lang w:val="ru-RU"/>
        </w:rPr>
      </w:pPr>
      <w:r>
        <w:rPr>
          <w:lang w:val="ru-RU"/>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Pr>
          <w:lang w:val="ru-RU"/>
        </w:rPr>
        <w:t xml:space="preserve"> / сооружений, порогов пазов ремонтных затворов, </w:t>
      </w:r>
      <w:r>
        <w:rPr>
          <w:lang w:val="ru-RU" w:eastAsia="ru-RU"/>
        </w:rPr>
        <w:t>проводящего</w:t>
      </w:r>
      <w:r>
        <w:rPr>
          <w:lang w:val="ru-RU"/>
        </w:rPr>
        <w:t xml:space="preserve"> и отводящего </w:t>
      </w:r>
      <w:r>
        <w:rPr>
          <w:lang w:val="ru-RU" w:eastAsia="ru-RU"/>
        </w:rPr>
        <w:t>каналов</w:t>
      </w:r>
      <w:r>
        <w:rPr>
          <w:lang w:val="ru-RU"/>
        </w:rPr>
        <w:t xml:space="preserve"> и </w:t>
      </w:r>
      <w:r>
        <w:rPr>
          <w:lang w:val="ru-RU" w:eastAsia="ru-RU"/>
        </w:rPr>
        <w:t>т.п.;</w:t>
      </w:r>
    </w:p>
    <w:p>
      <w:pPr>
        <w:pStyle w:val="FootnoteText"/>
        <w:jc w:val="both"/>
        <w:rPr>
          <w:lang w:val="ru-RU"/>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lang w:val="ru-RU"/>
        </w:rPr>
      </w:pPr>
      <w:r>
        <w:rPr>
          <w:lang w:val="ru-RU" w:eastAsia="ru-RU"/>
        </w:rPr>
        <w:t>- техническому обслуживанию оборудования, зданий, сооружений Заказчика;</w:t>
      </w:r>
    </w:p>
    <w:p>
      <w:pPr>
        <w:pStyle w:val="FootnoteText"/>
        <w:rPr>
          <w:lang w:val="ru-RU"/>
        </w:rPr>
      </w:pPr>
      <w:r>
        <w:rPr>
          <w:lang w:val="ru-RU" w:eastAsia="ru-RU"/>
        </w:rPr>
        <w:t>- утилизации плавмусора.</w:t>
      </w:r>
      <w:r>
        <w:rPr>
          <w:lang w:val="ru-RU"/>
        </w:rPr>
        <w:t xml:space="preserve"> </w:t>
      </w:r>
    </w:p>
  </w:footnote>
  <w:footnote w:id="19">
    <w:p>
      <w:pPr>
        <w:pStyle w:val="FootnoteText"/>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20">
    <w:p>
      <w:pPr>
        <w:pStyle w:val="FootnoteText"/>
        <w:rPr>
          <w:lang w:val="ru-RU"/>
        </w:rPr>
      </w:pPr>
      <w:r>
        <w:rPr>
          <w:rStyle w:val="Style6"/>
        </w:rPr>
        <w:footnoteRef/>
      </w:r>
      <w:r>
        <w:rPr>
          <w:lang w:val="ru-RU"/>
        </w:rPr>
        <w:t xml:space="preserve"> </w:t>
      </w:r>
      <w:r>
        <w:rPr>
          <w:lang w:val="ru-RU"/>
        </w:rPr>
        <w:t xml:space="preserve">Подсудность определяется в соответствии с внутренними распорядительными документами Общества. </w:t>
      </w:r>
    </w:p>
  </w:footnote>
  <w:footnote w:id="21">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22">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23">
    <w:p>
      <w:pPr>
        <w:pStyle w:val="FootnoteText"/>
        <w:rPr>
          <w:lang w:val="ru-RU"/>
        </w:rPr>
      </w:pPr>
      <w:r>
        <w:rPr>
          <w:rStyle w:val="Style6"/>
        </w:rPr>
        <w:footnoteRef/>
      </w:r>
      <w:r>
        <w:rPr>
          <w:lang w:val="ru-RU"/>
        </w:rPr>
        <w:t xml:space="preserve"> </w:t>
      </w:r>
      <w:r>
        <w:rPr>
          <w:lang w:val="ru-RU"/>
        </w:rPr>
        <w:t>Применяется, если не используется УПД.</w:t>
      </w:r>
    </w:p>
  </w:footnote>
  <w:footnote w:id="24">
    <w:p>
      <w:pPr>
        <w:pStyle w:val="FootnoteText"/>
        <w:rPr>
          <w:lang w:val="ru-RU"/>
        </w:rPr>
      </w:pPr>
      <w:r>
        <w:rPr>
          <w:rStyle w:val="Style6"/>
        </w:rPr>
        <w:footnoteRef/>
      </w:r>
      <w:r>
        <w:rPr>
          <w:lang w:val="ru-RU" w:eastAsia="ru-RU"/>
        </w:rPr>
        <w:t xml:space="preserve"> </w:t>
      </w:r>
      <w:r>
        <w:rPr>
          <w:lang w:val="ru-RU" w:eastAsia="ru-RU"/>
        </w:rPr>
        <w:t>Включается в Договор, включающий выполнение работ / оказание услуг по:</w:t>
      </w:r>
    </w:p>
    <w:p>
      <w:pPr>
        <w:pStyle w:val="FootnoteText"/>
        <w:jc w:val="both"/>
        <w:rPr>
          <w:lang w:val="ru-RU"/>
        </w:rPr>
      </w:pPr>
      <w:r>
        <w:rPr>
          <w:lang w:val="ru-RU"/>
        </w:rPr>
        <w:t xml:space="preserve">- очистке, техническому обслуживанию, обследованию, ремонту, техническому перевооружению и реконструкции сороудерживающих </w:t>
      </w:r>
      <w:r>
        <w:rPr>
          <w:lang w:val="ru-RU" w:eastAsia="ru-RU"/>
        </w:rPr>
        <w:t>решеток</w:t>
      </w:r>
      <w:r>
        <w:rPr>
          <w:lang w:val="ru-RU"/>
        </w:rPr>
        <w:t xml:space="preserve"> / сооружений, порогов пазов ремонтных затворов, </w:t>
      </w:r>
      <w:r>
        <w:rPr>
          <w:lang w:val="ru-RU" w:eastAsia="ru-RU"/>
        </w:rPr>
        <w:t>проводящего</w:t>
      </w:r>
      <w:r>
        <w:rPr>
          <w:lang w:val="ru-RU"/>
        </w:rPr>
        <w:t xml:space="preserve"> и отводящего </w:t>
      </w:r>
      <w:r>
        <w:rPr>
          <w:lang w:val="ru-RU" w:eastAsia="ru-RU"/>
        </w:rPr>
        <w:t>каналов</w:t>
      </w:r>
      <w:r>
        <w:rPr>
          <w:lang w:val="ru-RU"/>
        </w:rPr>
        <w:t xml:space="preserve"> и </w:t>
      </w:r>
      <w:r>
        <w:rPr>
          <w:lang w:val="ru-RU" w:eastAsia="ru-RU"/>
        </w:rPr>
        <w:t>т.п.;</w:t>
      </w:r>
    </w:p>
    <w:p>
      <w:pPr>
        <w:pStyle w:val="FootnoteText"/>
        <w:jc w:val="both"/>
        <w:rPr>
          <w:lang w:val="ru-RU"/>
        </w:rPr>
      </w:pPr>
      <w:r>
        <w:rPr>
          <w:lang w:val="ru-RU" w:eastAsia="ru-RU"/>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lang w:val="ru-RU"/>
        </w:rPr>
      </w:pPr>
      <w:r>
        <w:rPr>
          <w:lang w:val="ru-RU" w:eastAsia="ru-RU"/>
        </w:rPr>
        <w:t>- техническому обслуживанию оборудования, зданий, сооружений Заказчика;</w:t>
      </w:r>
    </w:p>
    <w:p>
      <w:pPr>
        <w:pStyle w:val="FootnoteText"/>
        <w:rPr>
          <w:lang w:val="ru-RU"/>
        </w:rPr>
      </w:pPr>
      <w:r>
        <w:rPr>
          <w:lang w:val="ru-RU" w:eastAsia="ru-RU"/>
        </w:rPr>
        <w:t xml:space="preserve">- утилизации плавмусора. </w:t>
      </w:r>
    </w:p>
  </w:footnote>
  <w:footnote w:id="25">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26">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7">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28">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29">
    <w:p>
      <w:pPr>
        <w:pStyle w:val="FootnoteText"/>
        <w:jc w:val="both"/>
        <w:rPr>
          <w:lang w:val="ru-RU"/>
        </w:rPr>
      </w:pPr>
      <w:r>
        <w:rPr>
          <w:rStyle w:val="Style6"/>
        </w:rPr>
        <w:footnoteRef/>
      </w:r>
      <w:r>
        <w:rPr>
          <w:lang w:val="ru-RU"/>
        </w:rPr>
        <w:t xml:space="preserve"> </w:t>
      </w:r>
      <w:r>
        <w:rPr>
          <w:lang w:val="ru-RU"/>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 xml:space="preserve">440 млн. руб., лимит </w:t>
        <w:br/>
        <w:t>к установлению - 5</w:t>
      </w:r>
      <w:r>
        <w:rPr/>
        <w:t> </w:t>
      </w:r>
      <w:r>
        <w:rPr>
          <w:lang w:val="ru-RU"/>
        </w:rPr>
        <w:t>400 млн. руб.; расчетное значение лимита - 5</w:t>
      </w:r>
      <w:r>
        <w:rPr/>
        <w:t> </w:t>
      </w:r>
      <w:r>
        <w:rPr>
          <w:lang w:val="ru-RU"/>
        </w:rPr>
        <w:t xml:space="preserve">450 млн. руб., лимит к установлению - </w:t>
        <w:br/>
        <w:t>5</w:t>
      </w:r>
      <w:r>
        <w:rPr/>
        <w:t> </w:t>
      </w:r>
      <w:r>
        <w:rPr>
          <w:lang w:val="ru-RU"/>
        </w:rPr>
        <w:t>500 млн. руб.</w:t>
      </w:r>
    </w:p>
  </w:footnote>
  <w:footnote w:id="30">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 xml:space="preserve">из информационных систем </w:t>
      </w:r>
      <w:r>
        <w:rPr/>
        <w:t>Reuters</w:t>
      </w:r>
      <w:r>
        <w:rPr>
          <w:lang w:val="ru-RU"/>
        </w:rPr>
        <w:t xml:space="preserve">, </w:t>
      </w:r>
      <w:r>
        <w:rPr/>
        <w:t>Bloomberg</w:t>
      </w:r>
      <w:r>
        <w:rPr>
          <w:lang w:val="ru-RU"/>
        </w:rPr>
        <w:t>, С</w:t>
      </w:r>
      <w:r>
        <w:rPr/>
        <w:t>bonds</w:t>
      </w:r>
      <w:r>
        <w:rPr>
          <w:lang w:val="ru-RU"/>
        </w:rPr>
        <w:t>).</w:t>
      </w:r>
    </w:p>
  </w:footnote>
  <w:footnote w:id="31">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3">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qFormat/>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9" w:customStyle="1">
    <w:name w:val="Содержимое таблицы"/>
    <w:basedOn w:val="Normal"/>
    <w:qFormat/>
    <w:pPr>
      <w:widowControl w:val="false"/>
      <w:suppressLineNumbers/>
    </w:pPr>
    <w:rPr/>
  </w:style>
  <w:style w:type="paragraph" w:styleId="Style30" w:customStyle="1">
    <w:name w:val="Заголовок таблицы"/>
    <w:basedOn w:val="Style29"/>
    <w:qFormat/>
    <w:pPr>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0">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1.wmf"/><Relationship Id="rId37" Type="http://schemas.openxmlformats.org/officeDocument/2006/relationships/image" Target="media/image22.wmf"/><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customXml" Target="../customXml/item2.xml"/><Relationship Id="rId49" Type="http://schemas.openxmlformats.org/officeDocument/2006/relationships/customXml" Target="../customXml/item3.xml"/><Relationship Id="rId50" Type="http://schemas.openxmlformats.org/officeDocument/2006/relationships/customXml" Target="../customXml/item4.xml"/><Relationship Id="rId51" Type="http://schemas.openxmlformats.org/officeDocument/2006/relationships/customXml" Target="../customXml/item5.xml"/><Relationship Id="rId52" Type="http://schemas.openxmlformats.org/officeDocument/2006/relationships/customXml" Target="../customXml/item6.xml"/><Relationship Id="rId5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503F6-562C-4612-8762-E3066CD41235}">
  <ds:schemaRefs>
    <ds:schemaRef ds:uri="http://schemas.openxmlformats.org/officeDocument/2006/bibliography"/>
  </ds:schemaRefs>
</ds:datastoreItem>
</file>

<file path=customXml/itemProps2.xml><?xml version="1.0" encoding="utf-8"?>
<ds:datastoreItem xmlns:ds="http://schemas.openxmlformats.org/officeDocument/2006/customXml" ds:itemID="{B14E644C-EE7E-417E-8ED2-2CDEB61409B9}">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CE71B61-415F-4172-82CA-386CB490825B}">
  <ds:schemaRefs>
    <ds:schemaRef ds:uri="http://schemas.openxmlformats.org/officeDocument/2006/bibliography"/>
  </ds:schemaRefs>
</ds:datastoreItem>
</file>

<file path=customXml/itemProps6.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7.xml><?xml version="1.0" encoding="utf-8"?>
<ds:datastoreItem xmlns:ds="http://schemas.openxmlformats.org/officeDocument/2006/customXml" ds:itemID="{87BE7DDC-4AA1-46F4-BC99-D3A7A2B980D8}">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AlterOffice/3.4.0.9$Linux_X86_64 LibreOffice_project/b8daf9e823b1a5463a2f48435ddc2e8696e7d4fc</Application>
  <AppVersion>15.0000</AppVersion>
  <DocSecurity>4</DocSecurity>
  <Pages>42</Pages>
  <Words>14272</Words>
  <Characters>102303</Characters>
  <CharactersWithSpaces>109379</CharactersWithSpaces>
  <Paragraphs>716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2026-07-17T05:50:00Z</dcterms:created>
  <dc:creator>UK VoHEC</dc:creator>
  <dc:description/>
  <dc:language>ru-RU</dc:language>
  <cp:lastModifiedBy>petrovai@corp.gidroogk.com</cp:lastModifiedBy>
  <cp:lastPrinted>2016-12-15T13:00:00Z</cp:lastPrinted>
  <dcterms:modified xsi:type="dcterms:W3CDTF">2026-07-17T14:54:58Z</dcterms:modified>
  <cp:revision>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