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240"/>
        <w:jc w:val="center"/>
        <w:rPr>
          <w:rFonts w:ascii="Arial Narrow" w:hAnsi="Arial Narrow" w:eastAsia="Calibri" w:cs="Arial"/>
          <w:color w:val="auto"/>
          <w:sz w:val="22"/>
          <w:szCs w:val="22"/>
          <w:lang w:eastAsia="ru-RU"/>
        </w:rPr>
      </w:pPr>
      <w:r>
        <w:rPr>
          <w:rFonts w:eastAsia="Calibri" w:cs="Arial" w:ascii="Arial Narrow" w:hAnsi="Arial Narrow"/>
          <w:color w:val="auto"/>
          <w:sz w:val="22"/>
          <w:szCs w:val="22"/>
          <w:lang w:eastAsia="ru-RU"/>
        </w:rPr>
        <w:t>Приложение 1.</w:t>
      </w:r>
      <w:r>
        <w:rPr>
          <w:rFonts w:eastAsia="Calibri" w:cs="Arial" w:ascii="Arial Narrow" w:hAnsi="Arial Narrow"/>
          <w:color w:val="auto"/>
          <w:sz w:val="22"/>
          <w:szCs w:val="22"/>
          <w:lang w:eastAsia="ru-RU"/>
        </w:rPr>
        <w:t>21</w:t>
      </w:r>
    </w:p>
    <w:p>
      <w:pPr>
        <w:pStyle w:val="Heading1"/>
        <w:spacing w:before="0" w:after="240"/>
        <w:jc w:val="center"/>
        <w:rPr>
          <w:rFonts w:ascii="Arial Narrow" w:hAnsi="Arial Narrow" w:eastAsia="Calibri" w:cs="Arial"/>
          <w:color w:val="auto"/>
          <w:sz w:val="22"/>
          <w:szCs w:val="22"/>
          <w:lang w:eastAsia="ru-RU"/>
        </w:rPr>
      </w:pPr>
      <w:r>
        <w:rPr>
          <w:rFonts w:eastAsia="Calibri" w:cs="Arial" w:ascii="Arial Narrow" w:hAnsi="Arial Narrow"/>
          <w:color w:val="auto"/>
          <w:sz w:val="22"/>
          <w:szCs w:val="22"/>
          <w:lang w:eastAsia="ru-RU"/>
        </w:rPr>
        <w:t>Карта заказа</w:t>
      </w:r>
    </w:p>
    <w:p>
      <w:pPr>
        <w:pStyle w:val="Style15"/>
        <w:spacing w:lineRule="auto" w:line="240" w:before="0" w:after="0"/>
        <w:ind w:hanging="0"/>
        <w:contextualSpacing/>
        <w:jc w:val="center"/>
        <w:rPr>
          <w:rFonts w:ascii="Arial Narrow" w:hAnsi="Arial Narrow"/>
          <w:sz w:val="20"/>
          <w:szCs w:val="20"/>
        </w:rPr>
      </w:pPr>
      <w:r>
        <w:rPr>
          <w:sz w:val="20"/>
          <w:szCs w:val="20"/>
        </w:rPr>
        <w:t xml:space="preserve">шкафа дифференциальной защиты линии с комплектом ступенчатых защит </w:t>
      </w:r>
      <w:r>
        <w:rPr>
          <w:color w:val="auto"/>
          <w:sz w:val="20"/>
          <w:szCs w:val="20"/>
        </w:rPr>
        <w:t>ШЭ2607 09</w:t>
      </w:r>
      <w:r>
        <w:rPr>
          <w:rFonts w:ascii="Arial Narrow" w:hAnsi="Arial Narrow"/>
          <w:color w:val="auto"/>
          <w:sz w:val="20"/>
          <w:szCs w:val="20"/>
        </w:rPr>
        <w:t>1091</w:t>
      </w:r>
    </w:p>
    <w:p>
      <w:pPr>
        <w:pStyle w:val="Style15"/>
        <w:spacing w:lineRule="auto" w:line="240" w:before="0" w:after="0"/>
        <w:ind w:hanging="0"/>
        <w:contextualSpacing/>
        <w:jc w:val="center"/>
        <w:rPr>
          <w:color w:val="auto"/>
        </w:rPr>
      </w:pPr>
      <w:r>
        <w:rPr>
          <w:rFonts w:ascii="Arial Narrow" w:hAnsi="Arial Narrow"/>
          <w:color w:val="auto"/>
          <w:sz w:val="20"/>
          <w:szCs w:val="20"/>
        </w:rPr>
        <w:t>(первичная схема с одним выключателем на присоединение)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5840" w:type="dxa"/>
        <w:jc w:val="left"/>
        <w:tblInd w:w="-4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421"/>
        <w:gridCol w:w="239"/>
        <w:gridCol w:w="480"/>
        <w:gridCol w:w="1573"/>
        <w:gridCol w:w="7351"/>
        <w:gridCol w:w="2457"/>
        <w:gridCol w:w="3319"/>
      </w:tblGrid>
      <w:tr>
        <w:trPr>
          <w:trHeight w:val="188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Arial Narrow" w:hAnsi="Arial Narrow"/>
                <w:sz w:val="20"/>
                <w:szCs w:val="20"/>
              </w:rPr>
              <w:t>Объект</w:t>
            </w:r>
          </w:p>
        </w:tc>
        <w:tc>
          <w:tcPr>
            <w:tcW w:w="8924" w:type="dxa"/>
            <w:gridSpan w:val="2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Arial Narrow" w:hAnsi="Arial Narrow"/>
                <w:color w:val="000000"/>
                <w:sz w:val="20"/>
                <w:szCs w:val="20"/>
                <w:lang w:eastAsia="ru-RU"/>
              </w:rPr>
              <w:t>Филиал АО «ДРСК» «Приморские электрические сети» ПС 110 кВ Ярославка</w:t>
            </w:r>
          </w:p>
        </w:tc>
        <w:tc>
          <w:tcPr>
            <w:tcW w:w="24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88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8924" w:type="dxa"/>
            <w:gridSpan w:val="2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Arial Narrow" w:hAnsi="Arial Narrow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asciiTheme="minorHAnsi" w:eastAsiaTheme="minorHAnsi" w:hAnsiTheme="minorHAnsi"/>
              </w:rPr>
            </w:pPr>
            <w:r>
              <w:rPr/>
              <w:t>№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Наименование параметра</w:t>
            </w:r>
          </w:p>
        </w:tc>
        <w:tc>
          <w:tcPr>
            <w:tcW w:w="9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Требования Заказчика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Способ подтверждения участником соответствия требованиям</w:t>
            </w:r>
          </w:p>
        </w:tc>
      </w:tr>
      <w:tr>
        <w:trPr>
          <w:trHeight w:val="200" w:hRule="atLeast"/>
        </w:trPr>
        <w:tc>
          <w:tcPr>
            <w:tcW w:w="6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205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98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Согласие с требованием</w:t>
            </w:r>
          </w:p>
        </w:tc>
      </w:tr>
      <w:tr>
        <w:trPr>
          <w:trHeight w:val="348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Arial" w:ascii="Arial Narrow" w:hAnsi="Arial Narrow"/>
                <w:b/>
                <w:sz w:val="20"/>
                <w:szCs w:val="20"/>
              </w:rPr>
              <w:t xml:space="preserve">Выбор версии программного обеспечения (ПО)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1.1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Исполнение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color w:val="auto"/>
              </w:rPr>
              <w:t>091_405</w:t>
            </w:r>
            <w:r>
              <w:rPr/>
              <w:t xml:space="preserve"> типовое, двухконцевая линия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523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1.2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Реализуемые функции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747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4a0" w:noVBand="1" w:noHBand="0" w:lastColumn="0" w:firstColumn="1" w:lastRow="0" w:firstRow="1"/>
            </w:tblPr>
            <w:tblGrid>
              <w:gridCol w:w="847"/>
              <w:gridCol w:w="308"/>
              <w:gridCol w:w="720"/>
              <w:gridCol w:w="1556"/>
              <w:gridCol w:w="850"/>
              <w:gridCol w:w="727"/>
              <w:gridCol w:w="770"/>
              <w:gridCol w:w="850"/>
              <w:gridCol w:w="874"/>
              <w:gridCol w:w="853"/>
              <w:gridCol w:w="856"/>
              <w:gridCol w:w="534"/>
            </w:tblGrid>
            <w:tr>
              <w:trPr>
                <w:trHeight w:val="688" w:hRule="atLeast"/>
              </w:trPr>
              <w:tc>
                <w:tcPr>
                  <w:tcW w:w="11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Версия ПО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ДЗЛ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Ступеней ДЗ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от м/ф КЗ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(на землю)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БНН</w:t>
                  </w:r>
                </w:p>
              </w:tc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БК</w:t>
                  </w: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Ступеней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ТНЗНП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МТЗ</w:t>
                  </w: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ТЗП</w:t>
                  </w:r>
                </w:p>
              </w:tc>
              <w:tc>
                <w:tcPr>
                  <w:tcW w:w="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УРОВ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ЗНФР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ОМП</w:t>
                  </w:r>
                </w:p>
              </w:tc>
            </w:tr>
            <w:tr>
              <w:trPr>
                <w:trHeight w:val="378" w:hRule="atLeast"/>
              </w:trPr>
              <w:tc>
                <w:tcPr>
                  <w:tcW w:w="1155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color="auto" w:fill="F2F2F2" w:val="clear"/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  <w:lang w:eastAsia="ru-RU"/>
                    </w:rPr>
                    <w:t>091_405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1556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5 (1)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72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77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7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3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6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</w:tr>
            <w:tr>
              <w:trPr>
                <w:trHeight w:val="604" w:hRule="atLeast"/>
              </w:trPr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2F2F2" w:val="clear"/>
                </w:tcPr>
                <w:p>
                  <w:pPr>
                    <w:pStyle w:val="Style13"/>
                    <w:widowControl w:val="false"/>
                    <w:spacing w:lineRule="auto" w:line="252"/>
                    <w:ind w:left="113" w:hanging="0"/>
                    <w:rPr>
                      <w:rFonts w:cs="Arial"/>
                      <w:i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W w:w="889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2F2F2" w:val="clear"/>
                </w:tcPr>
                <w:p>
                  <w:pPr>
                    <w:pStyle w:val="Style13"/>
                    <w:widowControl w:val="false"/>
                    <w:spacing w:lineRule="auto" w:line="252"/>
                    <w:ind w:left="113" w:hanging="0"/>
                    <w:rPr>
                      <w:i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  <w:t>ДЗЛ — дифференциальная защита линии, ДЗ – дистанционная защита, БНН – блокировка при неисправностях в цепях напряжения, БК – блокировка при качаниях, ТНЗНП – токовая направленная защита нулевой последовательности,  МТЗ – максимальная токовая защита, ТЗП – токовая защита при перегрузке, УРОВ – устройство резервирования отказа выключателя, ЗНФР – защита от неполнофазного режима, ОМП – определение места повреждения, КС — цифровые каналы связи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Номинальное напряжение постоянного оперативного тока шкафа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220В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3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b/>
              </w:rPr>
              <w:t>Характеристики терминала шкафа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3.1</w:t>
            </w:r>
          </w:p>
        </w:tc>
        <w:tc>
          <w:tcPr>
            <w:tcW w:w="20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Номинальный ток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1 или 5 А переключение электронным (программным) способом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3.2</w:t>
            </w:r>
          </w:p>
        </w:tc>
        <w:tc>
          <w:tcPr>
            <w:tcW w:w="20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Номинальное напряжение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100 В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Исполнение канала связи КС1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Шкаф 17Р: терминал 1 — КС (10М), Терминал 2 — КС (11М)</w:t>
            </w:r>
          </w:p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Шкаф 21Р: терминал 1 — КС (12М), Терминал 2 — КС (12М)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3.4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Исполнение канала связи КС2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Шкаф 17Р: терминал 1 — КС (10М), Терминал 2 — КС (11М)</w:t>
            </w:r>
          </w:p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Шкаф 21Р: терминал 1 — КС (12М), Терминал 2 — КС (12М)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3.5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Длина волны, нм (разъем  типа LC (исполнение SFP-модуля с двухволоконным ВОЛС)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3.6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Перекрываемое затухание, дБ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3.7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Диапазон длины линий, км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3.8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Длина волны, нм (разъем  типа LC (исполнение SFP-модуля с одноволоконным ВОЛС)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48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4.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b/>
              </w:rPr>
              <w:t>Тип интерфейсов связи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4.1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Тип интерфейсов (портов) связи для МЭК 60870-103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 порта RS-485(типовой)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4.2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Тип интерфейсов (портов) связи Ethernet для МЭК 61850</w:t>
            </w:r>
          </w:p>
        </w:tc>
        <w:tc>
          <w:tcPr>
            <w:tcW w:w="98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 электрических порта RJ45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5.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 Narrow" w:hAnsi="Arial Narrow"/>
                <w:b/>
              </w:rPr>
              <w:t>Тип лицевой панели терминала, элементы оперативного управления и переключения рабочей группы уставок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</w:tr>
      <w:tr>
        <w:trPr>
          <w:trHeight w:val="37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5.1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 xml:space="preserve">48 светодиодов </w:t>
              <w:br/>
              <w:t>(</w:t>
            </w:r>
            <w:r>
              <w:rPr>
                <w:color w:val="auto"/>
              </w:rPr>
              <w:t>типовое исполнение</w:t>
            </w:r>
            <w:r>
              <w:rPr/>
              <w:t>)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639" w:type="dxa"/>
              <w:jc w:val="left"/>
              <w:tblInd w:w="57" w:type="dxa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  <w:tblLook w:val="04a0" w:noVBand="1" w:noHBand="0" w:lastColumn="0" w:firstColumn="1" w:lastRow="0" w:firstRow="1"/>
            </w:tblPr>
            <w:tblGrid>
              <w:gridCol w:w="1655"/>
              <w:gridCol w:w="2713"/>
              <w:gridCol w:w="3909"/>
              <w:gridCol w:w="1361"/>
            </w:tblGrid>
            <w:tr>
              <w:trPr>
                <w:trHeight w:val="70" w:hRule="atLeast"/>
              </w:trPr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Тип лицевой панели терминала</w:t>
                  </w:r>
                </w:p>
              </w:tc>
              <w:tc>
                <w:tcPr>
                  <w:tcW w:w="27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Элементы оперативного управления</w:t>
                  </w:r>
                </w:p>
              </w:tc>
              <w:tc>
                <w:tcPr>
                  <w:tcW w:w="52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Группы уставок</w:t>
                  </w:r>
                </w:p>
              </w:tc>
            </w:tr>
            <w:tr>
              <w:trPr>
                <w:trHeight w:val="81" w:hRule="atLeast"/>
              </w:trPr>
              <w:tc>
                <w:tcPr>
                  <w:tcW w:w="165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</w:p>
              </w:tc>
              <w:tc>
                <w:tcPr>
                  <w:tcW w:w="271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</w:p>
              </w:tc>
              <w:tc>
                <w:tcPr>
                  <w:tcW w:w="3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Способ переключения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Максимальное количество</w:t>
                  </w:r>
                </w:p>
              </w:tc>
            </w:tr>
            <w:tr>
              <w:trPr>
                <w:trHeight w:val="848" w:hRule="atLeast"/>
              </w:trPr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rPr/>
                  </w:pPr>
                  <w:r>
                    <w:rPr/>
                    <w:t xml:space="preserve">48 светодиодов </w:t>
                    <w:br/>
                    <w:t>(</w:t>
                  </w:r>
                  <w:r>
                    <w:rPr>
                      <w:color w:val="auto"/>
                    </w:rPr>
                    <w:t>типовое исполнение)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rPr/>
                  </w:pPr>
                  <w:r>
                    <w:rPr/>
                    <w:t>Механические оперативные ключи на двери / плите шкафа</w:t>
                  </w:r>
                </w:p>
              </w:tc>
              <w:tc>
                <w:tcPr>
                  <w:tcW w:w="3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Механический переключатель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8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069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18"/>
                <w:szCs w:val="18"/>
              </w:rPr>
            </w:pPr>
            <w:r>
              <w:rPr>
                <w:b/>
              </w:rPr>
              <w:t xml:space="preserve">Конструктив шкафа                                                 </w:t>
            </w:r>
            <w:r>
              <w:rPr>
                <w:i/>
                <w:sz w:val="18"/>
                <w:szCs w:val="18"/>
              </w:rPr>
              <w:t>* – глубина шкафов указана с учётом ручек (см. РЭ).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Arial"/>
                <w:i/>
                <w:i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>** – согласование с разработчиками 000 НПП «ЭКРА».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Arial"/>
                <w:i/>
                <w:i/>
                <w:sz w:val="18"/>
                <w:szCs w:val="1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104775</wp:posOffset>
                  </wp:positionV>
                  <wp:extent cx="1724025" cy="4457700"/>
                  <wp:effectExtent l="0" t="0" r="0" b="0"/>
                  <wp:wrapNone/>
                  <wp:docPr id="1" name="Рисунок 1" descr="Шкаф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Шкаф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6731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45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Шкафы шириной 600 и 800 мм изготавливаются с утопленными боковыми стенками для установки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Arial"/>
                <w:i/>
                <w:i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в существующий ряд шкафов. </w:t>
            </w:r>
          </w:p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b/>
              </w:rPr>
            </w:pPr>
            <w:r>
              <w:rPr>
                <w:rFonts w:eastAsia="Calibri" w:cs="" w:cstheme="minorBidi" w:eastAsiaTheme="minorHAnsi"/>
                <w:b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6.1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Козырек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Спереди – 100 мм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6.2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Способ обслуживания шкафа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Двухстороннее обслуживание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6.3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Передняя дверь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widowControl w:val="false"/>
              <w:jc w:val="center"/>
              <w:rPr/>
            </w:pPr>
            <w:r>
              <w:rPr>
                <w:rFonts w:cs="Arial"/>
              </w:rPr>
              <w:t xml:space="preserve">Металлическая с обзорным окном  </w:t>
            </w:r>
            <w:r>
              <w:rPr/>
              <w:t>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6.4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Задняя металлическая дверь шкафа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Двухстворчатая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6.5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Габаритные размеры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шкафа (Ш х Г х В), мм, без учета цоколя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808 х 608(660)* х 2000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6.6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Цоколь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100 мм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6.7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Подвод кабеля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Снизу 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  <w:lang w:eastAsia="ru-RU"/>
              </w:rPr>
              <w:t>Характеристики шкафа для типового исполнения: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eastAsia="ru-RU"/>
              </w:rPr>
              <w:t>(полная высота шкафа рассчитывается путем сложения высоты цоколя, каркаса шкафа и высоты рым-болта/козырька)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6.8.1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lang w:eastAsia="ru-RU"/>
              </w:rPr>
              <w:t>конструктив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ШМЭ (НПП ЭКРА)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6.8.2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климатическое исполнение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УХЛ4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6.8.3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Arial"/>
              </w:rPr>
            </w:pPr>
            <w:r>
              <w:rPr>
                <w:rFonts w:cs="Arial"/>
              </w:rPr>
              <w:t>группа механической прочности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М40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6.8.4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пылевлагозащита корпуса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IP41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6.8.5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масса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не более 250 кг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6.8.6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Блоки испытательные (тип)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Fame (Phoenix Contact)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6.8.7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цвет каркаса шкафа и козырька</w:t>
            </w:r>
          </w:p>
        </w:tc>
        <w:tc>
          <w:tcPr>
            <w:tcW w:w="98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(при наличии) RAL 7035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6.8.9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цвет цоколя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RAL 7022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6.8.10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Arial Narrow" w:hAnsi="Arial Narrow"/>
                <w:sz w:val="20"/>
                <w:szCs w:val="20"/>
              </w:rPr>
              <w:t>Дополнительные требования к конструктиву шкафа: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Arial" w:asciiTheme="minorHAnsi" w:eastAsiaTheme="minorHAnsi" w:hAnsiTheme="minorHAnsi"/>
              </w:rPr>
            </w:pPr>
            <w:r>
              <w:rPr>
                <w:rFonts w:eastAsia="Calibri" w:cs="Arial" w:eastAsiaTheme="minorHAnsi"/>
              </w:rPr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cs="" w:cstheme="minorBidi" w:eastAsiaTheme="minorHAnsi"/>
              </w:rPr>
            </w:pPr>
            <w:r>
              <w:rPr>
                <w:rFonts w:eastAsia="Calibri" w:cs="" w:cstheme="minorBidi" w:eastAsiaTheme="minorHAnsi"/>
              </w:rPr>
              <w:t>Установка системы принудительной вентиляции шкафа;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" w:cstheme="minorBidi" w:eastAsiaTheme="minorHAnsi"/>
              </w:rPr>
              <w:t>установка указательных реле РУ 21 в цепях сигнализации;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" w:cstheme="minorBidi" w:eastAsiaTheme="minorHAnsi"/>
              </w:rPr>
              <w:t>установка розетки ~ 220 В;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Calibri" w:cs="" w:cstheme="minorBidi" w:eastAsiaTheme="minorHAnsi"/>
              </w:rPr>
              <w:t>Обязательное условие: установка механических оперативных переключателей на двери/плите шкафа для выбора не менее 8-ми групп уставок для  обоих МП терминалов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Arial Narrow" w:hAnsi="Arial Narrow"/>
                <w:b/>
                <w:sz w:val="20"/>
              </w:rPr>
              <w:t>Дополнительные требования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/>
              <w:jc w:val="center"/>
              <w:rPr/>
            </w:pPr>
            <w:r>
              <w:rPr>
                <w:rFonts w:cs="Arial" w:ascii="Arial Narrow" w:hAnsi="Arial Narrow"/>
                <w:sz w:val="20"/>
              </w:rPr>
              <w:t xml:space="preserve">Автоматический выключатель </w:t>
            </w:r>
            <w:r>
              <w:rPr>
                <w:rFonts w:cs="Arial" w:ascii="Arial Narrow" w:hAnsi="Arial Narrow"/>
                <w:sz w:val="20"/>
                <w:lang w:val="en-US"/>
              </w:rPr>
              <w:t>MOELLER</w:t>
            </w:r>
            <w:r>
              <w:rPr>
                <w:rFonts w:cs="Arial" w:ascii="Arial Narrow" w:hAnsi="Arial Narrow"/>
                <w:sz w:val="20"/>
              </w:rPr>
              <w:t xml:space="preserve"> </w:t>
            </w:r>
            <w:r>
              <w:rPr>
                <w:rFonts w:cs="Arial" w:ascii="Arial Narrow" w:hAnsi="Arial Narrow"/>
                <w:sz w:val="20"/>
                <w:lang w:val="en-US"/>
              </w:rPr>
              <w:t>PL</w:t>
            </w:r>
            <w:r>
              <w:rPr>
                <w:rFonts w:cs="Arial" w:ascii="Arial Narrow" w:hAnsi="Arial Narrow"/>
                <w:sz w:val="20"/>
              </w:rPr>
              <w:t>-</w:t>
            </w:r>
            <w:r>
              <w:rPr>
                <w:rFonts w:cs="Arial" w:ascii="Arial Narrow" w:hAnsi="Arial Narrow"/>
                <w:sz w:val="20"/>
                <w:lang w:val="en-US"/>
              </w:rPr>
              <w:t>C</w:t>
            </w:r>
            <w:r>
              <w:rPr>
                <w:rFonts w:cs="Arial" w:ascii="Arial Narrow" w:hAnsi="Arial Narrow"/>
                <w:sz w:val="20"/>
              </w:rPr>
              <w:t xml:space="preserve">3/2 – </w:t>
            </w:r>
            <w:r>
              <w:rPr>
                <w:rFonts w:cs="Arial" w:ascii="Arial Narrow" w:hAnsi="Arial Narrow"/>
                <w:sz w:val="20"/>
                <w:lang w:val="en-US"/>
              </w:rPr>
              <w:t>DC</w:t>
            </w:r>
            <w:r>
              <w:rPr>
                <w:rFonts w:cs="Arial" w:ascii="Arial Narrow" w:hAnsi="Arial Narrow"/>
                <w:sz w:val="20"/>
              </w:rPr>
              <w:t xml:space="preserve"> либо эквивалент – 2 шт. Патчкорды duplex FC-LC 50 м в гофре — 8 шт. </w:t>
            </w:r>
          </w:p>
          <w:p>
            <w:pPr>
              <w:pStyle w:val="Style14"/>
              <w:widowControl w:val="false"/>
              <w:spacing w:lineRule="auto" w:line="24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cs="Arial" w:ascii="Arial Narrow" w:hAnsi="Arial Narrow"/>
                <w:sz w:val="20"/>
              </w:rPr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8.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b/>
                <w:sz w:val="20"/>
                <w:szCs w:val="20"/>
              </w:rPr>
              <w:t>Количество шкафов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9.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b/>
                <w:sz w:val="20"/>
                <w:szCs w:val="20"/>
              </w:rPr>
              <w:t>Оперативное обозначение на двери (козырьке) шкафа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639" w:type="dxa"/>
              <w:jc w:val="left"/>
              <w:tblInd w:w="11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9639"/>
            </w:tblGrid>
            <w:tr>
              <w:trPr>
                <w:trHeight w:val="918" w:hRule="atLeast"/>
              </w:trPr>
              <w:tc>
                <w:tcPr>
                  <w:tcW w:w="9639" w:type="dxa"/>
                  <w:tcBorders/>
                </w:tcPr>
                <w:p>
                  <w:pPr>
                    <w:pStyle w:val="Style13"/>
                    <w:widowControl w:val="false"/>
                    <w:jc w:val="center"/>
                    <w:rPr/>
                  </w:pPr>
                  <w:r>
                    <w:rPr/>
                    <w:t>Шкаф 17 Р: Комплект РЗ №1 (ДЗЛ, ДЗ, ТНЗНП, МТЗ, МФТО) ВЛ 110 кВ Спасск -Дмитриевка — Черниговка - Ярославка;</w:t>
                  </w:r>
                </w:p>
                <w:p>
                  <w:pPr>
                    <w:pStyle w:val="Style13"/>
                    <w:widowControl w:val="false"/>
                    <w:jc w:val="center"/>
                    <w:rPr/>
                  </w:pPr>
                  <w:r>
                    <w:rPr/>
                    <w:t>Комплект РЗ  №2 (ДЗЛ, ДЗ, ТНЗНП, МТЗ, МФТО) ВЛ 110 кВ Ярославка - Хороль.</w:t>
                  </w:r>
                </w:p>
                <w:p>
                  <w:pPr>
                    <w:pStyle w:val="Style13"/>
                    <w:widowControl w:val="false"/>
                    <w:jc w:val="center"/>
                    <w:rPr/>
                  </w:pPr>
                  <w:r>
                    <w:rPr/>
                    <w:t>Шкаф 21 Р: Комплект РЗ №1 (ДЗЛ, ДЗ, ТНЗНП, МТЗ, МФТО) ВЛ 110 кВ Ярославка -Павловка-1;</w:t>
                  </w:r>
                </w:p>
                <w:p>
                  <w:pPr>
                    <w:pStyle w:val="Style13"/>
                    <w:widowControl w:val="false"/>
                    <w:jc w:val="center"/>
                    <w:rPr/>
                  </w:pPr>
                  <w:r>
                    <w:rPr/>
                    <w:t>Комплект РЗ  №2 (ДЗЛ, ДЗ, ТНЗНП, МТЗ, МФТО) ВЛ 110 кВ Ярославка — Павловка-2.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cs="" w:asciiTheme="minorHAnsi" w:cstheme="minorBidi" w:hAnsiTheme="minorHAnsi"/>
        </w:rPr>
      </w:pPr>
      <w:r>
        <w:rPr>
          <w:rFonts w:cs="" w:cstheme="minorBidi"/>
        </w:rPr>
      </w:r>
    </w:p>
    <w:p>
      <w:pPr>
        <w:pStyle w:val="Normal"/>
        <w:spacing w:lineRule="auto" w:line="360" w:before="0" w:after="200"/>
        <w:rPr>
          <w:b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 Narrow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5f5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a494a"/>
    <w:pPr>
      <w:keepNext w:val="true"/>
      <w:keepLines/>
      <w:widowControl w:val="false"/>
      <w:spacing w:lineRule="auto" w:line="240"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АБЛИЦА Знак"/>
    <w:link w:val="Style13"/>
    <w:qFormat/>
    <w:locked/>
    <w:rsid w:val="009b5f5e"/>
    <w:rPr>
      <w:rFonts w:ascii="Arial Narrow" w:hAnsi="Arial Narrow" w:eastAsia="Calibri" w:cs="Times New Roman"/>
      <w:sz w:val="20"/>
      <w:szCs w:val="20"/>
    </w:rPr>
  </w:style>
  <w:style w:type="character" w:styleId="Style9" w:customStyle="1">
    <w:name w:val="Основной текст Знак"/>
    <w:basedOn w:val="DefaultParagraphFont"/>
    <w:uiPriority w:val="99"/>
    <w:semiHidden/>
    <w:qFormat/>
    <w:rsid w:val="009b5f5e"/>
    <w:rPr>
      <w:rFonts w:ascii="Calibri" w:hAnsi="Calibri" w:eastAsia="Calibri" w:cs="Times New Roman"/>
    </w:rPr>
  </w:style>
  <w:style w:type="character" w:styleId="Style10" w:customStyle="1">
    <w:name w:val="Абзац Знак"/>
    <w:link w:val="Style15"/>
    <w:qFormat/>
    <w:locked/>
    <w:rsid w:val="00215d57"/>
    <w:rPr>
      <w:rFonts w:ascii="Times New Roman" w:hAnsi="Times New Roman" w:eastAsia="Times New Roman" w:cs="Arial"/>
    </w:rPr>
  </w:style>
  <w:style w:type="character" w:styleId="1" w:customStyle="1">
    <w:name w:val="Заголовок 1 Знак"/>
    <w:basedOn w:val="DefaultParagraphFont"/>
    <w:uiPriority w:val="9"/>
    <w:qFormat/>
    <w:rsid w:val="009a494a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9"/>
    <w:uiPriority w:val="99"/>
    <w:semiHidden/>
    <w:unhideWhenUsed/>
    <w:rsid w:val="009b5f5e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3" w:customStyle="1">
    <w:name w:val="ТАБЛИЦА"/>
    <w:basedOn w:val="BodyText"/>
    <w:link w:val="Style8"/>
    <w:qFormat/>
    <w:rsid w:val="009b5f5e"/>
    <w:pPr>
      <w:widowControl w:val="false"/>
      <w:spacing w:lineRule="auto" w:line="240" w:before="0" w:after="0"/>
    </w:pPr>
    <w:rPr>
      <w:rFonts w:ascii="Arial Narrow" w:hAnsi="Arial Narrow"/>
      <w:sz w:val="20"/>
      <w:szCs w:val="20"/>
    </w:rPr>
  </w:style>
  <w:style w:type="paragraph" w:styleId="Style14" w:customStyle="1">
    <w:name w:val="Обычный без отступа"/>
    <w:basedOn w:val="Normal"/>
    <w:qFormat/>
    <w:rsid w:val="003e361e"/>
    <w:pPr>
      <w:widowControl w:val="false"/>
      <w:spacing w:lineRule="auto" w:line="360" w:before="0" w:after="0"/>
      <w:jc w:val="both"/>
    </w:pPr>
    <w:rPr>
      <w:rFonts w:ascii="Arial" w:hAnsi="Arial" w:eastAsia="Times New Roman"/>
      <w:szCs w:val="20"/>
      <w:lang w:eastAsia="ru-RU"/>
    </w:rPr>
  </w:style>
  <w:style w:type="paragraph" w:styleId="Style15" w:customStyle="1">
    <w:name w:val="Абзац"/>
    <w:basedOn w:val="BodyText"/>
    <w:link w:val="Style10"/>
    <w:qFormat/>
    <w:rsid w:val="00215d57"/>
    <w:pPr>
      <w:widowControl w:val="false"/>
      <w:spacing w:lineRule="auto" w:line="360" w:before="0" w:after="20"/>
      <w:ind w:firstLine="624"/>
      <w:contextualSpacing/>
      <w:jc w:val="both"/>
    </w:pPr>
    <w:rPr>
      <w:rFonts w:ascii="Times New Roman" w:hAnsi="Times New Roman" w:eastAsia="Times New Roman"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AlterOffice/3.3.0.4$Linux_X86_64 LibreOffice_project/fa736b558560ebea8f92088bfd7720f4b3918f3f</Application>
  <AppVersion>15.0000</AppVersion>
  <Pages>6</Pages>
  <Words>632</Words>
  <Characters>3759</Characters>
  <CharactersWithSpaces>4626</CharactersWithSpaces>
  <Paragraphs>168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2023-06-22T06:10:00Z</dcterms:created>
  <dc:creator>Руденко Андрей Николаевич</dc:creator>
  <dc:description/>
  <dc:language>ru-RU</dc:language>
  <cp:lastModifiedBy>korneev_ds</cp:lastModifiedBy>
  <dcterms:modified xsi:type="dcterms:W3CDTF">2026-07-17T13:55:02Z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