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Приложение 1.</w:t>
      </w: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22</w:t>
      </w:r>
    </w:p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Карта заказа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 xml:space="preserve">шкафа дифференциальной защиты линии с комплектом ступенчатых защит </w:t>
      </w:r>
      <w:r>
        <w:rPr>
          <w:color w:val="auto"/>
          <w:sz w:val="20"/>
          <w:szCs w:val="20"/>
        </w:rPr>
        <w:t>ШЭ2607 09</w:t>
      </w:r>
      <w:r>
        <w:rPr>
          <w:rFonts w:ascii="Arial Narrow" w:hAnsi="Arial Narrow"/>
          <w:color w:val="auto"/>
          <w:sz w:val="20"/>
          <w:szCs w:val="20"/>
        </w:rPr>
        <w:t>1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color w:val="auto"/>
        </w:rPr>
      </w:pPr>
      <w:r>
        <w:rPr>
          <w:rFonts w:ascii="Arial Narrow" w:hAnsi="Arial Narrow"/>
          <w:color w:val="auto"/>
          <w:sz w:val="20"/>
          <w:szCs w:val="20"/>
        </w:rPr>
        <w:t>(первичная схема с одним выключателем на присоединение)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840" w:type="dxa"/>
        <w:jc w:val="left"/>
        <w:tblInd w:w="-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21"/>
        <w:gridCol w:w="239"/>
        <w:gridCol w:w="480"/>
        <w:gridCol w:w="1573"/>
        <w:gridCol w:w="7351"/>
        <w:gridCol w:w="2457"/>
        <w:gridCol w:w="3319"/>
      </w:tblGrid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Объект</w:t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  <w:t>Филиал АО «ДРСК» «Приморские электрические сети» ПС 110 кВ М</w:t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asciiTheme="minorHAnsi" w:eastAsiaTheme="minorHAnsi" w:hAnsiTheme="minorHAnsi"/>
              </w:rPr>
            </w:pPr>
            <w:r>
              <w:rPr/>
              <w:t>№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Наименование параметра</w:t>
            </w:r>
          </w:p>
        </w:tc>
        <w:tc>
          <w:tcPr>
            <w:tcW w:w="9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Требования Заказчика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</w:tr>
      <w:tr>
        <w:trPr>
          <w:trHeight w:val="200" w:hRule="atLeast"/>
        </w:trPr>
        <w:tc>
          <w:tcPr>
            <w:tcW w:w="6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0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с требованием</w:t>
            </w:r>
          </w:p>
        </w:tc>
      </w:tr>
      <w:tr>
        <w:trPr>
          <w:trHeight w:val="348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 xml:space="preserve">Выбор версии программного обеспечения (ПО)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color w:val="auto"/>
              </w:rPr>
              <w:t>091_405</w:t>
            </w:r>
            <w:r>
              <w:rPr/>
              <w:t xml:space="preserve"> типовое, двухконцевая линия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23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Реализуемые функции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47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847"/>
              <w:gridCol w:w="308"/>
              <w:gridCol w:w="720"/>
              <w:gridCol w:w="1556"/>
              <w:gridCol w:w="850"/>
              <w:gridCol w:w="727"/>
              <w:gridCol w:w="770"/>
              <w:gridCol w:w="850"/>
              <w:gridCol w:w="869"/>
              <w:gridCol w:w="851"/>
              <w:gridCol w:w="857"/>
              <w:gridCol w:w="540"/>
            </w:tblGrid>
            <w:tr>
              <w:trPr>
                <w:trHeight w:val="688" w:hRule="atLeast"/>
              </w:trPr>
              <w:tc>
                <w:tcPr>
                  <w:tcW w:w="11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ДЗЛ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lang w:eastAsia="ru-RU"/>
                    </w:rPr>
                    <w:t>091_405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155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72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7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69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rFonts w:cs="Arial"/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W w:w="889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ДЗЛ — дифференциальная защита линии, 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—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Номинальное напряжение постоянного оперативного тока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220В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Характеристики терминала шкафа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3.1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Номинальный ток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 или 5 А переключение электронным (программным) способом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3.2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Номинальное напряжение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100 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канала связи КС1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10-S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3.4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канала связи КС2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11-S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3.5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Длина волны, нм (разъем  типа LC (исполнение SFP-модуля с двухволоконным ВОЛС)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3.6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Перекрываемое затухание, дБ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Диапазон длины линий, км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3.8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Длина волны, нм (разъем  типа LC (исполнение SFP-модуля с одноволоконным ВОЛС)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Тип интерфейсов связи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 для МЭК 60870-5-103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 порта RS-485 (типовой)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4.2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Ethernet для МЭК 61850</w:t>
            </w:r>
          </w:p>
        </w:tc>
        <w:tc>
          <w:tcPr>
            <w:tcW w:w="9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электрических порта RJ45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b/>
              </w:rPr>
              <w:t>Тип лицевой панели терминала, элементы оперативного управления и переключения рабочей группы уставок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37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48 светодиодов </w:t>
              <w:br/>
              <w:t>(</w:t>
            </w:r>
            <w:r>
              <w:rPr>
                <w:color w:val="auto"/>
              </w:rPr>
              <w:t>типовое исполнение</w:t>
            </w:r>
            <w:r>
              <w:rPr/>
              <w:t>)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57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val="04a0" w:noVBand="1" w:noHBand="0" w:lastColumn="0" w:firstColumn="1" w:lastRow="0" w:firstRow="1"/>
            </w:tblPr>
            <w:tblGrid>
              <w:gridCol w:w="1655"/>
              <w:gridCol w:w="2713"/>
              <w:gridCol w:w="3909"/>
              <w:gridCol w:w="1361"/>
            </w:tblGrid>
            <w:tr>
              <w:trPr>
                <w:trHeight w:val="70" w:hRule="atLeast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Тип лицевой панели терминала</w:t>
                  </w:r>
                </w:p>
              </w:tc>
              <w:tc>
                <w:tcPr>
                  <w:tcW w:w="27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Элементы оперативного управления</w:t>
                  </w:r>
                </w:p>
              </w:tc>
              <w:tc>
                <w:tcPr>
                  <w:tcW w:w="5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Группы уставок</w:t>
                  </w:r>
                </w:p>
              </w:tc>
            </w:tr>
            <w:tr>
              <w:trPr>
                <w:trHeight w:val="81" w:hRule="atLeast"/>
              </w:trPr>
              <w:tc>
                <w:tcPr>
                  <w:tcW w:w="165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27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Способ переключения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Максимальное количество</w:t>
                  </w:r>
                </w:p>
              </w:tc>
            </w:tr>
            <w:tr>
              <w:trPr>
                <w:trHeight w:val="848" w:hRule="atLeast"/>
              </w:trPr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 xml:space="preserve">48 светодиодов </w:t>
                    <w:br/>
                    <w:t>(</w:t>
                  </w:r>
                  <w:r>
                    <w:rPr>
                      <w:color w:val="auto"/>
                    </w:rPr>
                    <w:t>типовое исполнение)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>Механические оперативные ключи на двери / плите шкафа</w:t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Механический переключатель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06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b/>
              </w:rPr>
              <w:t xml:space="preserve">Конструктив шкафа                                                 </w:t>
            </w:r>
            <w:r>
              <w:rPr>
                <w:i/>
                <w:sz w:val="18"/>
                <w:szCs w:val="18"/>
              </w:rPr>
              <w:t>* – глубина шкафов указана с учётом ручек (см. РЭ).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>** – согласование с разработчиками 000 НПП «ЭКРА».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104775</wp:posOffset>
                  </wp:positionV>
                  <wp:extent cx="1724025" cy="4457700"/>
                  <wp:effectExtent l="0" t="0" r="0" b="0"/>
                  <wp:wrapNone/>
                  <wp:docPr id="1" name="Рисунок 1" descr="Шкаф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каф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6731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Шкафы шириной 600 и 800 мм изготавливаются с утопленными боковыми стенками для установки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в существующий ряд шкафов. </w:t>
            </w:r>
          </w:p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b/>
              </w:rPr>
            </w:pPr>
            <w:r>
              <w:rPr>
                <w:rFonts w:eastAsia="Calibri" w:cs="" w:cstheme="minorBidi" w:eastAsiaTheme="minorHAnsi"/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Козырек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Спереди – 100 мм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Способ обслуживания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Двухстороннее обслуживание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Передняя дверь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jc w:val="center"/>
              <w:rPr/>
            </w:pPr>
            <w:r>
              <w:rPr>
                <w:rFonts w:cs="Arial"/>
              </w:rPr>
              <w:t xml:space="preserve">Металлическая с обзорным окном  </w:t>
            </w:r>
            <w:r>
              <w:rPr/>
              <w:t>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6.4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Задняя металлическая дверь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Двухстворчатая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6.5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Габаритные размеры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шкафа (Ш х Г х В), мм, без учета цоколя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608 х 608(660)* х 2000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6.6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Цоколь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100 мм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6.7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Подвод кабеля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Снизу 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  <w:lang w:eastAsia="ru-RU"/>
              </w:rPr>
              <w:t>Характеристики шкафа для типового исполнения: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(полная высота шкафа рассчитывается путем сложения высоты цоколя, каркаса шкафа и высоты рым-болта/козырька)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lang w:eastAsia="ru-RU"/>
              </w:rPr>
              <w:t>конструктив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ШМЭ (НПП ЭКРА)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климатическое исполнение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УХЛ4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>группа механической прочности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М40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6.8.4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пылевлагозащита корпуса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IP41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6.8.5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масса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не более 250 кг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6.8.6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Блоки испытательные (тип)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Fame (Phoenix Contact)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6.8.7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каркаса шкафа и козырька</w:t>
            </w:r>
          </w:p>
        </w:tc>
        <w:tc>
          <w:tcPr>
            <w:tcW w:w="9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(при наличии) RAL 7035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6.8.9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цоколя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RAL 7022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6.8.10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Дополнительные требования к конструктиву шкафа: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Arial" w:asciiTheme="minorHAnsi" w:eastAsiaTheme="minorHAnsi" w:hAnsiTheme="minorHAnsi"/>
              </w:rPr>
            </w:pPr>
            <w:r>
              <w:rPr>
                <w:rFonts w:eastAsia="Calibri" w:cs="Arial" w:eastAsiaTheme="minorHAnsi"/>
              </w:rPr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" w:cstheme="minorBidi" w:eastAsiaTheme="minorHAnsi"/>
              </w:rPr>
            </w:pPr>
            <w:r>
              <w:rPr>
                <w:rFonts w:eastAsia="Calibri" w:cs="" w:cstheme="minorBidi" w:eastAsiaTheme="minorHAnsi"/>
              </w:rPr>
              <w:t>Установка системы принудительной вентиляции шкафа;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указательных реле РУ 21 в цепях сигнализации;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розетки ~ 220 В;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" w:cstheme="minorBidi" w:eastAsiaTheme="minorHAnsi"/>
              </w:rPr>
              <w:t>Обязательное условие: установка механических оперативных переключателей на двери/плите шкафа для выбора не менее 8-ми групп уставок для  МП терминала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Дополнительные требования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/>
              <w:jc w:val="center"/>
              <w:rPr/>
            </w:pPr>
            <w:r>
              <w:rPr>
                <w:rFonts w:cs="Arial" w:ascii="Arial Narrow" w:hAnsi="Arial Narrow"/>
                <w:sz w:val="20"/>
              </w:rPr>
              <w:t xml:space="preserve">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3/2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1 шт. Патчкорды duplex FC-LC 50 м в гофре — 2 шт. </w:t>
            </w:r>
          </w:p>
          <w:p>
            <w:pPr>
              <w:pStyle w:val="Style14"/>
              <w:widowControl w:val="false"/>
              <w:spacing w:lineRule="auto" w:line="24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Предусмотреть в комплекте с шкафом ДЗЛ два дополнительных SFP модуля с одноволоконным ВОЛС: первый с характеристикой 10-М, второй с характеристикой 11-М.</w:t>
            </w:r>
          </w:p>
          <w:p>
            <w:pPr>
              <w:pStyle w:val="Style14"/>
              <w:widowControl w:val="false"/>
              <w:spacing w:lineRule="auto" w:line="24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В комплекте с шкафом дополнительно поставить (россыпью):</w:t>
            </w:r>
          </w:p>
          <w:p>
            <w:pPr>
              <w:pStyle w:val="Style14"/>
              <w:widowControl w:val="false"/>
              <w:spacing w:lineRule="auto" w:line="24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коммутатор MOXA EDS-308-T с блоком питания HDR-15-24 — 1 шт.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Количество шкафов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9.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Оперативное обозначение на двери (козырьке)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639"/>
            </w:tblGrid>
            <w:tr>
              <w:trPr>
                <w:trHeight w:val="918" w:hRule="atLeast"/>
              </w:trPr>
              <w:tc>
                <w:tcPr>
                  <w:tcW w:w="9639" w:type="dxa"/>
                  <w:tcBorders/>
                </w:tcPr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Шкаф 24Р, комплект РЗ (ДЗЛ, ДЗ, ТНЗНП, МТЗ, МФТО) ВЛ 110 кВ Сибирцево/т - М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</w:rPr>
      </w:pPr>
      <w:r>
        <w:rPr>
          <w:rFonts w:cs="" w:cstheme="minorBidi"/>
        </w:rPr>
      </w:r>
    </w:p>
    <w:p>
      <w:pPr>
        <w:pStyle w:val="Normal"/>
        <w:spacing w:lineRule="auto" w:line="360" w:before="0" w:after="200"/>
        <w:rPr>
          <w:b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5f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a494a"/>
    <w:pPr>
      <w:keepNext w:val="true"/>
      <w:keepLines/>
      <w:widowControl w:val="false"/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АБЛИЦА Знак"/>
    <w:link w:val="Style13"/>
    <w:qFormat/>
    <w:locked/>
    <w:rsid w:val="009b5f5e"/>
    <w:rPr>
      <w:rFonts w:ascii="Arial Narrow" w:hAnsi="Arial Narrow" w:eastAsia="Calibri" w:cs="Times New Roman"/>
      <w:sz w:val="20"/>
      <w:szCs w:val="20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9b5f5e"/>
    <w:rPr>
      <w:rFonts w:ascii="Calibri" w:hAnsi="Calibri" w:eastAsia="Calibri" w:cs="Times New Roman"/>
    </w:rPr>
  </w:style>
  <w:style w:type="character" w:styleId="Style10" w:customStyle="1">
    <w:name w:val="Абзац Знак"/>
    <w:link w:val="Style15"/>
    <w:qFormat/>
    <w:locked/>
    <w:rsid w:val="00215d57"/>
    <w:rPr>
      <w:rFonts w:ascii="Times New Roman" w:hAnsi="Times New Roman" w:eastAsia="Times New Roman" w:cs="Arial"/>
    </w:rPr>
  </w:style>
  <w:style w:type="character" w:styleId="1" w:customStyle="1">
    <w:name w:val="Заголовок 1 Знак"/>
    <w:basedOn w:val="DefaultParagraphFont"/>
    <w:uiPriority w:val="9"/>
    <w:qFormat/>
    <w:rsid w:val="009a494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unhideWhenUsed/>
    <w:rsid w:val="009b5f5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3" w:customStyle="1">
    <w:name w:val="ТАБЛИЦА"/>
    <w:basedOn w:val="BodyText"/>
    <w:link w:val="Style8"/>
    <w:qFormat/>
    <w:rsid w:val="009b5f5e"/>
    <w:pPr>
      <w:widowControl w:val="false"/>
      <w:spacing w:lineRule="auto" w:line="240" w:before="0" w:after="0"/>
    </w:pPr>
    <w:rPr>
      <w:rFonts w:ascii="Arial Narrow" w:hAnsi="Arial Narrow"/>
      <w:sz w:val="20"/>
      <w:szCs w:val="20"/>
    </w:rPr>
  </w:style>
  <w:style w:type="paragraph" w:styleId="Style14" w:customStyle="1">
    <w:name w:val="Обычный без отступа"/>
    <w:basedOn w:val="Normal"/>
    <w:qFormat/>
    <w:rsid w:val="003e361e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eastAsia="ru-RU"/>
    </w:rPr>
  </w:style>
  <w:style w:type="paragraph" w:styleId="Style15" w:customStyle="1">
    <w:name w:val="Абзац"/>
    <w:basedOn w:val="BodyText"/>
    <w:link w:val="Style10"/>
    <w:qFormat/>
    <w:rsid w:val="00215d57"/>
    <w:pPr>
      <w:widowControl w:val="false"/>
      <w:spacing w:lineRule="auto" w:line="360" w:before="0" w:after="20"/>
      <w:ind w:firstLine="624"/>
      <w:contextualSpacing/>
      <w:jc w:val="both"/>
    </w:pPr>
    <w:rPr>
      <w:rFonts w:ascii="Times New Roman" w:hAnsi="Times New Roman" w:eastAsia="Times New Roman"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AlterOffice/3.3.0.4$Linux_X86_64 LibreOffice_project/fa736b558560ebea8f92088bfd7720f4b3918f3f</Application>
  <AppVersion>15.0000</AppVersion>
  <Pages>6</Pages>
  <Words>584</Words>
  <Characters>3593</Characters>
  <CharactersWithSpaces>4405</CharactersWithSpaces>
  <Paragraphs>166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2023-06-22T06:10:00Z</dcterms:created>
  <dc:creator>Руденко Андрей Николаевич</dc:creator>
  <dc:description/>
  <dc:language>ru-RU</dc:language>
  <cp:lastModifiedBy>korneev_ds</cp:lastModifiedBy>
  <dcterms:modified xsi:type="dcterms:W3CDTF">2026-07-17T13:55:14Z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