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</w:rPr>
        <w:t>Приложение № 1 к ТТ</w:t>
      </w:r>
    </w:p>
    <w:p>
      <w:pPr>
        <w:pStyle w:val="Normal"/>
        <w:jc w:val="right"/>
        <w:rPr/>
      </w:pPr>
      <w:r>
        <w:rPr>
          <w:rFonts w:eastAsia="Calibri"/>
          <w:bCs/>
          <w:sz w:val="20"/>
          <w:szCs w:val="20"/>
        </w:rPr>
        <w:t>к «ОКПД2 31.01.11.160. Поставка телекоммуникационных шкафов и средств связи в рамках реконструкции подстанции 220/110/35/6 кВ «Сунтар» для нужд Западных электрических сетей</w:t>
      </w:r>
      <w:r>
        <w:rPr>
          <w:rFonts w:eastAsia="Calibri"/>
          <w:bCs/>
          <w:sz w:val="20"/>
          <w:szCs w:val="20"/>
          <w:lang w:val="x-none"/>
        </w:rPr>
        <w:t xml:space="preserve"> в рамках реализации инвестиционного проекта K_508-107»</w:t>
      </w:r>
    </w:p>
    <w:p>
      <w:pPr>
        <w:pStyle w:val="Standard"/>
        <w:spacing w:before="0"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spacing w:before="0" w:after="120"/>
        <w:jc w:val="center"/>
        <w:rPr>
          <w:rFonts w:ascii="Times New Roman" w:hAnsi="Times New Roman"/>
          <w:sz w:val="20"/>
          <w:szCs w:val="20"/>
        </w:rPr>
      </w:pPr>
      <w:r>
        <w:rPr>
          <w:rFonts w:eastAsia="Calibri" w:ascii="Times New Roman" w:hAnsi="Times New Roman"/>
          <w:b/>
          <w:bCs/>
          <w:sz w:val="20"/>
          <w:szCs w:val="20"/>
        </w:rPr>
        <w:t>Требования к продукции (индивидуальные требования по каждой позиции перечня продукции)</w:t>
      </w:r>
    </w:p>
    <w:p>
      <w:pPr>
        <w:pStyle w:val="Standard"/>
        <w:spacing w:before="0" w:after="120"/>
        <w:ind w:right="39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Наименование продукции:</w:t>
      </w:r>
    </w:p>
    <w:tbl>
      <w:tblPr>
        <w:tblW w:w="150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06"/>
        <w:gridCol w:w="2168"/>
        <w:gridCol w:w="7001"/>
        <w:gridCol w:w="2227"/>
        <w:gridCol w:w="3019"/>
        <w:gridCol w:w="44"/>
        <w:gridCol w:w="22"/>
      </w:tblGrid>
      <w:tr>
        <w:trPr>
          <w:trHeight w:val="726" w:hRule="atLeast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en-US"/>
              </w:rPr>
              <w:t>Требования заказчика *</w:t>
            </w:r>
          </w:p>
        </w:tc>
        <w:tc>
          <w:tcPr>
            <w:tcW w:w="5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en-US"/>
              </w:rPr>
              <w:t>Предложения Подрядчика</w:t>
            </w:r>
          </w:p>
        </w:tc>
      </w:tr>
      <w:tr>
        <w:trPr>
          <w:trHeight w:val="726" w:hRule="atLeast"/>
        </w:trPr>
        <w:tc>
          <w:tcPr>
            <w:tcW w:w="6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en-US"/>
              </w:rPr>
              <w:t>Технические и функциональные характеристики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Calibri" w:ascii="Times New Roman" w:hAnsi="Times New Roman"/>
                <w:b/>
                <w:bCs/>
                <w:sz w:val="20"/>
                <w:szCs w:val="20"/>
                <w:lang w:eastAsia="en-US"/>
              </w:rPr>
              <w:t>(параметры эквивалентности)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4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eastAsia="Calibri" w:ascii="Times New Roman" w:hAnsi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eastAsia="Calibri" w:ascii="Times New Roman" w:hAnsi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Calibri" w:ascii="Times New Roman" w:hAnsi="Times New Roman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eastAsia="Calibri" w:ascii="Times New Roman" w:hAnsi="Times New Roman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eastAsia="Calibri" w:ascii="Times New Roman" w:hAnsi="Times New Roman"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4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shd w:fill="auto" w:val="clear"/>
                <w:lang w:eastAsia="en-US"/>
              </w:rPr>
              <w:t>Шкаф телекоммуникационный, напольный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42U 19“ 600х800 (серый), стеклянная дверца.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Количество: 1 (одна) штука. 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shd w:fill="auto" w:val="clear"/>
                <w:lang w:eastAsia="en-US"/>
              </w:rPr>
              <w:t>Максимальная статическая нагрузка, не менее, кг: 100</w:t>
              <w:br/>
              <w:t>Габариты: Высота 42U, ширина 600 мм, глубина не более 800 мм, полезная глубина не менее 730 мм</w:t>
              <w:br/>
              <w:t>Передняя дверь стеклянная одностворчатая, с замком</w:t>
              <w:br/>
              <w:t>Боковые панели съемные, на замках</w:t>
              <w:br/>
              <w:t>Крыша щеточный кабельный ввод, установка вентиляторных панелей</w:t>
              <w:br/>
              <w:t xml:space="preserve">Основание закрытое, щеточный кабельный ввод </w:t>
              <w:br/>
              <w:t>Материал: сталь с порошковым покрытием.</w:t>
              <w:br/>
              <w:t>Цвет серый RAL 7035</w:t>
              <w:br/>
              <w:t>Гарантия, не менее: 5 лет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наименования продукции и страны происхождения продукции</w:t>
            </w:r>
          </w:p>
          <w:p>
            <w:pPr>
              <w:pStyle w:val="ListParagraph"/>
              <w:widowControl w:val="false"/>
              <w:ind w:left="178" w:hanging="0"/>
              <w:rPr>
                <w:rFonts w:ascii="Times New Roman" w:hAnsi="Times New Roman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</w:rPr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178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соответствующих технических характеристик, указанных заказчиком</w:t>
            </w:r>
          </w:p>
        </w:tc>
        <w:tc>
          <w:tcPr>
            <w:tcW w:w="4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spacing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  <w:lang w:eastAsia="en-US"/>
              </w:rPr>
              <w:t>VoIP- шлюз Зелакс MM-22xRC-UNI-I-AC9 2FXS/2FXO</w:t>
            </w:r>
          </w:p>
        </w:tc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Количество: 2 (две) штуки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Комплектация каждого шлюза: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Конструктив Р-12 для установки в стойку до двух шлюзов — 1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VoIP шлюз Зелакс MM-22xRC-UNI-I-AC9 — 1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Модуль MIME-2xFXS-2xFXO с 2 портами FXS и 2 портами FXO или ТЧ — 1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Тип линий: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FXS — 2 порта (аналоговые порты для подключения телефонных аппаратов), FXO — 2 порта (аналоговые порты для подключения аналоговых телефонных соединительных линий)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SIP-аккаунтов: не менее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 4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Сетевые интерфейсы: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1 LAN порт с поддержкой 10/100 Мбит/с (разъемы RJ-45).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Поддерживаемые сетевые протоколы: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IPv4, IPv6, TCP, UDP, RTP (для передачи голоса), SIP (для сигнализации).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Голосовые кодеки: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G.711 (a-law), G.729а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Питание: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От сети 220–240 В через внешний адаптер.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Рабочая температура: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От +5 °C до +40 °C.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strike w:val="false"/>
                <w:dstrike w:val="false"/>
                <w:color w:val="000000"/>
                <w:kern w:val="2"/>
                <w:sz w:val="20"/>
                <w:szCs w:val="20"/>
                <w:u w:val="none"/>
                <w:effect w:val="none"/>
                <w:shd w:fill="auto" w:val="clear"/>
                <w:lang w:val="ru-RU" w:eastAsia="en-US" w:bidi="ar-SA"/>
              </w:rPr>
              <w:t>Гарантия: не менее 60 месяцев.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strike w:val="false"/>
                <w:dstrike w:val="false"/>
                <w:color w:val="000000"/>
                <w:kern w:val="2"/>
                <w:sz w:val="20"/>
                <w:szCs w:val="20"/>
                <w:u w:val="none"/>
                <w:effect w:val="none"/>
                <w:shd w:fill="auto" w:val="clear"/>
                <w:lang w:val="ru-RU" w:eastAsia="en-US" w:bidi="ar-SA"/>
              </w:rPr>
              <w:t>Срок службы: не менее 5 лет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наименования продукции и страны происхождения продукции</w:t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</w:rPr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соответствующих технических характеристик, указанных заказчиком</w:t>
            </w:r>
          </w:p>
        </w:tc>
        <w:tc>
          <w:tcPr>
            <w:tcW w:w="4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spacing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  <w:lang w:eastAsia="en-US"/>
              </w:rPr>
              <w:t>MES2300-24 Eltex | Коммутатор уровня L3, 24 порта 1G, 4 порта 10G</w:t>
            </w:r>
          </w:p>
        </w:tc>
        <w:tc>
          <w:tcPr>
            <w:tcW w:w="7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Количество: 2 (две) штуки.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и тип портов: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 24х10/100/1000BASE-T (RJ-45), 4х10GBASE-R (SFP+)/1000BASE-X (SFP), RS-232 (RJ-45).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Стекирование до 8 устройств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Питание: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 Напряжение, тип AC 100 — 220В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Технология PoE</w:t>
              <w:tab/>
              <w:t xml:space="preserve">— нет 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Максимальная потребляемая мощность, Вт — 20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Рабочая температура окружающей среды</w:t>
              <w:tab/>
              <w:t>от -20 до +50 °С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Рабочая влажность</w:t>
              <w:tab/>
              <w:t>не более 80%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Тепловыделение, Вт</w:t>
              <w:tab/>
              <w:t>20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Тип охлаждения</w:t>
              <w:tab/>
              <w:t>пассивное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Направление обдува</w:t>
              <w:tab/>
              <w:t>FTB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Установка в стойку</w:t>
              <w:tab/>
              <w:t>1U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Габариты коммутатора (Ш х В х Г), мм</w:t>
              <w:tab/>
              <w:t>430 x 44 x 204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Размер коробки ШхВхГ, мм</w:t>
              <w:tab/>
              <w:t>550 x 85 x 450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Вес брутто, кг</w:t>
              <w:tab/>
              <w:t>2.94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Гарантия: не менее 24 месяцев.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Срок службы: не менее 5 лет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наименования продукции и страны происхождения продукции</w:t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i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</w:rPr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соответствующих технических характеристик, указанных заказчиком</w:t>
            </w:r>
          </w:p>
        </w:tc>
        <w:tc>
          <w:tcPr>
            <w:tcW w:w="4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spacing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  <w:lang w:eastAsia="en-US"/>
              </w:rPr>
              <w:t>MES2300-08 Eltex | Коммутатор 10 портов 1G, 2 порта SFP</w:t>
            </w:r>
          </w:p>
        </w:tc>
        <w:tc>
          <w:tcPr>
            <w:tcW w:w="7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shd w:fill="auto" w:val="clear"/>
                <w:lang w:eastAsia="en-US"/>
              </w:rPr>
              <w:t>Количество: 2 (две) штуки.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портов</w:t>
              <w:tab/>
              <w:t>10х1G, 2хSFP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портов 10/100/1000BASE-T (RJ-45)</w:t>
              <w:tab/>
              <w:t>10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портов 1000BASE-X (SFP)</w:t>
              <w:tab/>
              <w:t>2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Консольный порт</w:t>
              <w:tab/>
              <w:t>RS-232 (RJ-45)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Функции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Уровень коммутатора</w:t>
              <w:tab/>
              <w:t>L3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Поддержка стекирования</w:t>
              <w:tab/>
              <w:t>да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Кол-во устройств в стеке</w:t>
              <w:tab/>
              <w:t>8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Поддержка сверхдлинных кадров (Jumbo frames)</w:t>
              <w:tab/>
              <w:t>да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Поддержка ERPS (G.8032v2)</w:t>
              <w:tab/>
              <w:t>да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Поддержка MLAG (Multi-Switch Link Aggregation Group)</w:t>
              <w:tab/>
              <w:t>да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Поддержка Q-in-Q</w:t>
              <w:tab/>
              <w:t>да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Поддержка Selective Q-in-Q</w:t>
              <w:tab/>
              <w:t>да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Технология EVPN/VXLAN</w:t>
              <w:tab/>
              <w:t>нет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Физические характеристики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Питание, ток</w:t>
              <w:tab/>
              <w:t>AC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Питание, В</w:t>
              <w:tab/>
              <w:t>100-240 В АС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Разъем для АКБ</w:t>
              <w:tab/>
              <w:t>нет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Технология PoE</w:t>
              <w:tab/>
              <w:t>нет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Максимальная потребляемая мощность, Вт</w:t>
              <w:tab/>
              <w:t>13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Аппаратная поддержка Dying Gasp</w:t>
              <w:tab/>
              <w:t>да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Рабочая температура окружающей среды</w:t>
              <w:tab/>
              <w:t>от -20 до +50 °С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Рабочая влажность</w:t>
              <w:tab/>
              <w:t>не более 80%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Тепловыделение, Вт</w:t>
              <w:tab/>
              <w:t>13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Тип охлаждения</w:t>
              <w:tab/>
              <w:t>пассивное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Направление обдува</w:t>
              <w:tab/>
              <w:t>пассивное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Установка в стойку</w:t>
              <w:tab/>
              <w:t>1U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Габариты коммутатора (Ш х В х Г), мм</w:t>
              <w:tab/>
              <w:t>310 x 44 x 159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Габариты и вес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Размер коробки ШхВхГ, мм</w:t>
              <w:tab/>
              <w:t>400 x 85 x 300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Вес брутто, кг</w:t>
              <w:tab/>
              <w:t>2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Гарантия: не менее 24 месяцев.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>Срок службы: не менее 5 лет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наименования продукции и страны происхождения продукции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соответствующих технических характеристик, указанных заказчиком</w:t>
            </w:r>
          </w:p>
        </w:tc>
        <w:tc>
          <w:tcPr>
            <w:tcW w:w="4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spacing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  <w:lang w:eastAsia="en-US"/>
              </w:rPr>
              <w:t>ESR-15R Eltex | Сервисный маршрутизатор 4x1G RJ-45, 2x1G SFP</w:t>
            </w:r>
          </w:p>
        </w:tc>
        <w:tc>
          <w:tcPr>
            <w:tcW w:w="7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shd w:fill="auto" w:val="clear"/>
                <w:lang w:eastAsia="en-US"/>
              </w:rPr>
              <w:t>К</w:t>
            </w:r>
            <w:r>
              <w:rPr>
                <w:rFonts w:eastAsia="Calibri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  <w:lang w:eastAsia="en-US"/>
              </w:rPr>
              <w:t>оличество: 2 (две) штуки.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Кол-во портов ESR</w:t>
              <w:tab/>
              <w:t>6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портов 1G</w:t>
              <w:tab/>
              <w:t>6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Downlink порты RJ-45</w:t>
              <w:tab/>
              <w:t>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Макс. скорость портов</w:t>
              <w:tab/>
              <w:t>1 G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Downlink порты SFP</w:t>
              <w:tab/>
              <w:t>2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Функции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Набор функций соответствует версии ПО</w:t>
              <w:tab/>
              <w:t>1.40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BRAS</w:t>
              <w:tab/>
              <w:t>Да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Интерфейсы bridge</w:t>
              <w:tab/>
              <w:t>50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Интерфейсы sub</w:t>
              <w:tab/>
              <w:t>64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Интерфейсы QinQ</w:t>
              <w:tab/>
              <w:t>64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PBR. Количество профилей</w:t>
              <w:tab/>
              <w:t>40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PBR. Максимальное количество правил во всех профилях</w:t>
              <w:tab/>
              <w:t>512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конфигурируемых VPN-туннелей IPIP</w:t>
              <w:tab/>
              <w:t>10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конфигурируемых VPN-туннелей GRE</w:t>
              <w:tab/>
              <w:t>10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конфигурируемых VPN-туннелей Ethernet over GRE</w:t>
              <w:tab/>
              <w:t>10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конфигурируемых VPN-туннелей GRE SUB</w:t>
              <w:tab/>
              <w:t>10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конфигурируемых VPN-туннелей SoftGRE</w:t>
              <w:tab/>
              <w:t>500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конфигурируемых VPN-туннелей L2TPv3</w:t>
              <w:tab/>
              <w:t>10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конфигурируемых VPN-туннелей LT</w:t>
              <w:tab/>
              <w:t>128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конфигурируемых VPN-туннелей IPsec VTI</w:t>
              <w:tab/>
              <w:t>64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 конфигурируемых IPsec VPN-туннелей</w:t>
              <w:tab/>
              <w:t>64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Удалённый доступ L2TP. Туннелей</w:t>
              <w:tab/>
              <w:t>10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Удалённый доступ PPTP. Туннелей</w:t>
              <w:tab/>
              <w:t>10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Удалённый доступ OpenVPN. Туннелей</w:t>
              <w:tab/>
              <w:t>10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Удалённый доступ OpenVPN. Адресов на туннель</w:t>
              <w:tab/>
              <w:t>8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Удалённый доступ OpenVPN. Количество одновременных пользователей</w:t>
              <w:tab/>
              <w:t>64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DHCP. Количество пулов</w:t>
              <w:tab/>
              <w:t>20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DHCP. Размер пула</w:t>
              <w:tab/>
              <w:t>10K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DHCP. Статических адресов в пуле</w:t>
              <w:tab/>
              <w:t>128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ACL. Количество профилей</w:t>
              <w:tab/>
              <w:t>512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ACL. Количество правил в профиле</w:t>
              <w:tab/>
              <w:t>512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Файрволл. Количество зон безопасности</w:t>
              <w:tab/>
              <w:t>48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Файрволл. Количество пар зоны безопасности</w:t>
              <w:tab/>
              <w:t>192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Файрволл. Количество правил</w:t>
              <w:tab/>
              <w:t>4096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IPS. Количество пользовательских серверов обновлений</w:t>
              <w:tab/>
              <w:t>32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IPS. Количество категорий</w:t>
              <w:tab/>
              <w:t>20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IPS. Количество правил</w:t>
              <w:tab/>
              <w:t>500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Физические характеристики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Питание, ток</w:t>
              <w:tab/>
              <w:t>AC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Максимальная потребляемая мощность, Вт</w:t>
              <w:tab/>
              <w:t>18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Установка в стойку esr</w:t>
              <w:tab/>
              <w:t>1U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Питание, В</w:t>
              <w:tab/>
              <w:t>100-264 В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Габариты и вес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Размер коробки ШхВхГ, мм</w:t>
              <w:tab/>
              <w:t>300 x 85 x 400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Вес брутто, кг</w:t>
              <w:tab/>
              <w:t>1.8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Гарантия: не менее 24 месяцев.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>Срок службы: не менее 5 лет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/>
                <w:color w:val="000000"/>
                <w:sz w:val="20"/>
                <w:szCs w:val="20"/>
                <w:highlight w:val="none"/>
                <w:shd w:fill="auto" w:val="clear"/>
                <w:lang w:eastAsia="en-US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shd w:fill="auto" w:val="clear"/>
                <w:lang w:eastAsia="en-US"/>
              </w:rPr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наименования продукции и страны происхождения продукции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соответствующих технических характеристик, указанных заказчиком</w:t>
            </w:r>
          </w:p>
        </w:tc>
        <w:tc>
          <w:tcPr>
            <w:tcW w:w="4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spacing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Модем xDSL с портами 4х10/100 BASE-T</w:t>
            </w:r>
          </w:p>
        </w:tc>
        <w:tc>
          <w:tcPr>
            <w:tcW w:w="7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ество: 2 (две) штуки.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Модемы FlexDSL Orion3 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Порты: четыре разъёма RJ-45 10/100 Base-T.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 Поддержка автоматического согласования скорости (auto-negotiation). 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Порт xDSL: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 Подключение к телефонной линии (медной паре). Стандарт G.SHDSL.bis. Поддержка технологии EFM (Elementary Frame Mode) bonding.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Скорость передачи: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  до 15 Мбит/с / до 30 Мбит/с.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Управление.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 через веб-интерфейс, SNMP / консольный порт (RS-232).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Питание: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 Переменное напряжение (AC 220В) 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Условия эксплуатации: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 Обычно указывают рабочий диапазон температур и влажности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rong"/>
                <w:b w:val="false"/>
                <w:bCs w:val="false"/>
                <w:shd w:fill="auto" w:val="clear"/>
              </w:rPr>
              <w:t xml:space="preserve">Рабочая температура: +5 - +40 </w:t>
            </w:r>
            <w:r>
              <w:rPr>
                <w:rStyle w:val="Strong"/>
                <w:rFonts w:eastAsia="Calibri" w:cs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°С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Гарантия не менее: 24 месяцев.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Срок службы не менее:  5 лет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/>
            </w:pPr>
            <w:r>
              <w:rPr>
                <w:sz w:val="20"/>
                <w:szCs w:val="20"/>
              </w:rPr>
              <w:t xml:space="preserve">Оптический кросс на 24 OB FC SM </w:t>
            </w:r>
            <w:r>
              <w:rPr>
                <w:rFonts w:eastAsia="Calibri" w:cs=""/>
                <w:color w:val="000000"/>
                <w:kern w:val="0"/>
                <w:sz w:val="20"/>
                <w:szCs w:val="20"/>
                <w:lang w:val="ru-RU" w:eastAsia="en-US" w:bidi="ar-SA"/>
              </w:rPr>
              <w:t>19</w:t>
            </w:r>
            <w:r>
              <w:rPr>
                <w:rFonts w:eastAsia="Calibri" w:cs=""/>
                <w:color w:val="000000"/>
                <w:kern w:val="0"/>
                <w:sz w:val="20"/>
                <w:szCs w:val="20"/>
                <w:lang w:val="en-US" w:eastAsia="en-US" w:bidi="ar-SA"/>
              </w:rPr>
              <w:t>” 1U</w:t>
            </w:r>
          </w:p>
        </w:tc>
        <w:tc>
          <w:tcPr>
            <w:tcW w:w="7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ество: 1 (одна) штука.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/>
            </w:pPr>
            <w:r>
              <w:rPr>
                <w:rFonts w:eastAsia="Calibri" w:cs=""/>
                <w:color w:val="000000"/>
                <w:kern w:val="0"/>
                <w:sz w:val="20"/>
                <w:szCs w:val="20"/>
                <w:lang w:val="en-US" w:eastAsia="en-US" w:bidi="ar-SA"/>
              </w:rPr>
              <w:t>Укомплектованный на 24 порта FC/UPC (24 одинарных FC/UPC адаптеров), SM 9/125 OS2, стальной, серый, в комплекте: адаптеры, монтажные шнуры 1 м, сплайс-кассета с крышкой, гильзы NMF-RP24FCUS2-WS-ES-1U-GY NIKOMAX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widowControl w:val="false"/>
              <w:spacing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  <w:lang w:eastAsia="en-US"/>
              </w:rPr>
              <w:t>Шкафы для ИБП и АКБ 24U в комплекте с ИБП Штиль STR1106SL (6 кВА / 5,4 кВт) с 16 АКБ 12В 200 Ач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2"/>
                <w:sz w:val="20"/>
                <w:szCs w:val="20"/>
                <w:u w:val="single"/>
                <w:shd w:fill="auto" w:val="clear"/>
                <w:lang w:val="ru-RU" w:eastAsia="en-US" w:bidi="ar-SA"/>
              </w:rPr>
              <w:t>Шкаф для ИБП и АКБ</w:t>
            </w: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Телекоммуникационный шкаф «Штиль» TC-2401-01D2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Количество: 1 (одна) штука. 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Тип напольный. Двери (передняя и задняя) перфорированные. Боковые панели несъемные перфорированные, Регулируемые опоры (ножки). 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Максимальная статическая нагрузка, не менее, кг: 400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Высота: 24U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Материал: сталь с порошковым покрытием.</w:t>
              <w:br/>
              <w:t>Цвет: серый RAL 7035.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Набор монтажных профилей «Штиль» SMP-24-01 — 1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Монтажный комплект для ИБП «Штиль» МК-02-600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Батарейная полка «Штиль» BS-250-01 — 2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Шина заземления «Штиль» PE-10-600 — 1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b/>
                <w:bCs/>
                <w:color w:val="000000"/>
                <w:kern w:val="2"/>
                <w:sz w:val="20"/>
                <w:szCs w:val="20"/>
                <w:u w:val="singl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2"/>
                <w:sz w:val="20"/>
                <w:szCs w:val="20"/>
                <w:u w:val="single"/>
                <w:lang w:val="ru-RU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2"/>
                <w:sz w:val="20"/>
                <w:szCs w:val="20"/>
                <w:u w:val="single"/>
                <w:shd w:fill="auto" w:val="clear"/>
                <w:lang w:val="ru-RU" w:eastAsia="en-US" w:bidi="ar-SA"/>
              </w:rPr>
              <w:t>Шкаф для АКБ</w:t>
            </w: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: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Телекоммуникационный шкаф «Штиль» TC-2401-01D2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Количество: 1 (одна) штука. 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Тип напольный. Двери (передняя и задняя) перфорированные. Боковые панели несъемные перфорированные, Регулируемые опоры (ножки). Комплект заземления — шины и проводники.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Максимальная статическая нагрузка, не менее, кг: 400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Высота: 24U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Материал: сталь с порошковым покрытием.</w:t>
              <w:br/>
              <w:t>Цвет: серый RAL 7035.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Батарейная полка «Штиль» BS-250-01 — 2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kern w:val="2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Онлайн ИБП Штиль SR1106L (6 кВА / 5,4 кВт)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Количество: - 1 (одна) штука.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Активная мощность, кВт 5,4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Время автономной работы зависит от ёмкости внешних АБ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Число фаз 1 в 1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Форм-фактор в стойку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Топология on-line (с двойным преобразованием)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Режимы работы on-line, автономный, байпас, ECO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Предельный диапазон входного напряжения, В 90-310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Номинальное выходное напряжение переменного тока, В 220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Точность стабилизации выходнго напряжения, % ±2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Форма выходного напряжения чистая синусоида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Максимальный выходной ток, А 27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Наличие батарей внешние (опция)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Номинальное напряжение АБ, В 192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Электронный автоматический байпас да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Степень защиты от пыли и влаги IP20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Габаритные размеры ВхШхГ (в упаковке), мм 135х490х590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Масса, кг 16,4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Гарантийный срок, мес 24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Карта мониторинга IC-SNMP/WEB — 1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Аккумулятор Ventura FT 12-200 (12 В 200 Ач)</w:t>
            </w: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Количество: 16 (шестнадцать)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Модуль защиты батарей BPM-10-C-B — 1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Модуль распределения PDM-10-3T-1T — 1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Батарейный кабель T-T-3-2x6 — 1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Батарейный кабель T-M8-2-2x6 — 1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Перемычка M8-M8-0,3-1x6 — 12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Батарейный кабель M8-M8-1-1x6 — 3 шт.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0"/>
                <w:szCs w:val="20"/>
                <w:shd w:fill="auto" w:val="clear"/>
                <w:lang w:val="ru-RU" w:eastAsia="en-US" w:bidi="ar-SA"/>
              </w:rPr>
              <w:t>Гарантия 24 мес.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наименования продукции и страны происхождения продукции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i/>
                <w:iCs/>
                <w:color w:val="808080"/>
                <w:sz w:val="20"/>
                <w:szCs w:val="20"/>
                <w:lang w:eastAsia="en-US"/>
              </w:rPr>
              <w:t>Способ подтверждения: указание соответствующих технических характеристик, указанных заказчиком</w:t>
            </w:r>
          </w:p>
        </w:tc>
        <w:tc>
          <w:tcPr>
            <w:tcW w:w="4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spacing w:before="0" w:after="120"/>
        <w:ind w:right="397" w:hanging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Standard"/>
        <w:spacing w:before="120" w:after="40"/>
        <w:ind w:right="39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* Указанные в настоящем ТТ ссылки на ТУ, марку (тип) продукции носят описательный, а не обязательный характер.</w:t>
      </w:r>
    </w:p>
    <w:p>
      <w:pPr>
        <w:pStyle w:val="Standard"/>
        <w:spacing w:before="40" w:after="120"/>
        <w:ind w:right="-28" w:hanging="0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В случае, если Подрядчиком предлагается эквивалентная продукция</w:t>
      </w:r>
      <w:r>
        <w:rPr>
          <w:rFonts w:ascii="Times New Roman" w:hAnsi="Times New Roman"/>
          <w:i/>
          <w:iCs/>
          <w:sz w:val="20"/>
          <w:szCs w:val="20"/>
        </w:rPr>
        <w:t xml:space="preserve"> требуемой Заказчику продукции или ее составных частей, он должен в обязательном порядке должен предоставить подробное техническое описание предлагаемого к поставке эквивалента, в объеме не менее установленных в настоящем ТТ.</w:t>
      </w:r>
    </w:p>
    <w:p>
      <w:pPr>
        <w:pStyle w:val="Standard"/>
        <w:spacing w:before="40" w:after="120"/>
        <w:ind w:right="-28" w:hanging="0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tbl>
      <w:tblPr>
        <w:tblpPr w:vertAnchor="text" w:horzAnchor="margin" w:leftFromText="180" w:rightFromText="180" w:tblpX="0" w:tblpY="181"/>
        <w:tblW w:w="9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110"/>
        <w:gridCol w:w="4533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jc w:val="right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566" w:gutter="0" w:header="680" w:top="1134" w:footer="0" w:bottom="992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swiss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Heading2"/>
      <w:numFmt w:val="decimal"/>
      <w:lvlText w:val="%2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pStyle w:val="Heading3"/>
      <w:numFmt w:val="decimal"/>
      <w:lvlText w:val="%3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/>
        <w:kern w:val="0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3">
      <w:start w:val="1"/>
      <w:pStyle w:val="Heading4"/>
      <w:numFmt w:val="decimal"/>
      <w:lvlText w:val="%4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513" w:hanging="360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23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2673" w:hanging="360"/>
      </w:pPr>
      <w:rPr>
        <w:rFonts w:ascii="Times New Roman" w:hAnsi="Times New Roman" w:cs="Times New Roman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39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1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4833" w:hanging="360"/>
      </w:pPr>
      <w:rPr>
        <w:rFonts w:ascii="Times New Roman" w:hAnsi="Times New Roman" w:cs="Times New Roman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0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Standard"/>
    <w:qFormat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Standard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Standard"/>
    <w:next w:val="Standard"/>
    <w:autoRedefine/>
    <w:qFormat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</w:rPr>
  </w:style>
  <w:style w:type="paragraph" w:styleId="Heading4">
    <w:name w:val="Heading 4"/>
    <w:basedOn w:val="Heading3"/>
    <w:next w:val="Standard"/>
    <w:qFormat/>
    <w:pPr>
      <w:numPr>
        <w:ilvl w:val="3"/>
        <w:numId w:val="1"/>
      </w:numPr>
      <w:outlineLvl w:val="3"/>
    </w:pPr>
    <w:rPr>
      <w:bCs/>
    </w:rPr>
  </w:style>
  <w:style w:type="paragraph" w:styleId="Heading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qFormat/>
    <w:pPr>
      <w:keepNext w:val="true"/>
      <w:keepLines/>
      <w:spacing w:before="200" w:after="120"/>
      <w:outlineLvl w:val="5"/>
    </w:pPr>
    <w:rPr>
      <w:rFonts w:ascii="Cambria" w:hAnsi="Cambria" w:eastAsia="Cambria" w:cs="Cambria"/>
      <w:i/>
      <w:iCs/>
      <w:color w:val="243F60"/>
      <w:sz w:val="20"/>
      <w:szCs w:val="20"/>
    </w:rPr>
  </w:style>
  <w:style w:type="paragraph" w:styleId="Heading7">
    <w:name w:val="Heading 7"/>
    <w:basedOn w:val="Standard"/>
    <w:next w:val="Standard"/>
    <w:qFormat/>
    <w:pPr>
      <w:keepNext w:val="true"/>
      <w:keepLines/>
      <w:spacing w:before="200" w:after="120"/>
      <w:outlineLvl w:val="6"/>
    </w:pPr>
    <w:rPr>
      <w:rFonts w:ascii="Cambria" w:hAnsi="Cambria" w:eastAsia="Cambria" w:cs="Cambria"/>
      <w:i/>
      <w:iCs/>
      <w:color w:val="404040"/>
      <w:sz w:val="20"/>
      <w:szCs w:val="20"/>
    </w:rPr>
  </w:style>
  <w:style w:type="paragraph" w:styleId="Heading8">
    <w:name w:val="Heading 8"/>
    <w:basedOn w:val="Standard"/>
    <w:next w:val="Standard"/>
    <w:qFormat/>
    <w:pPr>
      <w:keepNext w:val="true"/>
      <w:keepLines/>
      <w:spacing w:before="200" w:after="120"/>
      <w:outlineLvl w:val="7"/>
    </w:pPr>
    <w:rPr>
      <w:rFonts w:ascii="Cambria" w:hAnsi="Cambria" w:eastAsia="Cambria" w:cs="Cambria"/>
      <w:color w:val="4F81BD"/>
      <w:sz w:val="20"/>
      <w:szCs w:val="20"/>
    </w:rPr>
  </w:style>
  <w:style w:type="paragraph" w:styleId="Heading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 w:customStyle="1">
    <w:name w:val="Strong1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 w:eastAsia="Cambria" w:cs="Cambria"/>
      <w:i/>
      <w:iCs/>
      <w:color w:val="243F60"/>
    </w:rPr>
  </w:style>
  <w:style w:type="character" w:styleId="7" w:customStyle="1">
    <w:name w:val="Заголовок 7 Знак"/>
    <w:qFormat/>
    <w:rPr>
      <w:rFonts w:ascii="Cambria" w:hAnsi="Cambria" w:eastAsia="Cambria" w:cs="Cambria"/>
      <w:i/>
      <w:iCs/>
      <w:color w:val="404040"/>
    </w:rPr>
  </w:style>
  <w:style w:type="character" w:styleId="8" w:customStyle="1">
    <w:name w:val="Заголовок 8 Знак"/>
    <w:qFormat/>
    <w:rPr>
      <w:rFonts w:ascii="Cambria" w:hAnsi="Cambria" w:eastAsia="Cambria" w:cs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eastAsia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</w:rPr>
  </w:style>
  <w:style w:type="character" w:styleId="Style3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1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2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ConsPlusNormal" w:customStyle="1">
    <w:name w:val="ConsPlusNormal Знак"/>
    <w:qFormat/>
    <w:rPr>
      <w:rFonts w:ascii="Arial" w:hAnsi="Arial" w:eastAsia="Arial" w:cs="Arial"/>
    </w:rPr>
  </w:style>
  <w:style w:type="character" w:styleId="Style14" w:customStyle="1">
    <w:name w:val="Нижний колонтитул Знак"/>
    <w:basedOn w:val="DefaultParagraphFont"/>
    <w:qFormat/>
    <w:rPr>
      <w:sz w:val="28"/>
      <w:szCs w:val="28"/>
    </w:rPr>
  </w:style>
  <w:style w:type="character" w:styleId="Style15" w:customStyle="1">
    <w:name w:val="Ссылка указателя"/>
    <w:qFormat/>
    <w:rPr/>
  </w:style>
  <w:style w:type="character" w:styleId="14" w:customStyle="1">
    <w:name w:val="Строгий1"/>
    <w:qFormat/>
    <w:rPr>
      <w:b/>
      <w:bCs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EndnoteSymbol" w:customStyle="1">
    <w:name w:val="Endnote Symbol"/>
    <w:qFormat/>
    <w:rPr/>
  </w:style>
  <w:style w:type="character" w:styleId="FootnoteSymbol" w:customStyle="1">
    <w:name w:val="Footnote Symbol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6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1" w:customStyle="1">
    <w:name w:val="caption11"/>
    <w:basedOn w:val="Standard"/>
    <w:next w:val="Standard"/>
    <w:qFormat/>
    <w:pPr/>
    <w:rPr>
      <w:rFonts w:eastAsia="Calibri"/>
      <w:b/>
      <w:bCs/>
      <w:color w:val="4F81BD"/>
      <w:sz w:val="18"/>
      <w:szCs w:val="18"/>
    </w:rPr>
  </w:style>
  <w:style w:type="paragraph" w:styleId="Style19" w:customStyle="1">
    <w:name w:val="Название раздела инструкции"/>
    <w:basedOn w:val="Standard"/>
    <w:autoRedefine/>
    <w:qFormat/>
    <w:pPr>
      <w:jc w:val="center"/>
    </w:pPr>
    <w:rPr>
      <w:b/>
    </w:rPr>
  </w:style>
  <w:style w:type="paragraph" w:styleId="Style20" w:customStyle="1">
    <w:name w:val="Раздел положения"/>
    <w:basedOn w:val="Standard"/>
    <w:autoRedefine/>
    <w:qFormat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Standard"/>
    <w:autoRedefine/>
    <w:qFormat/>
    <w:pPr>
      <w:numPr>
        <w:ilvl w:val="0"/>
        <w:numId w:val="2"/>
      </w:numPr>
      <w:spacing w:before="80" w:after="80"/>
      <w:jc w:val="both"/>
    </w:pPr>
    <w:rPr/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17" w:customStyle="1">
    <w:name w:val="Шапка 1"/>
    <w:basedOn w:val="Standard"/>
    <w:qFormat/>
    <w:pPr>
      <w:pBdr>
        <w:bottom w:val="double" w:sz="12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Standard"/>
    <w:qFormat/>
    <w:pPr>
      <w:pBdr>
        <w:bottom w:val="double" w:sz="12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Standard"/>
    <w:qFormat/>
    <w:pPr>
      <w:pBdr>
        <w:bottom w:val="double" w:sz="12" w:space="1" w:color="000000"/>
      </w:pBdr>
      <w:spacing w:before="240" w:after="360"/>
      <w:jc w:val="center"/>
    </w:pPr>
    <w:rPr>
      <w:b/>
    </w:rPr>
  </w:style>
  <w:style w:type="paragraph" w:styleId="18" w:customStyle="1">
    <w:name w:val="Название1"/>
    <w:basedOn w:val="Standard"/>
    <w:qFormat/>
    <w:pPr>
      <w:jc w:val="center"/>
    </w:pPr>
    <w:rPr>
      <w:szCs w:val="20"/>
    </w:rPr>
  </w:style>
  <w:style w:type="paragraph" w:styleId="Style22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extbodyindent" w:customStyle="1">
    <w:name w:val="Text body indent"/>
    <w:basedOn w:val="Standard"/>
    <w:qFormat/>
    <w:pPr>
      <w:ind w:left="360" w:hanging="0"/>
    </w:pPr>
    <w:rPr/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Standard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Standard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BlockText">
    <w:name w:val="Block Text"/>
    <w:basedOn w:val="Standard"/>
    <w:qFormat/>
    <w:pPr>
      <w:ind w:left="-567" w:right="-766" w:hanging="0"/>
      <w:jc w:val="center"/>
    </w:pPr>
    <w:rPr>
      <w:b/>
      <w:bCs/>
      <w:szCs w:val="20"/>
    </w:rPr>
  </w:style>
  <w:style w:type="paragraph" w:styleId="Style23" w:customStyle="1">
    <w:name w:val="Подпункт"/>
    <w:basedOn w:val="Standard"/>
    <w:qFormat/>
    <w:pPr>
      <w:tabs>
        <w:tab w:val="clear" w:pos="708"/>
        <w:tab w:val="left" w:pos="2268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Standard"/>
    <w:qFormat/>
    <w:pPr>
      <w:keepNext w:val="true"/>
      <w:tabs>
        <w:tab w:val="clear" w:pos="708"/>
        <w:tab w:val="left" w:pos="2268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Contents1" w:customStyle="1">
    <w:name w:val="Contents 1"/>
    <w:basedOn w:val="Standard"/>
    <w:next w:val="Standard"/>
    <w:autoRedefine/>
    <w:qFormat/>
    <w:pPr>
      <w:spacing w:before="120" w:after="0"/>
    </w:pPr>
    <w:rPr>
      <w:rFonts w:cs="Calibri Light (Заголовки)"/>
      <w:b/>
      <w:bCs/>
    </w:rPr>
  </w:style>
  <w:style w:type="paragraph" w:styleId="Contents3" w:customStyle="1">
    <w:name w:val="Contents 3"/>
    <w:basedOn w:val="Standard"/>
    <w:next w:val="Standard"/>
    <w:autoRedefine/>
    <w:qFormat/>
    <w:rsid w:val="00666518"/>
    <w:pPr>
      <w:tabs>
        <w:tab w:val="clear" w:pos="708"/>
        <w:tab w:val="right" w:pos="1400" w:leader="dot"/>
        <w:tab w:val="right" w:pos="10191" w:leader="dot"/>
      </w:tabs>
    </w:pPr>
    <w:rPr>
      <w:rFonts w:cs="Calibri"/>
      <w:sz w:val="20"/>
      <w:szCs w:val="20"/>
    </w:rPr>
  </w:style>
  <w:style w:type="paragraph" w:styleId="Style24" w:customStyle="1">
    <w:name w:val="Раздел регламента"/>
    <w:basedOn w:val="Standard"/>
    <w:qFormat/>
    <w:pPr/>
    <w:rPr/>
  </w:style>
  <w:style w:type="paragraph" w:styleId="Style25" w:customStyle="1">
    <w:name w:val="Приложение к регламенту"/>
    <w:basedOn w:val="Standard"/>
    <w:qFormat/>
    <w:pPr>
      <w:jc w:val="right"/>
    </w:pPr>
    <w:rPr/>
  </w:style>
  <w:style w:type="paragraph" w:styleId="Contents2" w:customStyle="1">
    <w:name w:val="Contents 2"/>
    <w:basedOn w:val="Standard"/>
    <w:next w:val="Standard"/>
    <w:autoRedefine/>
    <w:qFormat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Annotationtext">
    <w:name w:val="annotation text"/>
    <w:basedOn w:val="Standard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9" w:customStyle="1">
    <w:name w:val="Обычный (веб)1"/>
    <w:basedOn w:val="Standard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Contents9" w:customStyle="1">
    <w:name w:val="Contents 9"/>
    <w:basedOn w:val="Standard"/>
    <w:next w:val="Standard"/>
    <w:autoRedefine/>
    <w:qFormat/>
    <w:pPr>
      <w:ind w:left="1960" w:hanging="0"/>
    </w:pPr>
    <w:rPr>
      <w:rFonts w:eastAsia="Calibri" w:cs="Calibri"/>
      <w:sz w:val="20"/>
      <w:szCs w:val="20"/>
    </w:rPr>
  </w:style>
  <w:style w:type="paragraph" w:styleId="Contents5" w:customStyle="1">
    <w:name w:val="Contents 5"/>
    <w:basedOn w:val="Standard"/>
    <w:next w:val="Standard"/>
    <w:autoRedefine/>
    <w:qFormat/>
    <w:pPr>
      <w:ind w:left="840" w:hanging="0"/>
    </w:pPr>
    <w:rPr>
      <w:rFonts w:eastAsia="Calibri" w:cs="Calibri"/>
      <w:sz w:val="20"/>
      <w:szCs w:val="20"/>
    </w:rPr>
  </w:style>
  <w:style w:type="paragraph" w:styleId="Contents4" w:customStyle="1">
    <w:name w:val="Contents 4"/>
    <w:basedOn w:val="Standard"/>
    <w:next w:val="Standard"/>
    <w:autoRedefine/>
    <w:qFormat/>
    <w:rsid w:val="00666518"/>
    <w:pPr>
      <w:tabs>
        <w:tab w:val="clear" w:pos="708"/>
        <w:tab w:val="right" w:pos="1680" w:leader="dot"/>
        <w:tab w:val="right" w:pos="10471" w:leader="dot"/>
      </w:tabs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Standard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NoSpacing">
    <w:name w:val="No Spacing"/>
    <w:basedOn w:val="Standard"/>
    <w:qFormat/>
    <w:pPr>
      <w:spacing w:lineRule="auto" w:line="360"/>
    </w:pPr>
    <w:rPr>
      <w:rFonts w:eastAsia="Calibri"/>
    </w:rPr>
  </w:style>
  <w:style w:type="paragraph" w:styleId="Subtitle">
    <w:name w:val="Subtitle"/>
    <w:basedOn w:val="Standard"/>
    <w:next w:val="Standard"/>
    <w:qFormat/>
    <w:pPr>
      <w:ind w:left="1066" w:firstLine="709"/>
    </w:pPr>
    <w:rPr>
      <w:rFonts w:ascii="Cambria" w:hAnsi="Cambria" w:eastAsia="Cambria" w:cs="Cambria"/>
      <w:i/>
      <w:iCs/>
      <w:color w:val="4F81BD"/>
      <w:spacing w:val="15"/>
    </w:rPr>
  </w:style>
  <w:style w:type="paragraph" w:styleId="ListParagraph">
    <w:name w:val="List Paragraph"/>
    <w:basedOn w:val="Standard"/>
    <w:qFormat/>
    <w:pPr>
      <w:ind w:left="720" w:hanging="0"/>
    </w:pPr>
    <w:rPr>
      <w:rFonts w:eastAsia="Calibri"/>
    </w:rPr>
  </w:style>
  <w:style w:type="paragraph" w:styleId="Quote">
    <w:name w:val="Quote"/>
    <w:basedOn w:val="Standard"/>
    <w:next w:val="Standard"/>
    <w:qFormat/>
    <w:pPr/>
    <w:rPr>
      <w:rFonts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Standard"/>
    <w:next w:val="Standard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eastAsia="Calibri" w:cs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15"/>
    <w:qFormat/>
    <w:pPr/>
    <w:rPr/>
  </w:style>
  <w:style w:type="paragraph" w:styleId="ContentsHeading" w:customStyle="1">
    <w:name w:val="Contents Heading"/>
    <w:basedOn w:val="Heading1"/>
    <w:next w:val="Standard"/>
    <w:qFormat/>
    <w:pPr>
      <w:keepLines/>
      <w:numPr>
        <w:ilvl w:val="0"/>
        <w:numId w:val="0"/>
      </w:numPr>
      <w:spacing w:before="480" w:after="60"/>
    </w:pPr>
    <w:rPr>
      <w:rFonts w:ascii="Cambria" w:hAnsi="Cambria" w:eastAsia="Cambria" w:cs="Cambria"/>
      <w:bCs/>
      <w:color w:val="365F91"/>
    </w:rPr>
  </w:style>
  <w:style w:type="paragraph" w:styleId="E-mailSignature">
    <w:name w:val="E-mail Signature"/>
    <w:basedOn w:val="Standard"/>
    <w:qFormat/>
    <w:pPr/>
    <w:rPr>
      <w:rFonts w:eastAsia="Calibri"/>
    </w:rPr>
  </w:style>
  <w:style w:type="paragraph" w:styleId="Style27" w:customStyle="1">
    <w:name w:val="Знак"/>
    <w:basedOn w:val="Standard"/>
    <w:qFormat/>
    <w:pPr>
      <w:spacing w:lineRule="exact" w:line="240" w:before="0" w:after="160"/>
    </w:pPr>
    <w:rPr>
      <w:rFonts w:ascii="Verdana" w:hAnsi="Verdana" w:eastAsia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Standard"/>
    <w:qFormat/>
    <w:pPr>
      <w:jc w:val="both"/>
    </w:pPr>
    <w:rPr>
      <w:rFonts w:ascii="Garamond" w:hAnsi="Garamond" w:eastAsia="Garamond" w:cs="Garamond"/>
      <w:szCs w:val="20"/>
    </w:rPr>
  </w:style>
  <w:style w:type="paragraph" w:styleId="ListBullet4">
    <w:name w:val="List Bullet 4"/>
    <w:basedOn w:val="Standard"/>
    <w:qFormat/>
    <w:pPr>
      <w:spacing w:before="120" w:after="0"/>
      <w:jc w:val="both"/>
    </w:pPr>
    <w:rPr>
      <w:rFonts w:ascii="Garamond" w:hAnsi="Garamond" w:eastAsia="Garamond" w:cs="Garamond"/>
      <w:szCs w:val="20"/>
    </w:rPr>
  </w:style>
  <w:style w:type="paragraph" w:styleId="26" w:customStyle="1">
    <w:name w:val="Нумерованный список ур2"/>
    <w:basedOn w:val="Standard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Garamond" w:cs="Garamond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Style28" w:customStyle="1">
    <w:name w:val="Пункт"/>
    <w:basedOn w:val="Standard"/>
    <w:qFormat/>
    <w:pPr>
      <w:widowControl w:val="false"/>
      <w:tabs>
        <w:tab w:val="clear" w:pos="708"/>
        <w:tab w:val="left" w:pos="2268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Arial" w:cs="Arial"/>
      <w:b/>
      <w:i/>
      <w:szCs w:val="20"/>
    </w:rPr>
  </w:style>
  <w:style w:type="paragraph" w:styleId="110" w:customStyle="1">
    <w:name w:val="Абзац списка1"/>
    <w:basedOn w:val="Standard"/>
    <w:qFormat/>
    <w:pPr>
      <w:spacing w:lineRule="auto" w:line="276" w:before="0" w:after="200"/>
      <w:ind w:left="720" w:hanging="0"/>
    </w:pPr>
    <w:rPr>
      <w:rFonts w:eastAsia="Calibri" w:cs="Calibri"/>
      <w:sz w:val="22"/>
      <w:szCs w:val="22"/>
      <w:lang w:eastAsia="en-US"/>
    </w:rPr>
  </w:style>
  <w:style w:type="paragraph" w:styleId="Style29" w:customStyle="1">
    <w:name w:val="Таблица"/>
    <w:basedOn w:val="Standard"/>
    <w:qFormat/>
    <w:pPr>
      <w:keepNext w:val="true"/>
      <w:spacing w:before="60" w:after="60"/>
      <w:jc w:val="center"/>
    </w:pPr>
    <w:rPr>
      <w:rFonts w:eastAsia="Calibri"/>
      <w:b/>
    </w:rPr>
  </w:style>
  <w:style w:type="paragraph" w:styleId="Style30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pPr>
      <w:tabs>
        <w:tab w:val="clear" w:pos="2268"/>
        <w:tab w:val="left" w:pos="10208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p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0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11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1134" w:leader="none"/>
      </w:tabs>
      <w:spacing w:before="480" w:after="240"/>
      <w:ind w:left="567" w:hanging="567"/>
      <w:jc w:val="both"/>
    </w:pPr>
    <w:rPr>
      <w:rFonts w:ascii="Arial" w:hAnsi="Arial" w:eastAsia="Times New Roman" w:cs="Arial"/>
      <w:bCs/>
      <w:sz w:val="40"/>
      <w:szCs w:val="20"/>
    </w:rPr>
  </w:style>
  <w:style w:type="paragraph" w:styleId="Endnote" w:customStyle="1">
    <w:name w:val="Endnote"/>
    <w:basedOn w:val="Standard"/>
    <w:qFormat/>
    <w:pPr/>
    <w:rPr>
      <w:sz w:val="20"/>
      <w:szCs w:val="20"/>
    </w:rPr>
  </w:style>
  <w:style w:type="paragraph" w:styleId="28" w:customStyle="1">
    <w:name w:val="Заголовок 2 КВВ"/>
    <w:basedOn w:val="Standard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Cs w:val="20"/>
    </w:rPr>
  </w:style>
  <w:style w:type="paragraph" w:styleId="Style34" w:customStyle="1">
    <w:name w:val="Таблица текст"/>
    <w:basedOn w:val="Standard"/>
    <w:qFormat/>
    <w:pPr>
      <w:spacing w:before="40" w:after="40"/>
      <w:ind w:left="57" w:right="57" w:hanging="0"/>
    </w:pPr>
    <w:rPr>
      <w:szCs w:val="26"/>
    </w:rPr>
  </w:style>
  <w:style w:type="paragraph" w:styleId="NormalWeb">
    <w:name w:val="Normal (Web)"/>
    <w:basedOn w:val="Standard"/>
    <w:qFormat/>
    <w:pPr>
      <w:spacing w:before="280" w:after="280"/>
    </w:pPr>
    <w:rPr/>
  </w:style>
  <w:style w:type="paragraph" w:styleId="112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  <w:lang w:eastAsia="en-US"/>
    </w:rPr>
  </w:style>
  <w:style w:type="paragraph" w:styleId="Contents6" w:customStyle="1">
    <w:name w:val="Contents 6"/>
    <w:basedOn w:val="Standard"/>
    <w:next w:val="Standard"/>
    <w:autoRedefine/>
    <w:qFormat/>
    <w:pPr>
      <w:ind w:left="1120" w:hanging="0"/>
    </w:pPr>
    <w:rPr>
      <w:rFonts w:eastAsia="Calibri" w:cs="Calibri"/>
      <w:sz w:val="20"/>
      <w:szCs w:val="20"/>
    </w:rPr>
  </w:style>
  <w:style w:type="paragraph" w:styleId="Contents7" w:customStyle="1">
    <w:name w:val="Contents 7"/>
    <w:basedOn w:val="Standard"/>
    <w:next w:val="Standard"/>
    <w:autoRedefine/>
    <w:qFormat/>
    <w:pPr>
      <w:ind w:left="1400" w:hanging="0"/>
    </w:pPr>
    <w:rPr>
      <w:rFonts w:eastAsia="Calibri" w:cs="Calibri"/>
      <w:sz w:val="20"/>
      <w:szCs w:val="20"/>
    </w:rPr>
  </w:style>
  <w:style w:type="paragraph" w:styleId="Contents8" w:customStyle="1">
    <w:name w:val="Contents 8"/>
    <w:basedOn w:val="Standard"/>
    <w:next w:val="Standard"/>
    <w:autoRedefine/>
    <w:qFormat/>
    <w:pPr>
      <w:ind w:left="1680" w:hanging="0"/>
    </w:pPr>
    <w:rPr>
      <w:rFonts w:eastAsia="Calibri" w:cs="Calibri"/>
      <w:sz w:val="20"/>
      <w:szCs w:val="20"/>
    </w:rPr>
  </w:style>
  <w:style w:type="paragraph" w:styleId="37" w:customStyle="1">
    <w:name w:val="Заголовок 3 ДИТ"/>
    <w:basedOn w:val="Standard"/>
    <w:qFormat/>
    <w:pPr/>
    <w:rPr/>
  </w:style>
  <w:style w:type="paragraph" w:styleId="Style35" w:customStyle="1">
    <w:name w:val="Содержимое врезки"/>
    <w:basedOn w:val="Standard"/>
    <w:qFormat/>
    <w:pPr/>
    <w:rPr/>
  </w:style>
  <w:style w:type="paragraph" w:styleId="Style3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TOC1">
    <w:name w:val="TOC 1"/>
    <w:basedOn w:val="16"/>
    <w:pPr/>
    <w:rPr/>
  </w:style>
  <w:style w:type="paragraph" w:styleId="TOC2">
    <w:name w:val="TOC 2"/>
    <w:basedOn w:val="16"/>
    <w:pPr/>
    <w:rPr/>
  </w:style>
  <w:style w:type="paragraph" w:styleId="TOC3">
    <w:name w:val="TOC 3"/>
    <w:basedOn w:val="16"/>
    <w:pPr/>
    <w:rPr/>
  </w:style>
  <w:style w:type="paragraph" w:styleId="TOC4">
    <w:name w:val="TOC 4"/>
    <w:basedOn w:val="16"/>
    <w:pPr/>
    <w:rPr/>
  </w:style>
  <w:style w:type="paragraph" w:styleId="EndnoteText">
    <w:name w:val="End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OutlineListStyle3" w:customStyle="1">
    <w:name w:val="WW_OutlineListStyle_3"/>
    <w:qFormat/>
  </w:style>
  <w:style w:type="numbering" w:styleId="WWOutlineListStyle2" w:customStyle="1">
    <w:name w:val="WW_OutlineListStyle_2"/>
    <w:qFormat/>
  </w:style>
  <w:style w:type="numbering" w:styleId="WWOutlineListStyle1" w:customStyle="1">
    <w:name w:val="WW_OutlineListStyle_1"/>
    <w:qFormat/>
  </w:style>
  <w:style w:type="numbering" w:styleId="WWOutlineListStyle" w:customStyle="1">
    <w:name w:val="WW_OutlineListStyle"/>
    <w:qFormat/>
  </w:style>
  <w:style w:type="numbering" w:styleId="113" w:customStyle="1">
    <w:name w:val="Стиль1"/>
    <w:qFormat/>
  </w:style>
  <w:style w:type="numbering" w:styleId="29" w:customStyle="1">
    <w:name w:val="Стиль2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Application>AlterOffice/3.4.0.9$Linux_X86_64 LibreOffice_project/b8daf9e823b1a5463a2f48435ddc2e8696e7d4fc</Application>
  <AppVersion>15.0000</AppVersion>
  <Pages>6</Pages>
  <Words>1384</Words>
  <Characters>8682</Characters>
  <CharactersWithSpaces>9871</CharactersWithSpaces>
  <Paragraphs>226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2026-02-15T23:43:00Z</dcterms:created>
  <dc:creator>Быстров Олег Геннадьевич</dc:creator>
  <dc:description/>
  <dc:language>ru-RU</dc:language>
  <cp:lastModifiedBy>nikolaevama</cp:lastModifiedBy>
  <cp:lastPrinted>2024-02-22T11:17:00Z</cp:lastPrinted>
  <dcterms:modified xsi:type="dcterms:W3CDTF">2026-07-20T16:25:22Z</dcterms:modified>
  <cp:revision>48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