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jc w:val="right"/>
        <w:rPr>
          <w:sz w:val="24"/>
        </w:rPr>
      </w:pPr>
      <w:r>
        <w:rPr>
          <w:sz w:val="24"/>
        </w:rPr>
        <w:t>«Утверждаю»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Главный инженер ЗЭС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_________________ Ж. Н. Доржиев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«_____» ______________ 2026 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1"/>
      <w:bookmarkStart w:id="7" w:name="_Toc1398562871"/>
      <w:bookmarkStart w:id="8" w:name="_Toc1375545841"/>
      <w:bookmarkStart w:id="9" w:name="_Toc1416967041"/>
      <w:bookmarkStart w:id="10" w:name="_Toc1398562871"/>
      <w:bookmarkStart w:id="11" w:name="_Toc1375545841"/>
      <w:bookmarkEnd w:id="9"/>
      <w:bookmarkEnd w:id="10"/>
      <w:bookmarkEnd w:id="11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sz w:val="26"/>
          <w:szCs w:val="26"/>
        </w:rPr>
        <w:t xml:space="preserve">ОКПД2 31.01.11.160. </w:t>
      </w:r>
      <w:r>
        <w:rPr>
          <w:rFonts w:eastAsia="Calibri"/>
          <w:b w:val="false"/>
          <w:bCs w:val="false"/>
          <w:sz w:val="26"/>
          <w:szCs w:val="26"/>
          <w:lang w:eastAsia="x-none"/>
        </w:rPr>
        <w:t xml:space="preserve">Поставка телекоммуникационных шкафов и средств связи </w:t>
      </w:r>
      <w:r>
        <w:rPr>
          <w:rFonts w:eastAsia="Calibri"/>
          <w:b w:val="false"/>
          <w:bCs w:val="false"/>
          <w:sz w:val="26"/>
          <w:szCs w:val="26"/>
        </w:rPr>
        <w:t>в рамках реконструкции подстанции 220/110/35/6 кВ «Сунтар» для нужд Западных электрических сетей в рамках реализации инвестиционного проекта K_508-107</w:t>
      </w:r>
    </w:p>
    <w:p>
      <w:pPr>
        <w:pStyle w:val="Normal"/>
        <w:keepNext w:val="true"/>
        <w:keepLines/>
        <w:jc w:val="center"/>
        <w:rPr>
          <w:b w:val="false"/>
          <w:bCs w:val="false"/>
          <w:highlight w:val="none"/>
          <w:shd w:fill="auto" w:val="clear"/>
        </w:rPr>
      </w:pPr>
      <w:r>
        <w:rPr>
          <w:rFonts w:eastAsia="Calibri"/>
          <w:b w:val="false"/>
          <w:bCs w:val="false"/>
          <w:sz w:val="26"/>
          <w:szCs w:val="26"/>
          <w:shd w:fill="auto" w:val="clear"/>
        </w:rPr>
        <w:t>Лот №_____________________________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 w:val="false"/>
          <w:bCs w:val="false"/>
          <w:sz w:val="26"/>
          <w:szCs w:val="26"/>
        </w:rPr>
      </w:pPr>
      <w:r>
        <w:rPr>
          <w:rFonts w:eastAsia="Calibri"/>
          <w:b w:val="false"/>
          <w:bCs w:val="false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hd w:val="clear" w:color="auto" w:fill="FFFFFF"/>
        <w:jc w:val="center"/>
        <w:rPr/>
      </w:pPr>
      <w:r>
        <w:rPr>
          <w:b/>
        </w:rPr>
        <w:t>СОДЕРЖАНИЕ</w:t>
      </w:r>
    </w:p>
    <w:p>
      <w:pPr>
        <w:pStyle w:val="Normal"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783"/>
        <w:gridCol w:w="8631"/>
        <w:gridCol w:w="507"/>
      </w:tblGrid>
      <w:tr>
        <w:trPr/>
        <w:tc>
          <w:tcPr>
            <w:tcW w:w="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сведения</w:t>
            </w:r>
            <w:r>
              <w:rPr>
                <w:b w:val="false"/>
                <w:bCs w:val="false"/>
                <w:sz w:val="24"/>
                <w:szCs w:val="24"/>
              </w:rPr>
              <w:t>………………………………………………………………………</w:t>
            </w:r>
          </w:p>
        </w:tc>
        <w:tc>
          <w:tcPr>
            <w:tcW w:w="5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Обозначения и сокращения………………………………………………………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Наименование закупаемой продукции…………………………………………..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Цель использования закупаемой продукции……………………………………</w:t>
            </w:r>
          </w:p>
          <w:tbl>
            <w:tblPr>
              <w:tblW w:w="9135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8219"/>
              <w:gridCol w:w="915"/>
            </w:tblGrid>
            <w:tr>
              <w:trPr/>
              <w:tc>
                <w:tcPr>
                  <w:tcW w:w="82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</w:tcBorders>
                </w:tcPr>
                <w:p>
                  <w:pPr>
                    <w:pStyle w:val="Style36"/>
                    <w:widowControl w:val="false"/>
                    <w:suppressLineNumbers/>
                    <w:tabs>
                      <w:tab w:val="clear" w:pos="708"/>
                      <w:tab w:val="left" w:pos="8392" w:leader="none"/>
                    </w:tabs>
                    <w:suppressAutoHyphens w:val="true"/>
                    <w:bidi w:val="0"/>
                    <w:spacing w:before="0" w:after="0"/>
                    <w:ind w:left="-57" w:right="-227" w:hanging="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1.4. Иные требования и сведения общего характера…..…………………………….</w:t>
                  </w:r>
                </w:p>
              </w:tc>
              <w:tc>
                <w:tcPr>
                  <w:tcW w:w="9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>
                  <w:pPr>
                    <w:pStyle w:val="Style36"/>
                    <w:widowControl w:val="false"/>
                    <w:suppressLineNumbers/>
                    <w:suppressAutoHyphens w:val="true"/>
                    <w:bidi w:val="0"/>
                    <w:spacing w:before="0" w:after="0"/>
                    <w:ind w:right="-283" w:hanging="0"/>
                    <w:jc w:val="lef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продукции</w:t>
            </w:r>
            <w:r>
              <w:rPr>
                <w:b w:val="false"/>
                <w:bCs w:val="false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Требования к объемам и срокам поставки……………………………………...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Перечень и объем закупаемой продукции…………………………………….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1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Таблица 1. Перечень и объем закупаемой продукции</w:t>
            </w:r>
            <w:r>
              <w:rPr>
                <w:b w:val="false"/>
                <w:bCs w:val="false"/>
                <w:sz w:val="24"/>
                <w:szCs w:val="24"/>
              </w:rPr>
              <w:t>…………………………………...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Требования к срокам поставки продукции……………………………………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41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Таблица 2. Требования по срокам поставки продукции</w:t>
            </w:r>
            <w:r>
              <w:rPr>
                <w:b w:val="false"/>
                <w:bCs w:val="false"/>
                <w:sz w:val="24"/>
                <w:szCs w:val="24"/>
              </w:rPr>
              <w:t>………………………………...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Требования к качеству продукции………………………………………………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41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Таблица 3. Требования к продукции</w:t>
            </w:r>
            <w:r>
              <w:rPr>
                <w:b w:val="false"/>
                <w:bCs w:val="false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документам, предоставляемым в составе заявки участника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>
        <w:trPr/>
        <w:tc>
          <w:tcPr>
            <w:tcW w:w="783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/>
            </w:pPr>
            <w:r>
              <w:rPr/>
            </w:r>
          </w:p>
        </w:tc>
        <w:tc>
          <w:tcPr>
            <w:tcW w:w="8631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Style36"/>
              <w:widowControl w:val="false"/>
              <w:rPr/>
            </w:pPr>
            <w:r>
              <w:rPr/>
            </w:r>
          </w:p>
        </w:tc>
        <w:tc>
          <w:tcPr>
            <w:tcW w:w="50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Style36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hd w:val="clear" w:color="auto" w:fill="FFFFFF"/>
        <w:rPr/>
      </w:pP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                                                                                           </w:t>
      </w:r>
    </w:p>
    <w:p>
      <w:pPr>
        <w:pStyle w:val="TOC1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hd w:fill="FFFFFF" w:val="clear"/>
        </w:rPr>
      </w:pPr>
      <w:r>
        <w:rPr>
          <w:shd w:fill="FFFFFF" w:val="clear"/>
        </w:rPr>
        <w:tab/>
        <w:t xml:space="preserve">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  <w:t xml:space="preserve">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  <w:t xml:space="preserve">             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  <w:t xml:space="preserve">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  <w:t xml:space="preserve">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ab/>
        <w:t xml:space="preserve">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 xml:space="preserve">                                                                                                   </w:t>
      </w:r>
    </w:p>
    <w:p>
      <w:pPr>
        <w:pStyle w:val="Normal"/>
        <w:keepNext w:val="true"/>
        <w:keepLines/>
        <w:shd w:val="clear" w:color="auto" w:fill="FFFFFF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Toc129285520"/>
      <w:bookmarkStart w:id="13" w:name="_Toc51339692"/>
      <w:r>
        <w:rPr>
          <w:lang w:val="ru-RU"/>
        </w:rPr>
        <w:t>Общие сведения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129285521"/>
      <w:bookmarkStart w:id="15" w:name="_Toc46743505"/>
      <w:r>
        <w:rPr/>
        <w:t>Обозначения и сокращения</w:t>
      </w:r>
      <w:bookmarkEnd w:id="14"/>
      <w:bookmarkEnd w:id="15"/>
    </w:p>
    <w:p>
      <w:pPr>
        <w:pStyle w:val="Normal"/>
        <w:rPr>
          <w:rStyle w:val="Style7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Style w:val="afffff5"/>
        <w:tblW w:w="101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68"/>
        <w:gridCol w:w="8226"/>
      </w:tblGrid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ГОСТ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Межгосударственный стандарт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ЗЭС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Филиал ПАО «Якутскэнерго» Западные электрические сети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МТР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Материально-технический ресурс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СНиП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Строительные нормы и правила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ТТ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Технические требования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Товар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Поставляемая продукция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ОКПД 2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СРЭС</w:t>
            </w:r>
          </w:p>
        </w:tc>
        <w:tc>
          <w:tcPr>
            <w:tcW w:w="822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Сунтарский район электрических сетей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/ Оборудование</w:t>
            </w:r>
          </w:p>
        </w:tc>
        <w:tc>
          <w:tcPr>
            <w:tcW w:w="8226" w:type="dxa"/>
            <w:tcBorders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Телекоммуникационные шкафы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ИБП</w:t>
            </w:r>
          </w:p>
        </w:tc>
        <w:tc>
          <w:tcPr>
            <w:tcW w:w="8226" w:type="dxa"/>
            <w:tcBorders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Источник бесперебойного питания</w:t>
            </w:r>
          </w:p>
        </w:tc>
      </w:tr>
      <w:tr>
        <w:trPr/>
        <w:tc>
          <w:tcPr>
            <w:tcW w:w="19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АКБ</w:t>
            </w:r>
          </w:p>
        </w:tc>
        <w:tc>
          <w:tcPr>
            <w:tcW w:w="8226" w:type="dxa"/>
            <w:tcBorders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Аккумуляторные батареи</w:t>
            </w:r>
          </w:p>
        </w:tc>
      </w:tr>
    </w:tbl>
    <w:p>
      <w:pPr>
        <w:pStyle w:val="Heading4"/>
        <w:numPr>
          <w:ilvl w:val="0"/>
          <w:numId w:val="0"/>
        </w:numPr>
        <w:spacing w:before="120" w:after="60"/>
        <w:ind w:left="432" w:hanging="0"/>
        <w:contextualSpacing/>
        <w:rPr/>
      </w:pPr>
      <w:r>
        <w:rPr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16" w:name="_Toc129285522"/>
      <w:bookmarkStart w:id="17" w:name="_Toc46743506"/>
      <w:r>
        <w:rPr/>
        <w:t>Наименование закупаемой продукции</w:t>
      </w:r>
      <w:bookmarkEnd w:id="16"/>
      <w:bookmarkEnd w:id="17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eastAsia="x-none"/>
        </w:rPr>
        <w:t>«ОКПД2 31.01.11.160. Поставка телекоммуникационных шкафов и средств связи в рамках реконструкции подстанции 220/110/35/6 кВ «Сунтар» для нужд Западных электрических сетей в рамках реализации инвестиционного проекта K_508-10».</w:t>
      </w:r>
      <w:bookmarkStart w:id="18" w:name="_Toc129285523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contextualSpacing/>
        <w:rPr>
          <w:sz w:val="24"/>
          <w:szCs w:val="24"/>
        </w:rPr>
      </w:pPr>
      <w:bookmarkStart w:id="19" w:name="_Toc46743507"/>
      <w:r>
        <w:rPr>
          <w:sz w:val="24"/>
          <w:szCs w:val="24"/>
        </w:rPr>
        <w:t xml:space="preserve">Цель </w:t>
      </w:r>
      <w:bookmarkEnd w:id="19"/>
      <w:r>
        <w:rPr>
          <w:sz w:val="24"/>
          <w:szCs w:val="24"/>
          <w:lang w:val="ru-RU"/>
        </w:rPr>
        <w:t>использования закупаемой продукции</w:t>
      </w:r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contextualSpacing/>
        <w:jc w:val="both"/>
        <w:rPr/>
      </w:pPr>
      <w:r>
        <w:rPr>
          <w:rStyle w:val="Style7"/>
          <w:b w:val="false"/>
          <w:i w:val="false"/>
          <w:sz w:val="24"/>
          <w:szCs w:val="24"/>
          <w:shd w:fill="FFFFFF" w:val="clear"/>
        </w:rPr>
        <w:t xml:space="preserve">Настоящие технические требования составлена в целях поставки </w:t>
      </w:r>
      <w:r>
        <w:rPr>
          <w:rStyle w:val="Style7"/>
          <w:rFonts w:eastAsia="Calibri"/>
          <w:b w:val="false"/>
          <w:bCs w:val="false"/>
          <w:i w:val="false"/>
          <w:sz w:val="24"/>
          <w:szCs w:val="24"/>
          <w:shd w:fill="FFFFFF" w:val="clear"/>
          <w:lang w:eastAsia="x-none"/>
        </w:rPr>
        <w:t>телекоммуникационных шкафов и средств связи</w:t>
      </w:r>
      <w:r>
        <w:rPr>
          <w:rStyle w:val="Style7"/>
          <w:b w:val="false"/>
          <w:i w:val="false"/>
          <w:sz w:val="24"/>
          <w:szCs w:val="24"/>
          <w:shd w:fill="FFFFFF" w:val="clear"/>
        </w:rPr>
        <w:t xml:space="preserve"> в рамках реализации инвестиционного проекта K_508-107 «Реконструкция подстанции 220/110/35/6 кВ «Сунтар» с заменой оборудования ОРУ 110 кВ, ОРУ 220 кВ, установкой трансформатора 220 кВ, установкой батареи статических конденсаторов 110 кВ (БСК), мероприятия по созданию устройств противоаварийной автоматики (1 АТ х 63 МВА, 27 МВАр, 1 компл.) \\ Западный энергорайон РС (Я)».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contextualSpacing/>
        <w:jc w:val="both"/>
        <w:rPr>
          <w:rStyle w:val="Style7"/>
          <w:b w:val="false"/>
          <w:i w:val="false"/>
          <w:i w:val="false"/>
          <w:sz w:val="24"/>
          <w:szCs w:val="24"/>
          <w:shd w:fill="FFFFFF" w:val="clear"/>
        </w:rPr>
      </w:pPr>
      <w:r>
        <w:rPr>
          <w:b w:val="false"/>
          <w:i w:val="false"/>
          <w:sz w:val="24"/>
          <w:szCs w:val="24"/>
          <w:shd w:fill="FFFFFF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1.4. </w:t>
      </w:r>
      <w:bookmarkStart w:id="20" w:name="_Toc467435082"/>
      <w:r>
        <w:rPr>
          <w:b/>
          <w:sz w:val="24"/>
          <w:szCs w:val="24"/>
        </w:rPr>
        <w:t>И</w:t>
      </w:r>
      <w:bookmarkEnd w:id="20"/>
      <w:r>
        <w:rPr>
          <w:b/>
          <w:sz w:val="24"/>
          <w:szCs w:val="24"/>
        </w:rPr>
        <w:t>ные требования и сведения общего характера</w:t>
      </w:r>
      <w:bookmarkStart w:id="21" w:name="_Toc124777478"/>
      <w:bookmarkStart w:id="22" w:name="_Toc124777252"/>
      <w:bookmarkStart w:id="23" w:name="_Toc54646400_Копия_1"/>
      <w:bookmarkStart w:id="24" w:name="_Toc125528928_Копия_1"/>
      <w:bookmarkStart w:id="25" w:name="_Toc125123509_Копия_1"/>
      <w:bookmarkEnd w:id="23"/>
      <w:bookmarkEnd w:id="24"/>
      <w:bookmarkEnd w:id="25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осуществляет доставку продукции по адресу: </w:t>
      </w:r>
      <w:bookmarkEnd w:id="21"/>
      <w:bookmarkEnd w:id="22"/>
      <w:r>
        <w:rPr>
          <w:rStyle w:val="Style7"/>
          <w:b w:val="false"/>
          <w:i w:val="false"/>
          <w:sz w:val="24"/>
          <w:szCs w:val="24"/>
          <w:shd w:fill="FFFFFF" w:val="clear"/>
        </w:rPr>
        <w:t>678290, РС (Я), с. Сунтар, ул. Межколхозная, д. 9, СРЭС, филиал Западные электрические сети (ЗЭС) ПАО «Якутскэнерго».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spacing w:before="120" w:after="60"/>
        <w:ind w:left="357" w:hanging="357"/>
        <w:contextualSpacing/>
        <w:jc w:val="center"/>
        <w:rPr>
          <w:sz w:val="24"/>
          <w:szCs w:val="24"/>
        </w:rPr>
      </w:pPr>
      <w:bookmarkStart w:id="26" w:name="_Toc129285524"/>
      <w:bookmarkStart w:id="27" w:name="_Toc51339693"/>
      <w:r>
        <w:rPr>
          <w:iCs/>
          <w:sz w:val="24"/>
          <w:szCs w:val="24"/>
        </w:rPr>
        <w:t>Требования к продукции</w:t>
      </w:r>
      <w:bookmarkEnd w:id="26"/>
      <w:bookmarkEnd w:id="27"/>
    </w:p>
    <w:p>
      <w:pPr>
        <w:pStyle w:val="Heading4"/>
        <w:numPr>
          <w:ilvl w:val="1"/>
          <w:numId w:val="3"/>
        </w:numPr>
        <w:spacing w:before="120" w:after="60"/>
        <w:contextualSpacing/>
        <w:rPr>
          <w:sz w:val="24"/>
          <w:szCs w:val="24"/>
        </w:rPr>
      </w:pPr>
      <w:bookmarkStart w:id="28" w:name="_Toc129285525"/>
      <w:r>
        <w:rPr>
          <w:sz w:val="24"/>
          <w:szCs w:val="24"/>
        </w:rPr>
        <w:t xml:space="preserve">Требования к объёмам и срокам </w:t>
      </w:r>
      <w:r>
        <w:rPr>
          <w:sz w:val="24"/>
          <w:szCs w:val="24"/>
          <w:lang w:val="ru-RU"/>
        </w:rPr>
        <w:t>поставки</w:t>
      </w:r>
      <w:bookmarkEnd w:id="28"/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sz w:val="24"/>
          <w:szCs w:val="24"/>
        </w:rPr>
      </w:pPr>
      <w:bookmarkStart w:id="29" w:name="_Toc129285526"/>
      <w:bookmarkStart w:id="30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29"/>
      <w:bookmarkEnd w:id="30"/>
    </w:p>
    <w:p>
      <w:pPr>
        <w:pStyle w:val="Heading1"/>
        <w:keepLines/>
        <w:spacing w:before="240" w:after="60"/>
        <w:ind w:left="0" w:hanging="0"/>
        <w:jc w:val="right"/>
        <w:rPr>
          <w:sz w:val="24"/>
          <w:szCs w:val="24"/>
        </w:rPr>
      </w:pPr>
      <w:bookmarkStart w:id="31" w:name="_Toc129285527"/>
      <w:bookmarkStart w:id="32" w:name="_Toc754465761"/>
      <w:bookmarkStart w:id="33" w:name="_Toc513396951"/>
      <w:r>
        <w:rPr>
          <w:sz w:val="24"/>
          <w:szCs w:val="24"/>
          <w:lang w:val="ru-RU"/>
        </w:rPr>
        <w:t xml:space="preserve">Таблица 1. Перечень </w:t>
      </w:r>
      <w:bookmarkEnd w:id="33"/>
      <w:r>
        <w:rPr>
          <w:sz w:val="24"/>
          <w:szCs w:val="24"/>
          <w:lang w:val="ru-RU"/>
        </w:rPr>
        <w:t>и объем закупаемой продукции</w:t>
      </w:r>
      <w:bookmarkStart w:id="34" w:name="_Toc51339695"/>
      <w:bookmarkEnd w:id="31"/>
      <w:bookmarkEnd w:id="32"/>
      <w:bookmarkEnd w:id="34"/>
    </w:p>
    <w:tbl>
      <w:tblPr>
        <w:tblW w:w="10351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8"/>
        <w:gridCol w:w="3557"/>
        <w:gridCol w:w="1305"/>
        <w:gridCol w:w="1200"/>
        <w:gridCol w:w="1635"/>
        <w:gridCol w:w="2085"/>
      </w:tblGrid>
      <w:tr>
        <w:trPr>
          <w:trHeight w:val="48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>
          <w:trHeight w:val="25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>
        <w:trPr>
          <w:trHeight w:val="2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Телекоммуникационный шкаф  42U 19“ 600х800 в сборе с комплектующими изделиями: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VoIP шлюз Зелакс MM-22xRC-UNI-I-AC9 2FXS/2FXO, 2 (две) штуки;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Коммутатор уровня L3, 24 порта 1G, 4 порта 10G, 2 (две) штуки;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Коммутатор 10 портов 1G, 2 порта SFP, 2 (две) штуки;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Сервисный маршрутизатор 4x1G RJ-45, 2x1G SFP, 2 (две) штуки;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Модем xDSL с портами 4х10/100 BaseTх, 2 (две) штуки;</w:t>
            </w:r>
          </w:p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Оптический кросс на 24 OB FC SM, 1 (одна) штука.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31.01.11.160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Установлен режим преимущества закупки Российской продукции</w:t>
            </w:r>
          </w:p>
        </w:tc>
      </w:tr>
      <w:tr>
        <w:trPr>
          <w:trHeight w:val="367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Шкафы для ИБП и АКБ 24U, в составе:</w:t>
            </w:r>
          </w:p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1. ИБП (6 кВА / 5,4 кВт), 1 (одна) штука;</w:t>
            </w:r>
          </w:p>
          <w:p>
            <w:pPr>
              <w:pStyle w:val="Style36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2. АКБ (12 В 200 Ач), 16 (шестнадцать) штук.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27.12.31.000</w:t>
            </w:r>
          </w:p>
        </w:tc>
        <w:tc>
          <w:tcPr>
            <w:tcW w:w="20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0"/>
          <w:numId w:val="0"/>
        </w:numPr>
        <w:spacing w:before="120" w:after="60"/>
        <w:ind w:left="720" w:hanging="0"/>
        <w:contextualSpacing/>
        <w:rPr/>
      </w:pPr>
      <w:r>
        <w:rPr/>
      </w:r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lang w:val="ru-RU"/>
        </w:rPr>
      </w:pPr>
      <w:bookmarkStart w:id="35" w:name="_Toc75446578"/>
      <w:bookmarkStart w:id="36" w:name="_Toc129285528"/>
      <w:bookmarkStart w:id="37" w:name="_Toc51339696"/>
      <w:r>
        <w:rPr>
          <w:lang w:val="ru-RU"/>
        </w:rPr>
        <w:t xml:space="preserve">Требования </w:t>
      </w:r>
      <w:bookmarkEnd w:id="37"/>
      <w:r>
        <w:rPr>
          <w:lang w:val="ru-RU"/>
        </w:rPr>
        <w:t>к срокам поставки продукции</w:t>
      </w:r>
      <w:bookmarkEnd w:id="36"/>
      <w:r>
        <w:rPr>
          <w:lang w:val="ru-RU"/>
        </w:rPr>
        <w:t xml:space="preserve"> </w:t>
      </w:r>
      <w:bookmarkEnd w:id="35"/>
    </w:p>
    <w:p>
      <w:pPr>
        <w:pStyle w:val="Heading1"/>
        <w:keepLines/>
        <w:spacing w:before="240" w:after="60"/>
        <w:ind w:left="0" w:hanging="0"/>
        <w:jc w:val="right"/>
        <w:rPr>
          <w:sz w:val="24"/>
          <w:szCs w:val="24"/>
        </w:rPr>
      </w:pPr>
      <w:bookmarkStart w:id="38" w:name="_Toc754465791"/>
      <w:bookmarkStart w:id="39" w:name="_Toc129285529"/>
      <w:bookmarkStart w:id="40" w:name="_Toc501251271"/>
      <w:bookmarkStart w:id="41" w:name="_Toc513396971"/>
      <w:r>
        <w:rPr>
          <w:sz w:val="24"/>
          <w:szCs w:val="24"/>
          <w:lang w:val="ru-RU"/>
        </w:rPr>
        <w:t xml:space="preserve">Таблица 2. </w:t>
      </w:r>
      <w:bookmarkStart w:id="42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40"/>
      <w:bookmarkEnd w:id="41"/>
      <w:bookmarkEnd w:id="42"/>
      <w:r>
        <w:rPr>
          <w:sz w:val="24"/>
          <w:szCs w:val="24"/>
          <w:lang w:val="ru-RU"/>
        </w:rPr>
        <w:t>поставки продукции</w:t>
      </w:r>
      <w:bookmarkStart w:id="43" w:name="_Toc50125126"/>
      <w:bookmarkStart w:id="44" w:name="_Toc51339697"/>
      <w:bookmarkStart w:id="45" w:name="_Toc50125127"/>
      <w:bookmarkEnd w:id="38"/>
      <w:bookmarkEnd w:id="39"/>
      <w:bookmarkEnd w:id="43"/>
      <w:bookmarkEnd w:id="44"/>
      <w:bookmarkEnd w:id="45"/>
    </w:p>
    <w:tbl>
      <w:tblPr>
        <w:tblW w:w="10155" w:type="dxa"/>
        <w:jc w:val="left"/>
        <w:tblInd w:w="-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3908"/>
        <w:gridCol w:w="2820"/>
        <w:gridCol w:w="286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sz w:val="26"/>
                <w:szCs w:val="22"/>
              </w:rPr>
            </w:pPr>
            <w:r>
              <w:rPr>
                <w:sz w:val="26"/>
                <w:szCs w:val="22"/>
              </w:rPr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6"/>
                <w:szCs w:val="22"/>
              </w:rPr>
            </w:pPr>
            <w:r>
              <w:rPr>
                <w:color w:val="000000"/>
                <w:sz w:val="26"/>
                <w:szCs w:val="22"/>
              </w:rPr>
              <w:t>Телекоммуникационный шкаф  42U 19“ 600х800 (серый</w:t>
            </w:r>
            <w:r>
              <w:rPr>
                <w:color w:val="000000"/>
                <w:sz w:val="26"/>
                <w:szCs w:val="22"/>
                <w:shd w:fill="auto" w:val="clear"/>
              </w:rPr>
              <w:t xml:space="preserve">) </w:t>
            </w:r>
            <w:r>
              <w:rPr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в сборе с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комплектующими изделиями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6"/>
                <w:szCs w:val="22"/>
              </w:rPr>
              <w:t>С даты подписания договора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Не позднее 45 календарных дней с даты подписания договора</w:t>
            </w:r>
          </w:p>
        </w:tc>
      </w:tr>
      <w:tr>
        <w:trPr>
          <w:trHeight w:val="49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Шкафы для ИБП и АКБ 24U</w:t>
            </w:r>
          </w:p>
        </w:tc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46" w:name="_Toc129285530"/>
      <w:bookmarkStart w:id="47" w:name="_Toc46743511"/>
      <w:r>
        <w:rPr/>
        <w:t xml:space="preserve">Требования к </w:t>
      </w:r>
      <w:bookmarkEnd w:id="47"/>
      <w:r>
        <w:rPr>
          <w:lang w:val="ru-RU"/>
        </w:rPr>
        <w:t>качеству продукции</w:t>
      </w:r>
      <w:bookmarkEnd w:id="46"/>
    </w:p>
    <w:p>
      <w:pPr>
        <w:pStyle w:val="Heading1"/>
        <w:keepLines/>
        <w:spacing w:before="240" w:after="60"/>
        <w:ind w:left="0" w:hanging="0"/>
        <w:jc w:val="right"/>
        <w:rPr>
          <w:sz w:val="24"/>
          <w:szCs w:val="24"/>
        </w:rPr>
      </w:pPr>
      <w:bookmarkStart w:id="48" w:name="_Toc129285531"/>
      <w:bookmarkStart w:id="49" w:name="_Toc754465821"/>
      <w:r>
        <w:rPr>
          <w:sz w:val="24"/>
          <w:szCs w:val="24"/>
          <w:lang w:val="ru-RU"/>
        </w:rPr>
        <w:t>Таблица 3. Требования к продукции</w:t>
      </w:r>
      <w:bookmarkEnd w:id="48"/>
      <w:bookmarkEnd w:id="49"/>
      <w:r>
        <w:rPr>
          <w:sz w:val="24"/>
          <w:szCs w:val="24"/>
          <w:lang w:val="ru-RU"/>
        </w:rPr>
        <w:t xml:space="preserve"> </w:t>
      </w:r>
      <w:bookmarkStart w:id="50" w:name="_Toc75446582"/>
      <w:bookmarkEnd w:id="50"/>
    </w:p>
    <w:tbl>
      <w:tblPr>
        <w:tblStyle w:val="affff6"/>
        <w:tblpPr w:bottomFromText="0" w:horzAnchor="text" w:leftFromText="180" w:rightFromText="180" w:tblpX="108" w:tblpY="1" w:topFromText="0" w:vertAnchor="text"/>
        <w:tblW w:w="15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2"/>
        <w:gridCol w:w="2668"/>
        <w:gridCol w:w="5385"/>
        <w:gridCol w:w="2655"/>
        <w:gridCol w:w="1875"/>
        <w:gridCol w:w="1454"/>
        <w:gridCol w:w="300"/>
      </w:tblGrid>
      <w:tr>
        <w:trPr/>
        <w:tc>
          <w:tcPr>
            <w:tcW w:w="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6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53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3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695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1</w:t>
            </w:r>
          </w:p>
        </w:tc>
        <w:tc>
          <w:tcPr>
            <w:tcW w:w="2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оборудованию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Приложением №1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этапе исполнения договора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361" w:hRule="atLeast"/>
        </w:trPr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2</w:t>
            </w:r>
          </w:p>
        </w:tc>
        <w:tc>
          <w:tcPr>
            <w:tcW w:w="80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Требования к надежности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800" w:hRule="atLeast"/>
        </w:trPr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bCs/>
                <w:sz w:val="20"/>
                <w:szCs w:val="20"/>
                <w:shd w:fill="auto" w:val="clear"/>
              </w:rPr>
              <w:t>Срок службы оборудования и комплектующих, лет, не менее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В соответствии с Приложением №1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737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3.1</w:t>
            </w:r>
          </w:p>
        </w:tc>
        <w:tc>
          <w:tcPr>
            <w:tcW w:w="2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Гарантия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Соответствие качества Товара требованиям нормативно-технической документации в течение 12 месяцев с момента поставки на склад Покупателя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450" w:hRule="atLeast"/>
        </w:trPr>
        <w:tc>
          <w:tcPr>
            <w:tcW w:w="84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3.2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Период изготовления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Продукция должна быть новой, изготовленной не ранее 1 квартала 2026 года, ранее не использованной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653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4</w:t>
            </w:r>
          </w:p>
        </w:tc>
        <w:tc>
          <w:tcPr>
            <w:tcW w:w="80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1777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4.1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eastAsia="x-none"/>
              </w:rPr>
              <w:t>Требования к отгрузке и упаковке товара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eastAsia="x-none"/>
              </w:rPr>
              <w:t>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 (с соблюдением требований ГОСТ 23216-78, а также ГОСТ 15846-2002).</w:t>
            </w:r>
          </w:p>
          <w:p>
            <w:pPr>
              <w:pStyle w:val="BodyText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Оборудование должно поставляться в сборе.</w:t>
            </w:r>
          </w:p>
          <w:p>
            <w:pPr>
              <w:pStyle w:val="BodyText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Безопасность упаковки: </w:t>
            </w:r>
            <w:r>
              <w:rPr>
                <w:bCs/>
                <w:iCs/>
                <w:sz w:val="20"/>
                <w:szCs w:val="20"/>
              </w:rPr>
              <w:t>Поставляемая продукция должна быть в оригинальной заводской упаковке производителя. Упаковка должна соответствовать требованиям технического регламента ТР ТС 005/2011 "О безопасности упаковки".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1777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Требования к маркировке товара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Соответствие тары и упаковки согласно ГОСТ 15846-2002.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Транспортная маркировка грузовых мест проводится по ГОСТ 14192-96 и содержит основные, дополнительные и информационные надписи и манипуляционные знаки.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Отправленный товар должен иметь следующие сопроводительные документы: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транспортная накладная или иной документ, ее заменяющий – 1 экз.;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декларация соответствия – 1 экз.;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упаковочный лист – 1 экз.;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документ, подтверждающий происхождение товара – 1 экз.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В комплект должны входить паспорт, инструкции по монтажу и эксплуатации.</w:t>
            </w:r>
          </w:p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В документации, передаваемой вместе с товаром, должна содержаться информация, в которой должно быть указано: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наименование Поставщика;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гарантийные обязательства Поставщика;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наименование изготовителя (в случае, если поставщик и изготовитель не совпадают);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x-none"/>
              </w:rPr>
              <w:t>гарантийные обязательства изготовителей, если поставщик и изготовитель не совпадают;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eastAsia="x-none"/>
              </w:rPr>
              <w:t>номер и дата подписания договора, на основании которого осуществлена поставка.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1426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хранения, срок хранения в упаковке изготовителя, отдельно хранящихся деталей, сборочных единиц, ЗИП, год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1074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6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Место поставки </w:t>
            </w: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en-US" w:bidi="ar-SA"/>
              </w:rPr>
              <w:t>товара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x-none" w:bidi="ar-SA"/>
              </w:rPr>
              <w:t>678290, РФ, Республика Саха (Якутия), Сунтарский район, с. Сунтар, ул. Межколхозная 9, СРЭС, филиал Западные электрические сети (ЗЭС) ПАО «Якутскэнерго»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960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4.5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Условия транспортирования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x-none" w:bidi="ar-SA"/>
              </w:rPr>
              <w:t>ГОСТ 15150-69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Cs/>
                <w:kern w:val="0"/>
                <w:sz w:val="20"/>
                <w:szCs w:val="20"/>
                <w:lang w:val="ru-RU" w:eastAsia="x-none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704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80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качеству поставляемой продукции: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1687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5.1.</w:t>
            </w:r>
          </w:p>
        </w:tc>
        <w:tc>
          <w:tcPr>
            <w:tcW w:w="26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bCs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Поз. №1-</w:t>
            </w:r>
            <w:r>
              <w:rPr>
                <w:rFonts w:eastAsia="Calibri" w:cs="Times New Roman"/>
                <w:bCs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/>
                <w:bCs/>
                <w:i w:val="false"/>
                <w:iCs w:val="false"/>
                <w:kern w:val="0"/>
                <w:sz w:val="20"/>
                <w:szCs w:val="20"/>
                <w:lang w:val="ru-RU" w:eastAsia="en-US" w:bidi="ar-SA"/>
              </w:rPr>
              <w:br/>
              <w:t>Таблицы 1. «Перечень и объем закупаемого товара»</w:t>
            </w:r>
          </w:p>
        </w:tc>
        <w:tc>
          <w:tcPr>
            <w:tcW w:w="53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Продукция должна быть нов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ой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pacing w:before="0" w:after="6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0"/>
                <w:szCs w:val="20"/>
              </w:rPr>
              <w:t>Запрет может не применяется на основании п.п. "и" п. 5 Постановления Правительства №1875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 Согласие с требованием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424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80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/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1360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6.1.</w:t>
            </w:r>
          </w:p>
        </w:tc>
        <w:tc>
          <w:tcPr>
            <w:tcW w:w="8053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Поставка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товаров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x-none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 xml:space="preserve">по </w:t>
            </w:r>
            <w:r>
              <w:rPr>
                <w:rFonts w:eastAsia="Calibri" w:cs="Times New Roman"/>
                <w:bCs/>
                <w:iCs/>
                <w:kern w:val="0"/>
                <w:sz w:val="20"/>
                <w:szCs w:val="20"/>
                <w:lang w:val="ru-RU" w:eastAsia="en-US" w:bidi="ar-SA"/>
              </w:rPr>
              <w:t>поз. № 1-</w:t>
            </w:r>
            <w:r>
              <w:rPr>
                <w:rFonts w:eastAsia="Calibri" w:cs="Times New Roman"/>
                <w:bCs/>
                <w:iCs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/>
                <w:bCs/>
                <w:iCs/>
                <w:kern w:val="0"/>
                <w:sz w:val="20"/>
                <w:szCs w:val="20"/>
                <w:lang w:val="ru-RU" w:eastAsia="en-US" w:bidi="ar-SA"/>
              </w:rPr>
              <w:t xml:space="preserve"> Таблицы 1. «Перечень и объем закупаемого продукции»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Указание страны происхождения товара.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ru-RU" w:bidi="ar-SA"/>
              </w:rPr>
              <w:t>Требуется с составе заявки представить документ подтверждающую страну происхождения товара</w:t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  <w:tr>
        <w:trPr>
          <w:trHeight w:val="629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266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Прочие требования</w:t>
            </w:r>
          </w:p>
        </w:tc>
        <w:tc>
          <w:tcPr>
            <w:tcW w:w="53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Продукция поз. № 1 таблицы 1 настоящих ТТ должна быть поставлена в сборе с комплектующими изделиями.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shd w:fill="auto" w:val="clear"/>
              </w:rPr>
            </w:r>
          </w:p>
        </w:tc>
        <w:tc>
          <w:tcPr>
            <w:tcW w:w="14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</w:tc>
      </w:tr>
    </w:tbl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before="0" w:after="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</w:t>
      </w:r>
      <w:r>
        <w:rPr>
          <w:i w:val="false"/>
          <w:iCs w:val="false"/>
          <w:sz w:val="24"/>
          <w:szCs w:val="24"/>
          <w:lang w:val="x-none" w:eastAsia="x-none"/>
        </w:rPr>
        <w:t>, обозначенных как «параметры эквивалентности».</w:t>
      </w:r>
    </w:p>
    <w:p>
      <w:pPr>
        <w:pStyle w:val="Normal"/>
        <w:spacing w:before="0" w:after="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vertAlign w:val="superscript"/>
        </w:rPr>
        <w:t>1</w:t>
      </w:r>
      <w:r>
        <w:rPr>
          <w:i w:val="false"/>
          <w:iCs w:val="false"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before="0" w:after="60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Heading1"/>
        <w:keepNext w:val="true"/>
        <w:widowControl/>
        <w:numPr>
          <w:ilvl w:val="0"/>
          <w:numId w:val="3"/>
        </w:numPr>
        <w:suppressAutoHyphens w:val="true"/>
        <w:bidi w:val="0"/>
        <w:spacing w:before="120" w:after="60"/>
        <w:ind w:left="0" w:right="0" w:hanging="0"/>
        <w:jc w:val="center"/>
        <w:rPr>
          <w:sz w:val="24"/>
          <w:szCs w:val="24"/>
        </w:rPr>
      </w:pPr>
      <w:r>
        <w:rPr>
          <w:sz w:val="24"/>
          <w:szCs w:val="24"/>
          <w:shd w:fill="auto" w:val="clear"/>
        </w:rPr>
        <w:t>Требования к документам, предоставляемым в составе заявки участника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val="x-none" w:eastAsia="x-none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val="x-none" w:eastAsia="x-none"/>
        </w:rPr>
        <w:t>3.1. Техническое предложение, подготовленное в соответствии с настоящими ТТ, представленной к запросу. При описании продукции Участник обязан подтвердить соответствие поставляемой продукции требованиям в отношении всех показателей. При этом должны указываться точные и не допускающие двусмысленного толкования показатели;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val="x-none" w:eastAsia="x-none"/>
        </w:rPr>
        <w:t>3.</w:t>
      </w:r>
      <w:r>
        <w:rPr>
          <w:sz w:val="24"/>
          <w:szCs w:val="24"/>
          <w:shd w:fill="auto" w:val="clear"/>
          <w:lang w:val="x-none" w:eastAsia="x-none"/>
        </w:rPr>
        <w:t>2</w:t>
      </w:r>
      <w:r>
        <w:rPr>
          <w:sz w:val="24"/>
          <w:szCs w:val="24"/>
          <w:shd w:fill="auto" w:val="clear"/>
          <w:lang w:val="x-none" w:eastAsia="x-none"/>
        </w:rPr>
        <w:t xml:space="preserve"> Руководство (инструкцию) по эксплуатации на оборудование;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val="x-none" w:eastAsia="x-none"/>
        </w:rPr>
        <w:t>3.</w:t>
      </w:r>
      <w:r>
        <w:rPr>
          <w:sz w:val="24"/>
          <w:szCs w:val="24"/>
          <w:shd w:fill="auto" w:val="clear"/>
          <w:lang w:val="x-none" w:eastAsia="x-none"/>
        </w:rPr>
        <w:t>3</w:t>
      </w:r>
      <w:r>
        <w:rPr>
          <w:sz w:val="24"/>
          <w:szCs w:val="24"/>
          <w:shd w:fill="auto" w:val="clear"/>
          <w:lang w:val="x-none" w:eastAsia="x-none"/>
        </w:rPr>
        <w:t>. Схема электрическая принципиальная (утвержденный участником);</w:t>
      </w:r>
    </w:p>
    <w:p>
      <w:pPr>
        <w:pStyle w:val="Normal"/>
        <w:ind w:firstLine="709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shd w:fill="auto" w:val="clear"/>
          <w:lang w:val="x-none" w:eastAsia="x-none"/>
        </w:rPr>
        <w:t>3.</w:t>
      </w:r>
      <w:r>
        <w:rPr>
          <w:i w:val="false"/>
          <w:iCs w:val="false"/>
          <w:sz w:val="24"/>
          <w:szCs w:val="24"/>
          <w:shd w:fill="auto" w:val="clear"/>
          <w:lang w:val="x-none" w:eastAsia="x-none"/>
        </w:rPr>
        <w:t>4</w:t>
      </w:r>
      <w:r>
        <w:rPr>
          <w:i w:val="false"/>
          <w:iCs w:val="false"/>
          <w:sz w:val="24"/>
          <w:szCs w:val="24"/>
          <w:shd w:fill="auto" w:val="clear"/>
          <w:lang w:val="x-none" w:eastAsia="x-none"/>
        </w:rPr>
        <w:t>. Отсканированную копию технических условий (полный текст), в соответствии с которыми изготавливается оборудование;</w:t>
      </w:r>
    </w:p>
    <w:p>
      <w:pPr>
        <w:pStyle w:val="Normal"/>
        <w:ind w:firstLine="709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shd w:fill="auto" w:val="clear"/>
          <w:lang w:val="x-none" w:eastAsia="x-none"/>
        </w:rPr>
        <w:t>3.</w:t>
      </w:r>
      <w:r>
        <w:rPr>
          <w:i w:val="false"/>
          <w:iCs w:val="false"/>
          <w:sz w:val="24"/>
          <w:szCs w:val="24"/>
          <w:shd w:fill="auto" w:val="clear"/>
          <w:lang w:val="x-none" w:eastAsia="x-none"/>
        </w:rPr>
        <w:t>5</w:t>
      </w:r>
      <w:r>
        <w:rPr>
          <w:i w:val="false"/>
          <w:iCs w:val="false"/>
          <w:sz w:val="24"/>
          <w:szCs w:val="24"/>
          <w:shd w:fill="auto" w:val="clear"/>
          <w:lang w:val="x-none" w:eastAsia="x-none"/>
        </w:rPr>
        <w:t>. В составе заявки предоставить Коммерческое предложение по форме, представленной к запросу,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rPr>
          <w:i w:val="false"/>
          <w:iCs w:val="false"/>
          <w:sz w:val="24"/>
          <w:szCs w:val="24"/>
          <w:shd w:fill="auto" w:val="clear"/>
          <w:lang w:eastAsia="x-none"/>
        </w:rPr>
        <w:t>.</w:t>
      </w:r>
    </w:p>
    <w:p>
      <w:pPr>
        <w:pStyle w:val="Normal"/>
        <w:ind w:firstLine="709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ListParagraph"/>
        <w:ind w:left="0" w:hanging="0"/>
        <w:rPr>
          <w:sz w:val="20"/>
          <w:szCs w:val="20"/>
        </w:rPr>
      </w:pPr>
      <w:r>
        <w:rPr>
          <w:b/>
          <w:sz w:val="20"/>
          <w:szCs w:val="20"/>
          <w:lang w:eastAsia="x-none"/>
        </w:rPr>
        <w:t>Приложение</w:t>
      </w:r>
    </w:p>
    <w:p>
      <w:pPr>
        <w:pStyle w:val="Normal"/>
        <w:ind w:firstLine="709"/>
        <w:rPr>
          <w:sz w:val="20"/>
          <w:szCs w:val="20"/>
        </w:rPr>
      </w:pPr>
      <w:r>
        <w:rPr>
          <w:i w:val="false"/>
          <w:iCs w:val="false"/>
          <w:sz w:val="20"/>
          <w:szCs w:val="20"/>
          <w:shd w:fill="auto" w:val="clear"/>
          <w:lang w:eastAsia="x-none"/>
        </w:rPr>
        <w:t>Приложение № 1 – Требования к продукции (индивидуальные требования по каждой позиции перечня продукции);</w:t>
      </w:r>
    </w:p>
    <w:p>
      <w:pPr>
        <w:pStyle w:val="Normal"/>
        <w:ind w:firstLine="709"/>
        <w:rPr>
          <w:sz w:val="20"/>
          <w:szCs w:val="20"/>
        </w:rPr>
      </w:pPr>
      <w:r>
        <w:rPr>
          <w:i w:val="false"/>
          <w:iCs w:val="false"/>
          <w:sz w:val="20"/>
          <w:szCs w:val="20"/>
          <w:shd w:fill="auto" w:val="clear"/>
          <w:lang w:eastAsia="x-none"/>
        </w:rPr>
        <w:t>Приложение № 2 — Рабочая документация, шифр 02/ПС-2024-РД-СС2 (электронный файл).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Style w:val="affff6"/>
        <w:tblW w:w="145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__________________/ Феоктистов А. С./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         »                             2026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</w:r>
    </w:p>
    <w:p>
      <w:pPr>
        <w:pStyle w:val="Normal"/>
        <w:rPr>
          <w:rFonts w:eastAsia="Calibri"/>
          <w:b/>
          <w:iCs/>
          <w:lang w:eastAsia="x-none"/>
        </w:rPr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992" w:right="567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4605513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EE4D06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EE4D06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5b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basedOn w:val="DefaultParagraphFont"/>
    <w:uiPriority w:val="99"/>
    <w:unhideWhenUsed/>
    <w:qFormat/>
    <w:rsid w:val="00b462e2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8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3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2"/>
    <w:qFormat/>
    <w:rsid w:val="004a17ae"/>
    <w:rPr>
      <w:rFonts w:eastAsia="Calibri"/>
      <w:caps/>
      <w:sz w:val="28"/>
      <w:szCs w:val="28"/>
      <w:lang w:eastAsia="en-US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527c7"/>
    <w:rPr>
      <w:sz w:val="28"/>
      <w:szCs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lineRule="exact" w:line="255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7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shd w:val="clear" w:color="auto" w:fill="FFFFFF"/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Default" w:customStyle="1">
    <w:name w:val="Default"/>
    <w:qFormat/>
    <w:rsid w:val="00f45a73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556C9-E5D9-441D-A8B1-87BC802B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Application>AlterOffice/3.4.0.9$Linux_X86_64 LibreOffice_project/b8daf9e823b1a5463a2f48435ddc2e8696e7d4fc</Application>
  <AppVersion>15.0000</AppVersion>
  <Pages>8</Pages>
  <Words>1449</Words>
  <Characters>9824</Characters>
  <CharactersWithSpaces>12051</CharactersWithSpaces>
  <Paragraphs>261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2025-04-03T00:08:00Z</dcterms:created>
  <dc:creator>Быстров Олег Геннадьевич</dc:creator>
  <dc:description/>
  <dc:language>ru-RU</dc:language>
  <cp:lastModifiedBy>nikolaevama</cp:lastModifiedBy>
  <cp:lastPrinted>2026-02-17T02:13:00Z</cp:lastPrinted>
  <dcterms:modified xsi:type="dcterms:W3CDTF">2026-07-20T16:21:32Z</dcterms:modified>
  <cp:revision>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