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>: Публичное акционерное общество «Федеральная гидрогенерирующая компания – РусГидро», сокращенное наименование ПАО «РусГидро».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Митянина Наталия Анатольевна, к</w:t>
      </w:r>
      <w:r>
        <w:rPr>
          <w:szCs w:val="28"/>
        </w:rPr>
        <w:t>онтактный телефон: (342) 270-96-28.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/>
      </w:pPr>
      <w:r>
        <w:rPr>
          <w:sz w:val="28"/>
          <w:szCs w:val="28"/>
          <w:u w:val="none"/>
        </w:rPr>
        <w:t xml:space="preserve">Предмет: </w:t>
      </w:r>
      <w:bookmarkStart w:id="1" w:name="__DdeLink__1538_1807681112"/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 xml:space="preserve">ОКПД2 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>27.12.10.130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 xml:space="preserve"> По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lang w:val="en-US"/>
        </w:rPr>
        <w:t xml:space="preserve">ставка </w:t>
      </w:r>
      <w:bookmarkEnd w:id="1"/>
      <w:r>
        <w:rPr>
          <w:rStyle w:val="Style11"/>
          <w:rFonts w:eastAsia="Calibri" w:cs="Arial Cyr"/>
          <w:b/>
          <w:bCs/>
          <w:i/>
          <w:iCs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single"/>
          <w:shd w:fill="auto" w:val="clear"/>
          <w:em w:val="none"/>
          <w:lang w:val="en-US" w:eastAsia="ru-RU" w:bidi="ar-SA"/>
        </w:rPr>
        <w:t xml:space="preserve">ограничителей перенапряжения </w:t>
      </w:r>
      <w:r>
        <w:rPr>
          <w:rStyle w:val="Style11"/>
          <w:rFonts w:eastAsia="Calibri" w:cs="Arial Cyr"/>
          <w:bCs/>
          <w:i/>
          <w:iCs/>
          <w:color w:val="000000"/>
          <w:kern w:val="0"/>
          <w:sz w:val="28"/>
          <w:szCs w:val="28"/>
          <w:u w:val="none"/>
          <w:shd w:fill="auto" w:val="clear"/>
          <w:lang w:val="en-US" w:eastAsia="ru-RU" w:bidi="ar-SA"/>
        </w:rPr>
        <w:t>для нужд Филиала ПАО «РусГидро» - «Камская ГЭС по ремонтной программе 2027 года.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согласно прилагаемо</w:t>
      </w:r>
      <w:r>
        <w:rPr>
          <w:szCs w:val="28"/>
        </w:rPr>
        <w:t>го перечня:</w:t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0"/>
        <w:rPr>
          <w:szCs w:val="28"/>
        </w:rPr>
      </w:pPr>
      <w:r>
        <w:rPr>
          <w:szCs w:val="28"/>
        </w:rPr>
        <w:t>5.1.</w:t>
      </w:r>
      <w:r>
        <w:rPr>
          <w:rFonts w:asciiTheme="minorHAnsi" w:cstheme="minorBidi" w:eastAsiaTheme="minorEastAsia" w:hAnsiTheme="minorHAnsi"/>
          <w:sz w:val="28"/>
          <w:szCs w:val="28"/>
          <w:shd w:fill="auto" w:val="clear"/>
        </w:rPr>
        <w:t xml:space="preserve">Ограничитель перенапряжения нелинейный ОПН-220/146/10/2-III  УХЛ1 680А — </w:t>
      </w:r>
      <w:r>
        <w:rPr>
          <w:rFonts w:asciiTheme="minorHAnsi" w:cstheme="minorBidi" w:eastAsiaTheme="minorEastAsia" w:hAnsiTheme="minorHAnsi"/>
          <w:sz w:val="28"/>
          <w:szCs w:val="28"/>
          <w:shd w:fill="auto" w:val="clear"/>
        </w:rPr>
        <w:t>15 шт</w:t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0"/>
        <w:rPr>
          <w:szCs w:val="28"/>
        </w:rPr>
      </w:pPr>
      <w:r>
        <w:rPr>
          <w:rFonts w:asciiTheme="minorHAnsi" w:cstheme="minorBidi" w:eastAsiaTheme="minorEastAsia" w:hAnsiTheme="minorHAnsi"/>
          <w:sz w:val="28"/>
          <w:szCs w:val="28"/>
          <w:shd w:fill="auto" w:val="clear"/>
        </w:rPr>
        <w:t>5.</w:t>
      </w:r>
      <w:r>
        <w:rPr>
          <w:rFonts w:asciiTheme="minorHAnsi" w:cstheme="minorBidi" w:eastAsiaTheme="minorEastAsia" w:hAnsiTheme="minorHAnsi"/>
          <w:sz w:val="28"/>
          <w:szCs w:val="28"/>
          <w:shd w:fill="auto" w:val="clear"/>
        </w:rPr>
        <w:t xml:space="preserve">2. </w:t>
      </w:r>
      <w:r>
        <w:rPr>
          <w:rFonts w:asciiTheme="minorHAnsi" w:cstheme="minorBidi" w:eastAsiaTheme="minorEastAsia" w:hAnsiTheme="minorHAnsi"/>
          <w:sz w:val="28"/>
          <w:szCs w:val="28"/>
          <w:shd w:fill="auto" w:val="clear"/>
        </w:rPr>
        <w:t xml:space="preserve">Ограничитель перенапряжения нелинейный ОПН-П-110/73/10/680 110 кВ УХЛ1 — </w:t>
      </w:r>
      <w:r>
        <w:rPr>
          <w:rFonts w:asciiTheme="minorHAnsi" w:cstheme="minorBidi" w:eastAsiaTheme="minorEastAsia" w:hAnsiTheme="minorHAnsi"/>
          <w:sz w:val="28"/>
          <w:szCs w:val="28"/>
          <w:shd w:fill="auto" w:val="clear"/>
        </w:rPr>
        <w:t>6 шт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ГЭС.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numPr>
          <w:ilvl w:val="0"/>
          <w:numId w:val="3"/>
        </w:numPr>
        <w:spacing w:lineRule="auto" w:line="240"/>
        <w:ind w:left="-850" w:hanging="1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Поставщик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bookmarkStart w:id="2" w:name="_Ref384631866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Поставщик подает</w:t>
      </w:r>
      <w:bookmarkEnd w:id="2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подписанное Технико-коммерческое предложение/Сводную таблицу стоимости, в котором указывает </w:t>
      </w:r>
      <w:bookmarkStart w:id="3" w:name="_Ref89649494"/>
      <w:bookmarkStart w:id="4" w:name="_Toc90385115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спецтехники, условия поставки, стоимость общую и цену на каждую позицию отдельно (в случае, если позиций более одной), в рублях, с указанием с НДС иди без НДС . Доставку до объекта в г. Перми учесть в стоимости.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Возможна подача предложений на отдельные позиции.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Предпочтительный порядок оплаты: 30 % аванс, окончательная оплата в течении 20 дней после поставки.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0"/>
          <w:lang w:val="ru-RU" w:eastAsia="ru-RU" w:bidi="ar-SA"/>
        </w:rPr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0"/>
          <w:lang w:val="ru-RU" w:eastAsia="ru-RU" w:bidi="ar-SA"/>
        </w:rPr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5" w:name="_Ref89649494_Копия_1"/>
      <w:bookmarkStart w:id="6" w:name="_Ref89649494_Копия_1"/>
      <w:bookmarkEnd w:id="3"/>
      <w:bookmarkEnd w:id="4"/>
      <w:bookmarkEnd w:id="6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Application>AlterOffice/3.4.0.9$Linux_X86_64 LibreOffice_project/b8daf9e823b1a5463a2f48435ddc2e8696e7d4fc</Application>
  <AppVersion>15.0000</AppVersion>
  <Pages>2</Pages>
  <Words>286</Words>
  <Characters>2083</Characters>
  <CharactersWithSpaces>2350</CharactersWithSpaces>
  <Paragraphs>16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mityaninana@corp.gidroogk.com</cp:lastModifiedBy>
  <cp:lastPrinted>2016-01-19T05:33:00Z</cp:lastPrinted>
  <dcterms:modified xsi:type="dcterms:W3CDTF">2026-07-21T15:10:51Z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