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17.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4.wmf" ContentType="image/x-wmf"/>
  <Override PartName="/word/media/image1.png" ContentType="image/png"/>
  <Override PartName="/word/media/image6.wmf" ContentType="image/x-wmf"/>
  <Override PartName="/word/media/image5.wmf" ContentType="image/x-wmf"/>
  <Override PartName="/word/media/image2.wmf" ContentType="image/x-wmf"/>
  <Override PartName="/word/media/image3.wmf" ContentType="image/x-wmf"/>
  <Override PartName="/word/footer4.xml" ContentType="application/vnd.openxmlformats-officedocument.wordprocessingml.footer+xml"/>
  <Override PartName="/word/footer13.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footer16.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center"/>
        <w:rPr>
          <w:b/>
          <w:szCs w:val="28"/>
        </w:rPr>
      </w:pPr>
      <w:r>
        <w:rPr/>
        <w:drawing>
          <wp:inline distT="0" distB="0" distL="0" distR="0">
            <wp:extent cx="1536700" cy="558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536700" cy="558800"/>
                    </a:xfrm>
                    <a:prstGeom prst="rect">
                      <a:avLst/>
                    </a:prstGeom>
                  </pic:spPr>
                </pic:pic>
              </a:graphicData>
            </a:graphic>
          </wp:inline>
        </w:drawing>
      </w:r>
    </w:p>
    <w:p>
      <w:pPr>
        <w:pStyle w:val="Normal"/>
        <w:spacing w:before="0" w:after="0"/>
        <w:jc w:val="center"/>
        <w:rPr>
          <w:b/>
          <w:sz w:val="28"/>
          <w:szCs w:val="28"/>
        </w:rPr>
      </w:pPr>
      <w:r>
        <w:rPr>
          <w:b/>
          <w:bCs/>
          <w:sz w:val="28"/>
          <w:szCs w:val="28"/>
        </w:rPr>
        <w:t>Акционерное Общество</w:t>
      </w:r>
    </w:p>
    <w:p>
      <w:pPr>
        <w:pStyle w:val="Normal"/>
        <w:spacing w:before="0" w:after="0"/>
        <w:jc w:val="center"/>
        <w:rPr>
          <w:b/>
          <w:sz w:val="28"/>
          <w:szCs w:val="28"/>
        </w:rPr>
      </w:pPr>
      <w:r>
        <w:rPr>
          <w:b/>
          <w:sz w:val="28"/>
          <w:szCs w:val="28"/>
        </w:rPr>
        <w:t xml:space="preserve">«Дальневосточная распределительная сетевая </w:t>
      </w:r>
      <w:r>
        <w:rPr>
          <w:sz w:val="28"/>
          <w:szCs w:val="28"/>
        </w:rPr>
        <w:t xml:space="preserve"> </w:t>
      </w:r>
      <w:r>
        <w:rPr>
          <w:b/>
          <w:sz w:val="28"/>
          <w:szCs w:val="28"/>
        </w:rPr>
        <w:t>компания</w:t>
      </w:r>
    </w:p>
    <w:p>
      <w:pPr>
        <w:pStyle w:val="Normal"/>
        <w:ind w:left="4395" w:firstLine="1134"/>
        <w:rPr>
          <w:szCs w:val="28"/>
        </w:rPr>
      </w:pPr>
      <w:r>
        <w:rPr>
          <w:szCs w:val="28"/>
        </w:rPr>
      </w:r>
    </w:p>
    <w:p>
      <w:pPr>
        <w:pStyle w:val="Normal"/>
        <w:ind w:left="5529" w:hanging="0"/>
        <w:rPr/>
      </w:pPr>
      <w:r>
        <w:rPr/>
      </w:r>
    </w:p>
    <w:p>
      <w:pPr>
        <w:pStyle w:val="Normal"/>
        <w:ind w:left="5529" w:hanging="0"/>
        <w:rPr>
          <w:rFonts w:eastAsia="Calibri" w:cs="" w:cstheme="minorBidi" w:eastAsiaTheme="minorHAnsi"/>
          <w:highlight w:val="none"/>
          <w:shd w:fill="FFFF00" w:val="clear"/>
        </w:rPr>
      </w:pPr>
      <w:r>
        <w:rPr>
          <w:rFonts w:eastAsia="Calibri" w:cs="" w:cstheme="minorBidi" w:eastAsiaTheme="minorHAnsi"/>
          <w:shd w:fill="FFFF00" w:val="clear"/>
        </w:rPr>
      </w:r>
    </w:p>
    <w:p>
      <w:pPr>
        <w:pStyle w:val="Normal"/>
        <w:ind w:left="5529" w:hanging="0"/>
        <w:rPr>
          <w:rFonts w:eastAsia="Calibri" w:cs="" w:cstheme="minorBidi" w:eastAsiaTheme="minorHAnsi"/>
          <w:b/>
          <w:bCs/>
          <w:caps/>
          <w:highlight w:val="none"/>
          <w:shd w:fill="FFFF00" w:val="clear"/>
        </w:rPr>
      </w:pPr>
      <w:r>
        <w:rPr>
          <w:rFonts w:eastAsia="Calibri" w:cs="" w:cstheme="minorBidi" w:eastAsiaTheme="minorHAnsi"/>
          <w:b/>
          <w:bCs/>
          <w:caps/>
          <w:shd w:fill="FFFF00" w:val="clear"/>
        </w:rPr>
      </w:r>
    </w:p>
    <w:p>
      <w:pPr>
        <w:pStyle w:val="Normal"/>
        <w:spacing w:before="0" w:after="0"/>
        <w:jc w:val="right"/>
        <w:rPr>
          <w:b/>
          <w:sz w:val="20"/>
        </w:rPr>
      </w:pPr>
      <w:r>
        <w:rPr>
          <w:b/>
          <w:sz w:val="20"/>
        </w:rPr>
        <w:t xml:space="preserve"> </w:t>
      </w:r>
    </w:p>
    <w:p>
      <w:pPr>
        <w:pStyle w:val="Style25"/>
        <w:rPr/>
      </w:pPr>
      <w:r>
        <w:rPr/>
      </w:r>
    </w:p>
    <w:p>
      <w:pPr>
        <w:pStyle w:val="Style25"/>
        <w:rPr/>
      </w:pPr>
      <w:r>
        <w:rPr/>
      </w:r>
    </w:p>
    <w:p>
      <w:pPr>
        <w:pStyle w:val="Style25"/>
        <w:rPr/>
      </w:pPr>
      <w:r>
        <w:rPr/>
      </w:r>
    </w:p>
    <w:p>
      <w:pPr>
        <w:pStyle w:val="Style25"/>
        <w:rPr/>
      </w:pPr>
      <w:r>
        <w:rPr/>
      </w:r>
    </w:p>
    <w:p>
      <w:pPr>
        <w:pStyle w:val="Style25"/>
        <w:jc w:val="center"/>
        <w:rPr/>
      </w:pPr>
      <w:r>
        <w:rPr/>
      </w:r>
    </w:p>
    <w:p>
      <w:pPr>
        <w:pStyle w:val="Style25"/>
        <w:keepNext w:val="true"/>
        <w:numPr>
          <w:ilvl w:val="0"/>
          <w:numId w:val="0"/>
        </w:numPr>
        <w:ind w:left="0" w:hanging="0"/>
        <w:jc w:val="center"/>
        <w:outlineLvl w:val="2"/>
        <w:rPr>
          <w:b/>
          <w:bCs/>
          <w:caps/>
        </w:rPr>
      </w:pPr>
      <w:r>
        <w:rPr>
          <w:b/>
          <w:bCs/>
          <w:caps/>
        </w:rPr>
        <w:t>Документация о закупке</w:t>
      </w:r>
    </w:p>
    <w:p>
      <w:pPr>
        <w:pStyle w:val="Style25"/>
        <w:keepNext w:val="true"/>
        <w:spacing w:before="240" w:after="0"/>
        <w:jc w:val="center"/>
        <w:rPr>
          <w:rStyle w:val="Style4"/>
        </w:rPr>
      </w:pPr>
      <w:r>
        <w:rPr/>
        <w:t>Конкурс в электронной форме,</w:t>
        <w:br/>
        <w:t>участниками которого могут быть только субъекты МСП,</w:t>
        <w:br/>
        <w:t>на право заключения договора на право выполнения работ</w:t>
      </w:r>
      <w:r>
        <w:rPr>
          <w:b/>
          <w:bCs/>
        </w:rPr>
        <w:t> </w:t>
      </w:r>
      <w:r>
        <w:rPr>
          <w:rStyle w:val="Style4"/>
          <w:b/>
          <w:bCs/>
          <w:caps w:val="false"/>
          <w:smallCaps w:val="false"/>
          <w:strike w:val="false"/>
          <w:dstrike w:val="false"/>
          <w:color w:val="222222"/>
          <w:spacing w:val="0"/>
          <w:sz w:val="26"/>
          <w:szCs w:val="26"/>
          <w:u w:val="none"/>
          <w:effect w:val="none"/>
          <w:shd w:fill="auto" w:val="clear"/>
        </w:rPr>
        <w:t>«</w:t>
      </w:r>
      <w:r>
        <w:rPr>
          <w:rStyle w:val="Style4"/>
          <w:rFonts w:eastAsia="Times New Roman" w:cs="Times New Roman"/>
          <w:b/>
          <w:bCs/>
          <w:i w:val="false"/>
          <w:iCs w:val="false"/>
          <w:color w:val="000000"/>
          <w:kern w:val="0"/>
          <w:sz w:val="24"/>
          <w:szCs w:val="24"/>
          <w:shd w:fill="auto" w:val="clear"/>
          <w:lang w:eastAsia="en-US" w:bidi="ar-SA"/>
        </w:rPr>
        <w:t>ОКПД2 42.22.22.120. Реконструкция ВЛ 0,4-110 кВ на территории СП «Приморские  центральные электрические сети», СП «Приморские северные электрические сети»,  СП «Приморские южные электрические сети» расширение просеки в рамках инвестиционного проекта L_25-ПЭС-1708»</w:t>
      </w:r>
    </w:p>
    <w:p>
      <w:pPr>
        <w:pStyle w:val="Style25"/>
        <w:keepNext w:val="true"/>
        <w:spacing w:before="240" w:after="0"/>
        <w:jc w:val="center"/>
        <w:rPr>
          <w:rStyle w:val="Style4"/>
        </w:rPr>
      </w:pPr>
      <w:r>
        <w:rPr>
          <w:rStyle w:val="Style4"/>
          <w:b/>
          <w:bCs/>
          <w:i w:val="false"/>
          <w:iCs w:val="false"/>
          <w:shd w:fill="auto" w:val="clear"/>
        </w:rPr>
        <w:t xml:space="preserve">Лот </w:t>
      </w:r>
      <w:r>
        <w:rPr>
          <w:rStyle w:val="Style4"/>
          <w:rFonts w:eastAsia="Times New Roman" w:cs="Times New Roman"/>
          <w:b/>
          <w:bCs/>
          <w:i w:val="false"/>
          <w:iCs w:val="false"/>
          <w:color w:val="000000"/>
          <w:kern w:val="0"/>
          <w:sz w:val="24"/>
          <w:szCs w:val="24"/>
          <w:shd w:fill="auto" w:val="clear"/>
          <w:lang w:val="ru-RU" w:eastAsia="en-US" w:bidi="ar-SA"/>
        </w:rPr>
        <w:t>309101-ТПИР ОБСЛ-2026-ДРСК-ПЭС</w:t>
      </w:r>
      <w:r>
        <w:br w:type="page"/>
      </w:r>
    </w:p>
    <w:p>
      <w:pPr>
        <w:pStyle w:val="Style24"/>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11"/>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Перечисление,5,Heading 6,6,Heading 6,6,Heading 7,7,Heading 7,7,Heading 8,8,Heading 8,8,Heading 9,9,Heading 9,9" \h</w:instrText>
          </w:r>
          <w:r>
            <w:rPr>
              <w:webHidden/>
              <w:rStyle w:val="Style11"/>
              <w:vanish w:val="false"/>
            </w:rPr>
            <w:fldChar w:fldCharType="separate"/>
          </w:r>
          <w:hyperlink w:anchor="__RefHeading___Toc192495_1558056896">
            <w:r>
              <w:rPr>
                <w:webHidden/>
                <w:rStyle w:val="Style11"/>
                <w:vanish w:val="false"/>
              </w:rPr>
              <w:tab/>
              <w:t>Сокращения</w:t>
              <w:tab/>
              <w:t>5</w:t>
            </w:r>
          </w:hyperlink>
        </w:p>
        <w:p>
          <w:pPr>
            <w:pStyle w:val="TOC1"/>
            <w:tabs>
              <w:tab w:val="clear" w:pos="9923"/>
              <w:tab w:val="left" w:pos="851" w:leader="none"/>
              <w:tab w:val="right" w:pos="9922" w:leader="dot"/>
            </w:tabs>
            <w:rPr/>
          </w:pPr>
          <w:hyperlink w:anchor="__RefHeading___Toc192497_1558056896">
            <w:r>
              <w:rPr>
                <w:webHidden/>
                <w:rStyle w:val="Style11"/>
                <w:vanish w:val="false"/>
              </w:rPr>
              <w:tab/>
              <w:t>Термины и определения</w:t>
              <w:tab/>
              <w:t>7</w:t>
            </w:r>
          </w:hyperlink>
        </w:p>
        <w:p>
          <w:pPr>
            <w:pStyle w:val="TOC1"/>
            <w:tabs>
              <w:tab w:val="clear" w:pos="9923"/>
              <w:tab w:val="left" w:pos="851" w:leader="none"/>
              <w:tab w:val="right" w:pos="9922" w:leader="dot"/>
            </w:tabs>
            <w:rPr/>
          </w:pPr>
          <w:hyperlink w:anchor="__RefHeading___Toc192499_1558056896">
            <w:r>
              <w:rPr>
                <w:webHidden/>
                <w:rStyle w:val="Style11"/>
                <w:vanish w:val="false"/>
              </w:rPr>
              <w:t>1.</w:t>
              <w:tab/>
              <w:t>Основные сведения о закупке</w:t>
              <w:tab/>
              <w:t>12</w:t>
            </w:r>
          </w:hyperlink>
        </w:p>
        <w:p>
          <w:pPr>
            <w:pStyle w:val="TOC2"/>
            <w:tabs>
              <w:tab w:val="clear" w:pos="9923"/>
              <w:tab w:val="left" w:pos="851" w:leader="none"/>
              <w:tab w:val="right" w:pos="9922" w:leader="dot"/>
            </w:tabs>
            <w:rPr/>
          </w:pPr>
          <w:hyperlink w:anchor="__RefHeading___Toc192501_1558056896">
            <w:r>
              <w:rPr>
                <w:webHidden/>
                <w:rStyle w:val="Style11"/>
                <w:vanish w:val="false"/>
              </w:rPr>
              <w:t>1.1</w:t>
              <w:tab/>
              <w:t>Статус настоящего раздела</w:t>
              <w:tab/>
              <w:t>12</w:t>
            </w:r>
          </w:hyperlink>
        </w:p>
        <w:p>
          <w:pPr>
            <w:pStyle w:val="TOC2"/>
            <w:tabs>
              <w:tab w:val="clear" w:pos="9923"/>
              <w:tab w:val="left" w:pos="851" w:leader="none"/>
              <w:tab w:val="right" w:pos="9922" w:leader="dot"/>
            </w:tabs>
            <w:rPr/>
          </w:pPr>
          <w:hyperlink w:anchor="__RefHeading___Toc192503_1558056896">
            <w:r>
              <w:rPr>
                <w:webHidden/>
                <w:rStyle w:val="Style11"/>
                <w:vanish w:val="false"/>
              </w:rPr>
              <w:t>1.2</w:t>
              <w:tab/>
              <w:t>Информация о проводимой закупке</w:t>
              <w:tab/>
              <w:t>12</w:t>
            </w:r>
          </w:hyperlink>
        </w:p>
        <w:p>
          <w:pPr>
            <w:pStyle w:val="TOC1"/>
            <w:tabs>
              <w:tab w:val="clear" w:pos="9923"/>
              <w:tab w:val="left" w:pos="851" w:leader="none"/>
              <w:tab w:val="right" w:pos="9922" w:leader="dot"/>
            </w:tabs>
            <w:rPr/>
          </w:pPr>
          <w:hyperlink w:anchor="__RefHeading___Toc192505_1558056896">
            <w:r>
              <w:rPr>
                <w:webHidden/>
                <w:rStyle w:val="Style11"/>
                <w:vanish w:val="false"/>
              </w:rPr>
              <w:t>2.</w:t>
              <w:tab/>
              <w:t>Общие положения</w:t>
              <w:tab/>
              <w:t>18</w:t>
            </w:r>
          </w:hyperlink>
        </w:p>
        <w:p>
          <w:pPr>
            <w:pStyle w:val="TOC2"/>
            <w:tabs>
              <w:tab w:val="clear" w:pos="9923"/>
              <w:tab w:val="left" w:pos="851" w:leader="none"/>
              <w:tab w:val="right" w:pos="9922" w:leader="dot"/>
            </w:tabs>
            <w:rPr/>
          </w:pPr>
          <w:hyperlink w:anchor="__RefHeading___Toc192507_1558056896">
            <w:r>
              <w:rPr>
                <w:webHidden/>
                <w:rStyle w:val="Style11"/>
                <w:vanish w:val="false"/>
              </w:rPr>
              <w:t>2.1</w:t>
              <w:tab/>
              <w:t>Общие сведения о закупке</w:t>
              <w:tab/>
              <w:t>18</w:t>
            </w:r>
          </w:hyperlink>
        </w:p>
        <w:p>
          <w:pPr>
            <w:pStyle w:val="TOC2"/>
            <w:tabs>
              <w:tab w:val="clear" w:pos="9923"/>
              <w:tab w:val="left" w:pos="851" w:leader="none"/>
              <w:tab w:val="right" w:pos="9922" w:leader="dot"/>
            </w:tabs>
            <w:rPr/>
          </w:pPr>
          <w:hyperlink w:anchor="__RefHeading___Toc192509_1558056896">
            <w:r>
              <w:rPr>
                <w:webHidden/>
                <w:rStyle w:val="Style11"/>
                <w:vanish w:val="false"/>
              </w:rPr>
              <w:t>2.2</w:t>
              <w:tab/>
              <w:t>Правовой статус документов</w:t>
              <w:tab/>
              <w:t>18</w:t>
            </w:r>
          </w:hyperlink>
        </w:p>
        <w:p>
          <w:pPr>
            <w:pStyle w:val="TOC2"/>
            <w:tabs>
              <w:tab w:val="clear" w:pos="9923"/>
              <w:tab w:val="left" w:pos="851" w:leader="none"/>
              <w:tab w:val="right" w:pos="9922" w:leader="dot"/>
            </w:tabs>
            <w:rPr/>
          </w:pPr>
          <w:hyperlink w:anchor="__RefHeading___Toc192511_1558056896">
            <w:r>
              <w:rPr>
                <w:webHidden/>
                <w:rStyle w:val="Style11"/>
                <w:vanish w:val="false"/>
              </w:rPr>
              <w:t>2.3</w:t>
              <w:tab/>
              <w:t>Обжалование</w:t>
              <w:tab/>
              <w:t>18</w:t>
            </w:r>
          </w:hyperlink>
        </w:p>
        <w:p>
          <w:pPr>
            <w:pStyle w:val="TOC2"/>
            <w:tabs>
              <w:tab w:val="clear" w:pos="9923"/>
              <w:tab w:val="left" w:pos="851" w:leader="none"/>
              <w:tab w:val="right" w:pos="9922" w:leader="dot"/>
            </w:tabs>
            <w:rPr/>
          </w:pPr>
          <w:hyperlink w:anchor="__RefHeading___Toc192513_1558056896">
            <w:r>
              <w:rPr>
                <w:webHidden/>
                <w:rStyle w:val="Style11"/>
                <w:vanish w:val="false"/>
              </w:rPr>
              <w:t>2.4</w:t>
              <w:tab/>
              <w:t>Особые положения при проведении закупки с использованием ЭП</w:t>
              <w:tab/>
              <w:t>19</w:t>
            </w:r>
          </w:hyperlink>
        </w:p>
        <w:p>
          <w:pPr>
            <w:pStyle w:val="TOC2"/>
            <w:tabs>
              <w:tab w:val="clear" w:pos="9923"/>
              <w:tab w:val="left" w:pos="851" w:leader="none"/>
              <w:tab w:val="right" w:pos="9922" w:leader="dot"/>
            </w:tabs>
            <w:rPr/>
          </w:pPr>
          <w:hyperlink w:anchor="__RefHeading___Toc192515_1558056896">
            <w:r>
              <w:rPr>
                <w:webHidden/>
                <w:rStyle w:val="Style11"/>
                <w:vanish w:val="false"/>
              </w:rPr>
              <w:t>2.5</w:t>
              <w:tab/>
              <w:t>Прочие положения</w:t>
              <w:tab/>
              <w:t>20</w:t>
            </w:r>
          </w:hyperlink>
        </w:p>
        <w:p>
          <w:pPr>
            <w:pStyle w:val="TOC1"/>
            <w:tabs>
              <w:tab w:val="clear" w:pos="9923"/>
              <w:tab w:val="left" w:pos="851" w:leader="none"/>
              <w:tab w:val="right" w:pos="9922" w:leader="dot"/>
            </w:tabs>
            <w:rPr/>
          </w:pPr>
          <w:hyperlink w:anchor="__RefHeading___Toc192517_1558056896">
            <w:r>
              <w:rPr>
                <w:webHidden/>
                <w:rStyle w:val="Style11"/>
                <w:vanish w:val="false"/>
              </w:rPr>
              <w:t>3.</w:t>
              <w:tab/>
              <w:t>Требования к Участникам</w:t>
              <w:tab/>
              <w:t>21</w:t>
            </w:r>
          </w:hyperlink>
        </w:p>
        <w:p>
          <w:pPr>
            <w:pStyle w:val="TOC2"/>
            <w:tabs>
              <w:tab w:val="clear" w:pos="9923"/>
              <w:tab w:val="left" w:pos="851" w:leader="none"/>
              <w:tab w:val="right" w:pos="9922" w:leader="dot"/>
            </w:tabs>
            <w:rPr/>
          </w:pPr>
          <w:hyperlink w:anchor="__RefHeading___Toc192519_1558056896">
            <w:r>
              <w:rPr>
                <w:webHidden/>
                <w:rStyle w:val="Style11"/>
                <w:vanish w:val="false"/>
              </w:rPr>
              <w:t>3.1</w:t>
              <w:tab/>
              <w:t>Общие требования к Участникам</w:t>
              <w:tab/>
              <w:t>21</w:t>
            </w:r>
          </w:hyperlink>
        </w:p>
        <w:p>
          <w:pPr>
            <w:pStyle w:val="TOC2"/>
            <w:tabs>
              <w:tab w:val="clear" w:pos="9923"/>
              <w:tab w:val="left" w:pos="851" w:leader="none"/>
              <w:tab w:val="right" w:pos="9922" w:leader="dot"/>
            </w:tabs>
            <w:rPr/>
          </w:pPr>
          <w:hyperlink w:anchor="__RefHeading___Toc192521_1558056896">
            <w:r>
              <w:rPr>
                <w:webHidden/>
                <w:rStyle w:val="Style11"/>
                <w:vanish w:val="false"/>
              </w:rPr>
              <w:t>3.2</w:t>
              <w:tab/>
            </w:r>
          </w:hyperlink>
          <w:hyperlink w:anchor="__RefHeading___Toc192523_1558056896">
            <w:r>
              <w:rPr>
                <w:webHidden/>
                <w:rStyle w:val="Style11"/>
                <w:vanish w:val="false"/>
              </w:rPr>
              <w:t>Генеральные подрядчики</w:t>
              <w:tab/>
              <w:t>22</w:t>
            </w:r>
          </w:hyperlink>
        </w:p>
        <w:p>
          <w:pPr>
            <w:pStyle w:val="TOC1"/>
            <w:tabs>
              <w:tab w:val="clear" w:pos="9923"/>
              <w:tab w:val="left" w:pos="851" w:leader="none"/>
              <w:tab w:val="right" w:pos="9922" w:leader="dot"/>
            </w:tabs>
            <w:rPr/>
          </w:pPr>
          <w:hyperlink w:anchor="__RefHeading___Toc192525_1558056896">
            <w:r>
              <w:rPr>
                <w:webHidden/>
                <w:rStyle w:val="Style11"/>
                <w:vanish w:val="false"/>
              </w:rPr>
              <w:t>4.</w:t>
              <w:tab/>
              <w:t>Порядок проведения закупки</w:t>
              <w:tab/>
              <w:t>24</w:t>
            </w:r>
          </w:hyperlink>
        </w:p>
        <w:p>
          <w:pPr>
            <w:pStyle w:val="TOC2"/>
            <w:tabs>
              <w:tab w:val="clear" w:pos="9923"/>
              <w:tab w:val="left" w:pos="851" w:leader="none"/>
              <w:tab w:val="right" w:pos="9922" w:leader="dot"/>
            </w:tabs>
            <w:rPr/>
          </w:pPr>
          <w:hyperlink w:anchor="__RefHeading___Toc192527_1558056896">
            <w:r>
              <w:rPr>
                <w:webHidden/>
                <w:rStyle w:val="Style11"/>
                <w:vanish w:val="false"/>
              </w:rPr>
              <w:t>4.1</w:t>
              <w:tab/>
              <w:t>Общий порядок проведения закупки</w:t>
              <w:tab/>
              <w:t>24</w:t>
            </w:r>
          </w:hyperlink>
        </w:p>
        <w:p>
          <w:pPr>
            <w:pStyle w:val="TOC2"/>
            <w:tabs>
              <w:tab w:val="clear" w:pos="9923"/>
              <w:tab w:val="left" w:pos="851" w:leader="none"/>
              <w:tab w:val="right" w:pos="9922" w:leader="dot"/>
            </w:tabs>
            <w:rPr/>
          </w:pPr>
          <w:hyperlink w:anchor="__RefHeading___Toc192529_1558056896">
            <w:r>
              <w:rPr>
                <w:webHidden/>
                <w:rStyle w:val="Style11"/>
                <w:vanish w:val="false"/>
              </w:rPr>
              <w:t>4.2</w:t>
              <w:tab/>
              <w:t>Официальное размещение Извещения и Документации о закупке</w:t>
              <w:tab/>
              <w:t>26</w:t>
            </w:r>
          </w:hyperlink>
        </w:p>
        <w:p>
          <w:pPr>
            <w:pStyle w:val="TOC2"/>
            <w:tabs>
              <w:tab w:val="clear" w:pos="9923"/>
              <w:tab w:val="left" w:pos="851" w:leader="none"/>
              <w:tab w:val="right" w:pos="9922" w:leader="dot"/>
            </w:tabs>
            <w:rPr/>
          </w:pPr>
          <w:hyperlink w:anchor="__RefHeading___Toc192531_1558056896">
            <w:r>
              <w:rPr>
                <w:webHidden/>
                <w:rStyle w:val="Style11"/>
                <w:vanish w:val="false"/>
              </w:rPr>
              <w:t>4.3</w:t>
              <w:tab/>
              <w:t>Подготовка заявки</w:t>
              <w:tab/>
              <w:t>26</w:t>
            </w:r>
          </w:hyperlink>
        </w:p>
        <w:p>
          <w:pPr>
            <w:pStyle w:val="TOC2"/>
            <w:tabs>
              <w:tab w:val="clear" w:pos="9923"/>
              <w:tab w:val="left" w:pos="851" w:leader="none"/>
              <w:tab w:val="right" w:pos="9922" w:leader="dot"/>
            </w:tabs>
            <w:rPr/>
          </w:pPr>
          <w:hyperlink w:anchor="__RefHeading___Toc192533_1558056896">
            <w:r>
              <w:rPr>
                <w:webHidden/>
                <w:rStyle w:val="Style11"/>
                <w:vanish w:val="false"/>
              </w:rPr>
              <w:t>4.4</w:t>
              <w:tab/>
              <w:t>Разъяснение Документации о закупке</w:t>
              <w:tab/>
              <w:t>28</w:t>
            </w:r>
          </w:hyperlink>
        </w:p>
        <w:p>
          <w:pPr>
            <w:pStyle w:val="TOC2"/>
            <w:tabs>
              <w:tab w:val="clear" w:pos="9923"/>
              <w:tab w:val="left" w:pos="851" w:leader="none"/>
              <w:tab w:val="right" w:pos="9922" w:leader="dot"/>
            </w:tabs>
            <w:rPr/>
          </w:pPr>
          <w:hyperlink w:anchor="__RefHeading___Toc192535_1558056896">
            <w:r>
              <w:rPr>
                <w:webHidden/>
                <w:rStyle w:val="Style11"/>
                <w:vanish w:val="false"/>
              </w:rPr>
              <w:t>4.5</w:t>
              <w:tab/>
              <w:t>Изменения Извещения и (или) Документации о закупке</w:t>
              <w:tab/>
              <w:t>29</w:t>
            </w:r>
          </w:hyperlink>
        </w:p>
        <w:p>
          <w:pPr>
            <w:pStyle w:val="TOC2"/>
            <w:tabs>
              <w:tab w:val="clear" w:pos="9923"/>
              <w:tab w:val="left" w:pos="851" w:leader="none"/>
              <w:tab w:val="right" w:pos="9922" w:leader="dot"/>
            </w:tabs>
            <w:rPr/>
          </w:pPr>
          <w:hyperlink w:anchor="__RefHeading___Toc192537_1558056896">
            <w:r>
              <w:rPr>
                <w:webHidden/>
                <w:rStyle w:val="Style11"/>
                <w:vanish w:val="false"/>
              </w:rPr>
              <w:t>4.6</w:t>
              <w:tab/>
              <w:t>Подача заявок и их прием</w:t>
              <w:tab/>
              <w:t>29</w:t>
            </w:r>
          </w:hyperlink>
        </w:p>
        <w:p>
          <w:pPr>
            <w:pStyle w:val="TOC2"/>
            <w:tabs>
              <w:tab w:val="clear" w:pos="9923"/>
              <w:tab w:val="left" w:pos="851" w:leader="none"/>
              <w:tab w:val="right" w:pos="9922" w:leader="dot"/>
            </w:tabs>
            <w:rPr/>
          </w:pPr>
          <w:hyperlink w:anchor="__RefHeading___Toc192539_1558056896">
            <w:r>
              <w:rPr>
                <w:webHidden/>
                <w:rStyle w:val="Style11"/>
                <w:vanish w:val="false"/>
              </w:rPr>
              <w:t>4.7</w:t>
              <w:tab/>
              <w:t>Изменение и отзыв заявок</w:t>
              <w:tab/>
              <w:t>30</w:t>
            </w:r>
          </w:hyperlink>
        </w:p>
        <w:p>
          <w:pPr>
            <w:pStyle w:val="TOC2"/>
            <w:tabs>
              <w:tab w:val="clear" w:pos="9923"/>
              <w:tab w:val="left" w:pos="851" w:leader="none"/>
              <w:tab w:val="right" w:pos="9922" w:leader="dot"/>
            </w:tabs>
            <w:rPr/>
          </w:pPr>
          <w:hyperlink w:anchor="__RefHeading___Toc192541_1558056896">
            <w:r>
              <w:rPr>
                <w:webHidden/>
                <w:rStyle w:val="Style11"/>
                <w:vanish w:val="false"/>
              </w:rPr>
              <w:t>4.8</w:t>
              <w:tab/>
              <w:t>Открытие доступа к первым частям заявок</w:t>
              <w:tab/>
              <w:t>30</w:t>
            </w:r>
          </w:hyperlink>
        </w:p>
        <w:p>
          <w:pPr>
            <w:pStyle w:val="TOC2"/>
            <w:tabs>
              <w:tab w:val="clear" w:pos="9923"/>
              <w:tab w:val="left" w:pos="851" w:leader="none"/>
              <w:tab w:val="right" w:pos="9922" w:leader="dot"/>
            </w:tabs>
            <w:rPr/>
          </w:pPr>
          <w:hyperlink w:anchor="__RefHeading___Toc192543_1558056896">
            <w:r>
              <w:rPr>
                <w:webHidden/>
                <w:rStyle w:val="Style11"/>
                <w:vanish w:val="false"/>
              </w:rPr>
              <w:t>4.9</w:t>
              <w:tab/>
              <w:t>Рассмотрение первых частей заявок / окончательных предложений (отборочная стадия)</w:t>
              <w:tab/>
              <w:t>30</w:t>
            </w:r>
          </w:hyperlink>
        </w:p>
        <w:p>
          <w:pPr>
            <w:pStyle w:val="TOC2"/>
            <w:tabs>
              <w:tab w:val="clear" w:pos="9923"/>
              <w:tab w:val="left" w:pos="851" w:leader="none"/>
              <w:tab w:val="right" w:pos="9922" w:leader="dot"/>
            </w:tabs>
            <w:rPr/>
          </w:pPr>
          <w:hyperlink w:anchor="__RefHeading___Toc192545_1558056896">
            <w:r>
              <w:rPr>
                <w:webHidden/>
                <w:rStyle w:val="Style11"/>
                <w:vanish w:val="false"/>
              </w:rPr>
              <w:t>4.10</w:t>
              <w:tab/>
              <w:t>Открытие доступа ко вторым частям заявок и ценовым предложениям</w:t>
              <w:tab/>
              <w:t>31</w:t>
            </w:r>
          </w:hyperlink>
        </w:p>
        <w:p>
          <w:pPr>
            <w:pStyle w:val="TOC2"/>
            <w:tabs>
              <w:tab w:val="clear" w:pos="9923"/>
              <w:tab w:val="left" w:pos="851" w:leader="none"/>
              <w:tab w:val="right" w:pos="9922" w:leader="dot"/>
            </w:tabs>
            <w:rPr/>
          </w:pPr>
          <w:hyperlink w:anchor="__RefHeading___Toc192547_1558056896">
            <w:r>
              <w:rPr>
                <w:webHidden/>
                <w:rStyle w:val="Style11"/>
                <w:vanish w:val="false"/>
              </w:rPr>
              <w:t>4.11</w:t>
              <w:tab/>
              <w:t>Рассмотрение вторых частей заявок (отборочная стадия), в том числе (при необходимости) проведение аккредитации, и ценовых предложений</w:t>
              <w:tab/>
              <w:t>31</w:t>
            </w:r>
          </w:hyperlink>
        </w:p>
        <w:p>
          <w:pPr>
            <w:pStyle w:val="TOC2"/>
            <w:tabs>
              <w:tab w:val="clear" w:pos="9923"/>
              <w:tab w:val="left" w:pos="851" w:leader="none"/>
              <w:tab w:val="right" w:pos="9922" w:leader="dot"/>
            </w:tabs>
            <w:rPr/>
          </w:pPr>
          <w:hyperlink w:anchor="__RefHeading___Toc192549_1558056896">
            <w:r>
              <w:rPr>
                <w:webHidden/>
                <w:rStyle w:val="Style11"/>
                <w:vanish w:val="false"/>
              </w:rPr>
              <w:t>4.12</w:t>
              <w:tab/>
              <w:t>Дополнительные запросы разъяснений заявок</w:t>
              <w:tab/>
              <w:t>33</w:t>
            </w:r>
          </w:hyperlink>
        </w:p>
        <w:p>
          <w:pPr>
            <w:pStyle w:val="TOC2"/>
            <w:tabs>
              <w:tab w:val="clear" w:pos="9923"/>
              <w:tab w:val="left" w:pos="851" w:leader="none"/>
              <w:tab w:val="right" w:pos="9922" w:leader="dot"/>
            </w:tabs>
            <w:rPr/>
          </w:pPr>
          <w:hyperlink w:anchor="__RefHeading___Toc192551_1558056896">
            <w:r>
              <w:rPr>
                <w:webHidden/>
                <w:rStyle w:val="Style11"/>
                <w:vanish w:val="false"/>
              </w:rPr>
              <w:t>4.13</w:t>
              <w:tab/>
              <w:t>Оценка и сопоставление заявок</w:t>
              <w:tab/>
              <w:t>34</w:t>
            </w:r>
          </w:hyperlink>
        </w:p>
        <w:p>
          <w:pPr>
            <w:pStyle w:val="TOC2"/>
            <w:tabs>
              <w:tab w:val="clear" w:pos="9923"/>
              <w:tab w:val="left" w:pos="851" w:leader="none"/>
              <w:tab w:val="right" w:pos="9922" w:leader="dot"/>
            </w:tabs>
            <w:rPr/>
          </w:pPr>
          <w:hyperlink w:anchor="__RefHeading___Toc192553_1558056896">
            <w:r>
              <w:rPr>
                <w:webHidden/>
                <w:rStyle w:val="Style11"/>
                <w:vanish w:val="false"/>
              </w:rPr>
              <w:t>4.14</w:t>
              <w:tab/>
              <w:t>Применение законодательства о национальном режиме</w:t>
              <w:tab/>
              <w:t>34</w:t>
            </w:r>
          </w:hyperlink>
        </w:p>
        <w:p>
          <w:pPr>
            <w:pStyle w:val="TOC2"/>
            <w:tabs>
              <w:tab w:val="clear" w:pos="9923"/>
              <w:tab w:val="left" w:pos="851" w:leader="none"/>
              <w:tab w:val="right" w:pos="9922" w:leader="dot"/>
            </w:tabs>
            <w:rPr/>
          </w:pPr>
          <w:hyperlink w:anchor="__RefHeading___Toc192555_1558056896">
            <w:r>
              <w:rPr>
                <w:webHidden/>
                <w:rStyle w:val="Style11"/>
                <w:vanish w:val="false"/>
              </w:rPr>
              <w:t>4.15</w:t>
              <w:tab/>
              <w:t>Подведение итогов закупки (определение Победителя)</w:t>
              <w:tab/>
              <w:t>35</w:t>
            </w:r>
          </w:hyperlink>
        </w:p>
        <w:p>
          <w:pPr>
            <w:pStyle w:val="TOC2"/>
            <w:tabs>
              <w:tab w:val="clear" w:pos="9923"/>
              <w:tab w:val="left" w:pos="851" w:leader="none"/>
              <w:tab w:val="right" w:pos="9922" w:leader="dot"/>
            </w:tabs>
            <w:rPr/>
          </w:pPr>
          <w:hyperlink w:anchor="__RefHeading___Toc192557_1558056896">
            <w:r>
              <w:rPr>
                <w:webHidden/>
                <w:rStyle w:val="Style11"/>
                <w:vanish w:val="false"/>
              </w:rPr>
              <w:t>4.16</w:t>
              <w:tab/>
              <w:t>Признание закупки несостоявшейся</w:t>
              <w:tab/>
              <w:t>36</w:t>
            </w:r>
          </w:hyperlink>
        </w:p>
        <w:p>
          <w:pPr>
            <w:pStyle w:val="TOC2"/>
            <w:tabs>
              <w:tab w:val="clear" w:pos="9923"/>
              <w:tab w:val="left" w:pos="851" w:leader="none"/>
              <w:tab w:val="right" w:pos="9922" w:leader="dot"/>
            </w:tabs>
            <w:rPr/>
          </w:pPr>
          <w:hyperlink w:anchor="__RefHeading___Toc192559_1558056896">
            <w:r>
              <w:rPr>
                <w:webHidden/>
                <w:rStyle w:val="Style11"/>
                <w:vanish w:val="false"/>
              </w:rPr>
              <w:t>4.17</w:t>
              <w:tab/>
              <w:t>Отказ от проведения закупки (отмена закупки)</w:t>
              <w:tab/>
              <w:t>37</w:t>
            </w:r>
          </w:hyperlink>
        </w:p>
        <w:p>
          <w:pPr>
            <w:pStyle w:val="TOC2"/>
            <w:tabs>
              <w:tab w:val="clear" w:pos="9923"/>
              <w:tab w:val="left" w:pos="851" w:leader="none"/>
              <w:tab w:val="right" w:pos="9922" w:leader="dot"/>
            </w:tabs>
            <w:rPr/>
          </w:pPr>
          <w:hyperlink w:anchor="__RefHeading___Toc192561_1558056896">
            <w:r>
              <w:rPr>
                <w:webHidden/>
                <w:rStyle w:val="Style11"/>
                <w:vanish w:val="false"/>
              </w:rPr>
              <w:t>4.18</w:t>
              <w:tab/>
              <w:t>Особенности проведения закупки с необходимостью обеспечения заявки</w:t>
              <w:tab/>
              <w:t>37</w:t>
            </w:r>
          </w:hyperlink>
        </w:p>
        <w:p>
          <w:pPr>
            <w:pStyle w:val="TOC2"/>
            <w:tabs>
              <w:tab w:val="clear" w:pos="9923"/>
              <w:tab w:val="left" w:pos="851" w:leader="none"/>
              <w:tab w:val="right" w:pos="9922" w:leader="dot"/>
            </w:tabs>
            <w:rPr/>
          </w:pPr>
          <w:hyperlink w:anchor="__RefHeading___Toc192563_1558056896">
            <w:r>
              <w:rPr>
                <w:webHidden/>
                <w:rStyle w:val="Style11"/>
                <w:vanish w:val="false"/>
              </w:rPr>
              <w:t>4.19</w:t>
              <w:tab/>
              <w:t>Особенности проведения многолотовой закупки</w:t>
              <w:tab/>
              <w:t>40</w:t>
            </w:r>
          </w:hyperlink>
        </w:p>
        <w:p>
          <w:pPr>
            <w:pStyle w:val="TOC1"/>
            <w:tabs>
              <w:tab w:val="clear" w:pos="9923"/>
              <w:tab w:val="left" w:pos="851" w:leader="none"/>
              <w:tab w:val="right" w:pos="9922" w:leader="dot"/>
            </w:tabs>
            <w:rPr/>
          </w:pPr>
          <w:hyperlink w:anchor="__RefHeading___Toc192565_1558056896">
            <w:r>
              <w:rPr>
                <w:webHidden/>
                <w:rStyle w:val="Style11"/>
                <w:vanish w:val="false"/>
              </w:rPr>
              <w:t>5.</w:t>
              <w:tab/>
              <w:t>Порядок заключения Договора</w:t>
              <w:tab/>
              <w:t>41</w:t>
            </w:r>
          </w:hyperlink>
        </w:p>
        <w:p>
          <w:pPr>
            <w:pStyle w:val="TOC2"/>
            <w:tabs>
              <w:tab w:val="clear" w:pos="9923"/>
              <w:tab w:val="left" w:pos="851" w:leader="none"/>
              <w:tab w:val="right" w:pos="9922" w:leader="dot"/>
            </w:tabs>
            <w:rPr/>
          </w:pPr>
          <w:hyperlink w:anchor="__RefHeading___Toc192567_1558056896">
            <w:r>
              <w:rPr>
                <w:webHidden/>
                <w:rStyle w:val="Style11"/>
                <w:vanish w:val="false"/>
              </w:rPr>
              <w:t>5.1</w:t>
              <w:tab/>
              <w:t>Общие положения</w:t>
              <w:tab/>
              <w:t>41</w:t>
            </w:r>
          </w:hyperlink>
        </w:p>
        <w:p>
          <w:pPr>
            <w:pStyle w:val="TOC2"/>
            <w:tabs>
              <w:tab w:val="clear" w:pos="9923"/>
              <w:tab w:val="left" w:pos="851" w:leader="none"/>
              <w:tab w:val="right" w:pos="9922" w:leader="dot"/>
            </w:tabs>
            <w:rPr/>
          </w:pPr>
          <w:hyperlink w:anchor="__RefHeading___Toc192569_1558056896">
            <w:r>
              <w:rPr>
                <w:webHidden/>
                <w:rStyle w:val="Style11"/>
                <w:vanish w:val="false"/>
              </w:rPr>
              <w:t>5.2</w:t>
              <w:tab/>
              <w:t>Заключение Договора</w:t>
              <w:tab/>
              <w:t>41</w:t>
            </w:r>
          </w:hyperlink>
        </w:p>
        <w:p>
          <w:pPr>
            <w:pStyle w:val="TOC2"/>
            <w:tabs>
              <w:tab w:val="clear" w:pos="9923"/>
              <w:tab w:val="left" w:pos="851" w:leader="none"/>
              <w:tab w:val="right" w:pos="9922" w:leader="dot"/>
            </w:tabs>
            <w:rPr/>
          </w:pPr>
          <w:hyperlink w:anchor="__RefHeading___Toc192571_1558056896">
            <w:r>
              <w:rPr>
                <w:webHidden/>
                <w:rStyle w:val="Style11"/>
                <w:vanish w:val="false"/>
              </w:rPr>
              <w:t>5.3</w:t>
              <w:tab/>
              <w:t>Уклонение Победителя от заключения Договора</w:t>
              <w:tab/>
              <w:t>42</w:t>
            </w:r>
          </w:hyperlink>
        </w:p>
        <w:p>
          <w:pPr>
            <w:pStyle w:val="TOC1"/>
            <w:tabs>
              <w:tab w:val="clear" w:pos="9923"/>
              <w:tab w:val="left" w:pos="851" w:leader="none"/>
              <w:tab w:val="right" w:pos="9922" w:leader="dot"/>
            </w:tabs>
            <w:rPr/>
          </w:pPr>
          <w:hyperlink w:anchor="__RefHeading___Toc192573_1558056896">
            <w:r>
              <w:rPr>
                <w:webHidden/>
                <w:rStyle w:val="Style11"/>
                <w:vanish w:val="false"/>
              </w:rPr>
              <w:t>6.</w:t>
              <w:tab/>
              <w:t>Приложение № 1 – Технические требования</w:t>
              <w:tab/>
              <w:t>44</w:t>
            </w:r>
          </w:hyperlink>
        </w:p>
        <w:p>
          <w:pPr>
            <w:pStyle w:val="TOC2"/>
            <w:tabs>
              <w:tab w:val="clear" w:pos="9923"/>
              <w:tab w:val="left" w:pos="851" w:leader="none"/>
              <w:tab w:val="right" w:pos="9922" w:leader="dot"/>
            </w:tabs>
            <w:rPr/>
          </w:pPr>
          <w:hyperlink w:anchor="__RefHeading___Toc192575_1558056896">
            <w:r>
              <w:rPr>
                <w:webHidden/>
                <w:rStyle w:val="Style11"/>
                <w:vanish w:val="false"/>
              </w:rPr>
              <w:t>6.1</w:t>
              <w:tab/>
              <w:t>Пояснения к Техническим требованиям</w:t>
              <w:tab/>
              <w:t>44</w:t>
            </w:r>
          </w:hyperlink>
        </w:p>
        <w:p>
          <w:pPr>
            <w:pStyle w:val="TOC1"/>
            <w:tabs>
              <w:tab w:val="clear" w:pos="9923"/>
              <w:tab w:val="left" w:pos="851" w:leader="none"/>
              <w:tab w:val="right" w:pos="9922" w:leader="dot"/>
            </w:tabs>
            <w:rPr/>
          </w:pPr>
          <w:hyperlink w:anchor="__RefHeading___Toc192577_1558056896">
            <w:r>
              <w:rPr>
                <w:webHidden/>
                <w:rStyle w:val="Style11"/>
                <w:vanish w:val="false"/>
              </w:rPr>
              <w:t>7.</w:t>
              <w:tab/>
              <w:t>Приложение № 2 – Проект договора</w:t>
              <w:tab/>
              <w:t>45</w:t>
            </w:r>
          </w:hyperlink>
        </w:p>
        <w:p>
          <w:pPr>
            <w:pStyle w:val="TOC2"/>
            <w:tabs>
              <w:tab w:val="clear" w:pos="9923"/>
              <w:tab w:val="left" w:pos="851" w:leader="none"/>
              <w:tab w:val="right" w:pos="9922" w:leader="dot"/>
            </w:tabs>
            <w:rPr/>
          </w:pPr>
          <w:hyperlink w:anchor="__RefHeading___Toc192579_1558056896">
            <w:r>
              <w:rPr>
                <w:webHidden/>
                <w:rStyle w:val="Style11"/>
                <w:vanish w:val="false"/>
              </w:rPr>
              <w:t>7.1</w:t>
              <w:tab/>
              <w:t>Пояснения к Проекту договора</w:t>
              <w:tab/>
              <w:t>45</w:t>
            </w:r>
          </w:hyperlink>
        </w:p>
        <w:p>
          <w:pPr>
            <w:pStyle w:val="TOC1"/>
            <w:tabs>
              <w:tab w:val="clear" w:pos="9923"/>
              <w:tab w:val="left" w:pos="851" w:leader="none"/>
              <w:tab w:val="right" w:pos="9922" w:leader="dot"/>
            </w:tabs>
            <w:rPr/>
          </w:pPr>
          <w:hyperlink w:anchor="__RefHeading___Toc192581_1558056896">
            <w:r>
              <w:rPr>
                <w:webHidden/>
                <w:rStyle w:val="Style11"/>
                <w:vanish w:val="false"/>
              </w:rPr>
              <w:t>8.</w:t>
              <w:tab/>
              <w:t>Приложение № 3 – Требования к Участникам</w:t>
              <w:tab/>
              <w:t>46</w:t>
            </w:r>
          </w:hyperlink>
        </w:p>
        <w:p>
          <w:pPr>
            <w:pStyle w:val="TOC2"/>
            <w:tabs>
              <w:tab w:val="clear" w:pos="9923"/>
              <w:tab w:val="left" w:pos="851" w:leader="none"/>
              <w:tab w:val="right" w:pos="9922" w:leader="dot"/>
            </w:tabs>
            <w:rPr/>
          </w:pPr>
          <w:hyperlink w:anchor="__RefHeading___Toc192583_1558056896">
            <w:r>
              <w:rPr>
                <w:webHidden/>
                <w:rStyle w:val="Style11"/>
                <w:vanish w:val="false"/>
              </w:rPr>
              <w:t>8.1</w:t>
              <w:tab/>
              <w:t>Пояснения к требованиям к Участникам</w:t>
              <w:tab/>
              <w:t>46</w:t>
            </w:r>
          </w:hyperlink>
        </w:p>
        <w:p>
          <w:pPr>
            <w:pStyle w:val="TOC2"/>
            <w:tabs>
              <w:tab w:val="clear" w:pos="9923"/>
              <w:tab w:val="left" w:pos="851" w:leader="none"/>
              <w:tab w:val="right" w:pos="9922" w:leader="dot"/>
            </w:tabs>
            <w:rPr/>
          </w:pPr>
          <w:hyperlink w:anchor="__RefHeading___Toc192585_1558056896">
            <w:r>
              <w:rPr>
                <w:webHidden/>
                <w:rStyle w:val="Style11"/>
                <w:vanish w:val="false"/>
              </w:rPr>
              <w:t>8.2</w:t>
              <w:tab/>
              <w:t>Обязательные требования</w:t>
              <w:tab/>
              <w:t>46</w:t>
            </w:r>
          </w:hyperlink>
        </w:p>
        <w:p>
          <w:pPr>
            <w:pStyle w:val="TOC2"/>
            <w:tabs>
              <w:tab w:val="clear" w:pos="9923"/>
              <w:tab w:val="left" w:pos="851" w:leader="none"/>
              <w:tab w:val="right" w:pos="9922" w:leader="dot"/>
            </w:tabs>
            <w:rPr/>
          </w:pPr>
          <w:hyperlink w:anchor="__RefHeading___Toc192587_1558056896">
            <w:r>
              <w:rPr>
                <w:webHidden/>
                <w:rStyle w:val="Style11"/>
                <w:vanish w:val="false"/>
              </w:rPr>
              <w:t>8.3</w:t>
              <w:tab/>
              <w:t>Специальные требования</w:t>
              <w:tab/>
              <w:t>48</w:t>
            </w:r>
          </w:hyperlink>
        </w:p>
        <w:p>
          <w:pPr>
            <w:pStyle w:val="TOC2"/>
            <w:tabs>
              <w:tab w:val="clear" w:pos="9923"/>
              <w:tab w:val="left" w:pos="851" w:leader="none"/>
              <w:tab w:val="right" w:pos="9922" w:leader="dot"/>
            </w:tabs>
            <w:rPr/>
          </w:pPr>
          <w:hyperlink w:anchor="__RefHeading___Toc192589_1558056896">
            <w:r>
              <w:rPr>
                <w:webHidden/>
                <w:rStyle w:val="Style11"/>
                <w:vanish w:val="false"/>
              </w:rPr>
              <w:t>8.4</w:t>
              <w:tab/>
            </w:r>
          </w:hyperlink>
          <w:hyperlink w:anchor="__RefHeading___Toc192591_1558056896">
            <w:r>
              <w:rPr>
                <w:webHidden/>
                <w:rStyle w:val="Style11"/>
                <w:vanish w:val="false"/>
              </w:rPr>
              <w:t>Дополнительные требования к Генеральным подрядчикам</w:t>
              <w:tab/>
              <w:t>51</w:t>
            </w:r>
          </w:hyperlink>
        </w:p>
        <w:p>
          <w:pPr>
            <w:pStyle w:val="TOC1"/>
            <w:tabs>
              <w:tab w:val="clear" w:pos="9923"/>
              <w:tab w:val="left" w:pos="851" w:leader="none"/>
              <w:tab w:val="right" w:pos="9922" w:leader="dot"/>
            </w:tabs>
            <w:rPr/>
          </w:pPr>
          <w:hyperlink w:anchor="__RefHeading___Toc192593_1558056896">
            <w:r>
              <w:rPr>
                <w:webHidden/>
                <w:rStyle w:val="Style11"/>
                <w:vanish w:val="false"/>
              </w:rPr>
              <w:t>9.</w:t>
              <w:tab/>
              <w:t>Приложение № 4 – Образцы форм документов, включаемых в состав заявки</w:t>
              <w:tab/>
              <w:t>52</w:t>
            </w:r>
          </w:hyperlink>
        </w:p>
        <w:p>
          <w:pPr>
            <w:pStyle w:val="TOC2"/>
            <w:tabs>
              <w:tab w:val="clear" w:pos="9923"/>
              <w:tab w:val="left" w:pos="851" w:leader="none"/>
              <w:tab w:val="right" w:pos="9922" w:leader="dot"/>
            </w:tabs>
            <w:rPr/>
          </w:pPr>
          <w:hyperlink w:anchor="__RefHeading___Toc192595_1558056896">
            <w:r>
              <w:rPr>
                <w:webHidden/>
                <w:rStyle w:val="Style11"/>
                <w:vanish w:val="false"/>
              </w:rPr>
              <w:t>9.1</w:t>
              <w:tab/>
              <w:t>Пояснения к Образцам форм документов, включаемых в состав заявки</w:t>
              <w:tab/>
              <w:t>52</w:t>
            </w:r>
          </w:hyperlink>
        </w:p>
        <w:p>
          <w:pPr>
            <w:pStyle w:val="TOC1"/>
            <w:tabs>
              <w:tab w:val="clear" w:pos="9923"/>
              <w:tab w:val="left" w:pos="851" w:leader="none"/>
              <w:tab w:val="right" w:pos="9922" w:leader="dot"/>
            </w:tabs>
            <w:rPr/>
          </w:pPr>
          <w:hyperlink w:anchor="__RefHeading___Toc192597_1558056896">
            <w:r>
              <w:rPr>
                <w:webHidden/>
                <w:rStyle w:val="Style11"/>
                <w:vanish w:val="false"/>
              </w:rPr>
              <w:t>10.</w:t>
              <w:tab/>
              <w:t>Приложение № 5 – Образцы форм документов, предоставляемых Победителем</w:t>
              <w:tab/>
              <w:t>53</w:t>
            </w:r>
          </w:hyperlink>
        </w:p>
        <w:p>
          <w:pPr>
            <w:pStyle w:val="TOC2"/>
            <w:tabs>
              <w:tab w:val="clear" w:pos="9923"/>
              <w:tab w:val="left" w:pos="851" w:leader="none"/>
              <w:tab w:val="right" w:pos="9922" w:leader="dot"/>
            </w:tabs>
            <w:rPr/>
          </w:pPr>
          <w:hyperlink w:anchor="__RefHeading___Toc192599_1558056896">
            <w:r>
              <w:rPr>
                <w:webHidden/>
                <w:rStyle w:val="Style11"/>
                <w:vanish w:val="false"/>
              </w:rPr>
              <w:t>10.1</w:t>
              <w:tab/>
              <w:t>Пояснения к Образцам форм документов, предоставляемых Победителем</w:t>
              <w:tab/>
              <w:t>53</w:t>
            </w:r>
          </w:hyperlink>
        </w:p>
        <w:p>
          <w:pPr>
            <w:pStyle w:val="TOC2"/>
            <w:tabs>
              <w:tab w:val="clear" w:pos="9923"/>
              <w:tab w:val="left" w:pos="851" w:leader="none"/>
              <w:tab w:val="right" w:pos="9922" w:leader="dot"/>
            </w:tabs>
            <w:rPr/>
          </w:pPr>
          <w:hyperlink w:anchor="__RefHeading___Toc192601_1558056896">
            <w:r>
              <w:rPr>
                <w:webHidden/>
                <w:rStyle w:val="Style11"/>
                <w:vanish w:val="false"/>
              </w:rPr>
              <w:t>10.2</w:t>
              <w:tab/>
              <w:t>Форма справки «Сведения о цепочке собственников, включая бенефициаров (в том числе конечных)»</w:t>
              <w:tab/>
              <w:t>53</w:t>
            </w:r>
          </w:hyperlink>
        </w:p>
        <w:p>
          <w:pPr>
            <w:pStyle w:val="TOC2"/>
            <w:tabs>
              <w:tab w:val="clear" w:pos="9923"/>
              <w:tab w:val="left" w:pos="851" w:leader="none"/>
              <w:tab w:val="right" w:pos="9922" w:leader="dot"/>
            </w:tabs>
            <w:rPr/>
          </w:pPr>
          <w:hyperlink w:anchor="__RefHeading___Toc192603_1558056896">
            <w:r>
              <w:rPr>
                <w:webHidden/>
                <w:rStyle w:val="Style11"/>
                <w:vanish w:val="false"/>
              </w:rPr>
              <w:t>10.3</w:t>
              <w:tab/>
              <w:t>Форма «Заверение об обстоятельствах»</w:t>
              <w:tab/>
              <w:t>53</w:t>
            </w:r>
          </w:hyperlink>
        </w:p>
        <w:p>
          <w:pPr>
            <w:pStyle w:val="TOC1"/>
            <w:tabs>
              <w:tab w:val="clear" w:pos="9923"/>
              <w:tab w:val="left" w:pos="851" w:leader="none"/>
              <w:tab w:val="right" w:pos="9922" w:leader="dot"/>
            </w:tabs>
            <w:rPr/>
          </w:pPr>
          <w:hyperlink w:anchor="__RefHeading___Toc192605_1558056896">
            <w:r>
              <w:rPr>
                <w:webHidden/>
                <w:rStyle w:val="Style11"/>
                <w:vanish w:val="false"/>
              </w:rPr>
              <w:t>11.</w:t>
              <w:tab/>
              <w:t>Приложение № 6 – Состав заявки</w:t>
              <w:tab/>
              <w:t>54</w:t>
            </w:r>
          </w:hyperlink>
        </w:p>
        <w:p>
          <w:pPr>
            <w:pStyle w:val="TOC2"/>
            <w:tabs>
              <w:tab w:val="clear" w:pos="9923"/>
              <w:tab w:val="left" w:pos="851" w:leader="none"/>
              <w:tab w:val="right" w:pos="9922" w:leader="dot"/>
            </w:tabs>
            <w:rPr/>
          </w:pPr>
          <w:hyperlink w:anchor="__RefHeading___Toc192607_1558056896">
            <w:r>
              <w:rPr>
                <w:webHidden/>
                <w:rStyle w:val="Style11"/>
                <w:vanish w:val="false"/>
              </w:rPr>
              <w:t>11.1</w:t>
              <w:tab/>
              <w:t>Состав заявки</w:t>
              <w:tab/>
              <w:t>54</w:t>
            </w:r>
          </w:hyperlink>
        </w:p>
        <w:p>
          <w:pPr>
            <w:pStyle w:val="TOC1"/>
            <w:tabs>
              <w:tab w:val="clear" w:pos="9923"/>
              <w:tab w:val="left" w:pos="851" w:leader="none"/>
              <w:tab w:val="right" w:pos="9922" w:leader="dot"/>
            </w:tabs>
            <w:rPr/>
          </w:pPr>
          <w:hyperlink w:anchor="__RefHeading___Toc192609_1558056896">
            <w:r>
              <w:rPr>
                <w:webHidden/>
                <w:rStyle w:val="Style11"/>
                <w:vanish w:val="false"/>
              </w:rPr>
              <w:t>12.</w:t>
              <w:tab/>
              <w:t>Приложение № 7 – Отборочные критерии рассмотрения заявок</w:t>
              <w:tab/>
              <w:t>56</w:t>
            </w:r>
          </w:hyperlink>
        </w:p>
        <w:p>
          <w:pPr>
            <w:pStyle w:val="TOC2"/>
            <w:tabs>
              <w:tab w:val="clear" w:pos="9923"/>
              <w:tab w:val="left" w:pos="851" w:leader="none"/>
              <w:tab w:val="right" w:pos="9922" w:leader="dot"/>
            </w:tabs>
            <w:rPr/>
          </w:pPr>
          <w:hyperlink w:anchor="__RefHeading___Toc192611_1558056896">
            <w:r>
              <w:rPr>
                <w:webHidden/>
                <w:rStyle w:val="Style11"/>
                <w:vanish w:val="false"/>
              </w:rPr>
              <w:t>12.1</w:t>
              <w:tab/>
            </w:r>
            <w:r>
              <w:rPr>
                <w:rStyle w:val="Style11"/>
              </w:rPr>
              <w:t>Отборочные критерии рассмотрения первых частей заявок (первых частей заявок, содержащихся в окончательных предложениях)</w:t>
              <w:tab/>
              <w:t>56</w:t>
            </w:r>
          </w:hyperlink>
        </w:p>
        <w:p>
          <w:pPr>
            <w:pStyle w:val="TOC2"/>
            <w:tabs>
              <w:tab w:val="clear" w:pos="9923"/>
              <w:tab w:val="left" w:pos="851" w:leader="none"/>
              <w:tab w:val="right" w:pos="9922" w:leader="dot"/>
            </w:tabs>
            <w:rPr/>
          </w:pPr>
          <w:hyperlink w:anchor="__RefHeading___Toc192613_1558056896">
            <w:r>
              <w:rPr>
                <w:webHidden/>
                <w:rStyle w:val="Style11"/>
                <w:vanish w:val="false"/>
              </w:rPr>
              <w:t>12.2</w:t>
              <w:tab/>
            </w:r>
            <w:r>
              <w:rPr>
                <w:rStyle w:val="Style11"/>
              </w:rPr>
              <w:t>Отборочные критерии рассмотрения вторых частей заявок</w:t>
              <w:tab/>
              <w:t>57</w:t>
            </w:r>
          </w:hyperlink>
        </w:p>
        <w:p>
          <w:pPr>
            <w:pStyle w:val="TOC2"/>
            <w:tabs>
              <w:tab w:val="clear" w:pos="9923"/>
              <w:tab w:val="left" w:pos="851" w:leader="none"/>
              <w:tab w:val="right" w:pos="9922" w:leader="dot"/>
            </w:tabs>
            <w:rPr/>
          </w:pPr>
          <w:hyperlink w:anchor="__RefHeading___Toc192615_1558056896">
            <w:r>
              <w:rPr>
                <w:webHidden/>
                <w:rStyle w:val="Style11"/>
                <w:vanish w:val="false"/>
              </w:rPr>
              <w:t>12.3</w:t>
              <w:tab/>
            </w:r>
            <w:r>
              <w:rPr>
                <w:rStyle w:val="Style11"/>
              </w:rPr>
              <w:t>Отборочные критерии рассмотрения ценовых предложений (дополнительных ценовых предложений)</w:t>
              <w:tab/>
              <w:t>59</w:t>
            </w:r>
          </w:hyperlink>
        </w:p>
        <w:p>
          <w:pPr>
            <w:pStyle w:val="TOC2"/>
            <w:tabs>
              <w:tab w:val="clear" w:pos="9923"/>
              <w:tab w:val="left" w:pos="851" w:leader="none"/>
              <w:tab w:val="right" w:pos="9922" w:leader="dot"/>
            </w:tabs>
            <w:rPr/>
          </w:pPr>
          <w:hyperlink w:anchor="__RefHeading___Toc192617_1558056896">
            <w:r>
              <w:rPr>
                <w:webHidden/>
                <w:rStyle w:val="Style11"/>
                <w:vanish w:val="false"/>
              </w:rPr>
              <w:t>12.4</w:t>
              <w:tab/>
            </w:r>
            <w:r>
              <w:rPr>
                <w:rStyle w:val="Style11"/>
              </w:rPr>
              <w:t>Дополнительные критерии проверки заявок на соответствие условиям Документации о закупке</w:t>
              <w:tab/>
              <w:t>60</w:t>
            </w:r>
          </w:hyperlink>
        </w:p>
        <w:p>
          <w:pPr>
            <w:pStyle w:val="TOC1"/>
            <w:tabs>
              <w:tab w:val="clear" w:pos="9923"/>
              <w:tab w:val="left" w:pos="851" w:leader="none"/>
              <w:tab w:val="right" w:pos="9922" w:leader="dot"/>
            </w:tabs>
            <w:rPr/>
          </w:pPr>
          <w:hyperlink w:anchor="__RefHeading___Toc192619_1558056896">
            <w:r>
              <w:rPr>
                <w:webHidden/>
                <w:rStyle w:val="Style11"/>
                <w:vanish w:val="false"/>
              </w:rPr>
              <w:t>13.</w:t>
              <w:tab/>
              <w:t>Приложение № 8 – Порядок и критерии оценки и сопоставления заявок</w:t>
              <w:tab/>
              <w:t>62</w:t>
            </w:r>
          </w:hyperlink>
        </w:p>
        <w:p>
          <w:pPr>
            <w:pStyle w:val="TOC2"/>
            <w:tabs>
              <w:tab w:val="clear" w:pos="9923"/>
              <w:tab w:val="left" w:pos="851" w:leader="none"/>
              <w:tab w:val="right" w:pos="9922" w:leader="dot"/>
            </w:tabs>
            <w:rPr/>
          </w:pPr>
          <w:hyperlink w:anchor="__RefHeading___Toc192621_1558056896">
            <w:r>
              <w:rPr>
                <w:webHidden/>
                <w:rStyle w:val="Style11"/>
                <w:vanish w:val="false"/>
              </w:rPr>
              <w:t>13.1</w:t>
              <w:tab/>
              <w:t>Порядок и критерии оценки и сопоставления заявок</w:t>
              <w:tab/>
              <w:t>62</w:t>
            </w:r>
          </w:hyperlink>
        </w:p>
        <w:p>
          <w:pPr>
            <w:pStyle w:val="TOC1"/>
            <w:tabs>
              <w:tab w:val="clear" w:pos="9923"/>
              <w:tab w:val="left" w:pos="851" w:leader="none"/>
              <w:tab w:val="right" w:pos="9922" w:leader="dot"/>
            </w:tabs>
            <w:rPr/>
          </w:pPr>
          <w:hyperlink w:anchor="__RefHeading___Toc192623_1558056896">
            <w:r>
              <w:rPr>
                <w:webHidden/>
                <w:rStyle w:val="Style11"/>
                <w:vanish w:val="false"/>
              </w:rPr>
              <w:t>14.</w:t>
              <w:tab/>
              <w:t>Приложение № 9 – Обоснование НМЦ</w:t>
              <w:tab/>
              <w:t>68</w:t>
            </w:r>
          </w:hyperlink>
        </w:p>
        <w:p>
          <w:pPr>
            <w:pStyle w:val="TOC2"/>
            <w:tabs>
              <w:tab w:val="clear" w:pos="9923"/>
              <w:tab w:val="left" w:pos="851" w:leader="none"/>
              <w:tab w:val="right" w:pos="9922" w:leader="dot"/>
            </w:tabs>
            <w:rPr/>
          </w:pPr>
          <w:hyperlink w:anchor="__RefHeading___Toc192625_1558056896">
            <w:r>
              <w:rPr>
                <w:webHidden/>
                <w:rStyle w:val="Style11"/>
                <w:vanish w:val="false"/>
              </w:rPr>
              <w:t>14.1</w:t>
              <w:tab/>
              <w:t>Пояснения к Обоснованию НМЦ</w:t>
              <w:tab/>
              <w:t>68</w:t>
            </w:r>
          </w:hyperlink>
        </w:p>
        <w:p>
          <w:pPr>
            <w:pStyle w:val="TOC1"/>
            <w:tabs>
              <w:tab w:val="clear" w:pos="9923"/>
              <w:tab w:val="left" w:pos="851" w:leader="none"/>
              <w:tab w:val="right" w:pos="9922" w:leader="dot"/>
            </w:tabs>
            <w:rPr/>
          </w:pPr>
          <w:hyperlink w:anchor="__RefHeading___Toc192627_1558056896">
            <w:r>
              <w:rPr>
                <w:webHidden/>
                <w:rStyle w:val="Style11"/>
                <w:vanish w:val="false"/>
              </w:rPr>
              <w:t>15.</w:t>
              <w:tab/>
              <w:t>Приложение № 10 – Форма Заявки на аккредитацию</w:t>
              <w:tab/>
              <w:t>69</w:t>
            </w:r>
          </w:hyperlink>
        </w:p>
        <w:p>
          <w:pPr>
            <w:pStyle w:val="TOC2"/>
            <w:tabs>
              <w:tab w:val="clear" w:pos="9923"/>
              <w:tab w:val="left" w:pos="851" w:leader="none"/>
              <w:tab w:val="right" w:pos="9922" w:leader="dot"/>
            </w:tabs>
            <w:rPr/>
          </w:pPr>
          <w:hyperlink w:anchor="__RefHeading___Toc192629_1558056896">
            <w:r>
              <w:rPr>
                <w:webHidden/>
                <w:rStyle w:val="Style11"/>
                <w:vanish w:val="false"/>
              </w:rPr>
              <w:t>15.1</w:t>
              <w:tab/>
              <w:t>Пояснения к форме Заявки на аккредитацию</w:t>
              <w:tab/>
              <w:t>69</w:t>
            </w:r>
          </w:hyperlink>
          <w:r>
            <w:rPr>
              <w:rStyle w:val="Style11"/>
              <w:vanish w:val="false"/>
            </w:rPr>
            <w:fldChar w:fldCharType="end"/>
          </w:r>
        </w:p>
      </w:sdtContent>
    </w:sdt>
    <w:p>
      <w:pPr>
        <w:pStyle w:val="Style25"/>
        <w:rPr/>
      </w:pPr>
      <w:r>
        <w:rPr/>
      </w:r>
    </w:p>
    <w:p>
      <w:pPr>
        <w:pStyle w:val="Style25"/>
        <w:keepNext w:val="true"/>
        <w:spacing w:before="60" w:after="0"/>
        <w:rPr>
          <w:rStyle w:val="Style10"/>
        </w:rPr>
      </w:pPr>
      <w:r>
        <w:rPr/>
      </w:r>
    </w:p>
    <w:p>
      <w:pPr>
        <w:pStyle w:val="Style24"/>
        <w:numPr>
          <w:ilvl w:val="0"/>
          <w:numId w:val="0"/>
        </w:numPr>
        <w:ind w:left="0" w:hanging="0"/>
        <w:outlineLvl w:val="0"/>
        <w:rPr/>
      </w:pPr>
      <w:bookmarkStart w:id="0" w:name="__RefHeading___Toc192495_1558056896"/>
      <w:bookmarkStart w:id="1" w:name="_Toc186224110"/>
      <w:bookmarkEnd w:id="0"/>
      <w:r>
        <w:rPr/>
        <w:t>Сокращения</w:t>
      </w:r>
      <w:bookmarkEnd w:id="1"/>
    </w:p>
    <w:p>
      <w:pPr>
        <w:pStyle w:val="Style25"/>
        <w:ind w:firstLine="567"/>
        <w:rPr/>
      </w:pPr>
      <w:r>
        <w:rPr>
          <w:b/>
          <w:bCs/>
        </w:rPr>
        <w:t>ГК РФ</w:t>
      </w:r>
      <w:r>
        <w:rPr/>
        <w:t xml:space="preserve"> – Гражданской кодекс Российской Федерации.</w:t>
      </w:r>
    </w:p>
    <w:p>
      <w:pPr>
        <w:pStyle w:val="Style25"/>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5"/>
        <w:ind w:firstLine="567"/>
        <w:rPr/>
      </w:pPr>
      <w:r>
        <w:rPr>
          <w:b/>
          <w:bCs/>
        </w:rPr>
        <w:t>ЕГРИП</w:t>
      </w:r>
      <w:r>
        <w:rPr/>
        <w:t xml:space="preserve"> – Единый государственный реестр индивидуальных предпринимателей.</w:t>
      </w:r>
    </w:p>
    <w:p>
      <w:pPr>
        <w:pStyle w:val="Style25"/>
        <w:ind w:firstLine="567"/>
        <w:rPr/>
      </w:pPr>
      <w:r>
        <w:rPr>
          <w:b/>
          <w:bCs/>
        </w:rPr>
        <w:t>ЕГРЮЛ</w:t>
      </w:r>
      <w:r>
        <w:rPr/>
        <w:t xml:space="preserve"> – Единый государственный реестр юридических лиц.</w:t>
      </w:r>
    </w:p>
    <w:p>
      <w:pPr>
        <w:pStyle w:val="Style25"/>
        <w:ind w:firstLine="567"/>
        <w:rPr/>
      </w:pPr>
      <w:r>
        <w:rPr>
          <w:b/>
          <w:bCs/>
        </w:rPr>
        <w:t>ЕИС</w:t>
      </w:r>
      <w:r>
        <w:rPr/>
        <w:t xml:space="preserve"> – Единая информационная система в сфере закупок.</w:t>
      </w:r>
    </w:p>
    <w:p>
      <w:pPr>
        <w:pStyle w:val="Style25"/>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25"/>
        <w:ind w:firstLine="567"/>
        <w:rPr/>
      </w:pPr>
      <w:r>
        <w:rPr>
          <w:b/>
          <w:bCs/>
        </w:rPr>
        <w:t>Закон 98-ФЗ</w:t>
      </w:r>
      <w:r>
        <w:rPr/>
        <w:t xml:space="preserve"> – Федеральный закон от 29 июля 2004 года № 98-ФЗ «О коммерческой тайне».</w:t>
      </w:r>
    </w:p>
    <w:p>
      <w:pPr>
        <w:pStyle w:val="Style25"/>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5"/>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5"/>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5"/>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5"/>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5"/>
        <w:ind w:firstLine="567"/>
        <w:rPr/>
      </w:pPr>
      <w:r>
        <w:rPr>
          <w:b/>
          <w:bCs/>
        </w:rPr>
        <w:t>Извещение</w:t>
      </w:r>
      <w:r>
        <w:rPr/>
        <w:t xml:space="preserve"> – извещение о проведении настоящей закупки.</w:t>
      </w:r>
    </w:p>
    <w:p>
      <w:pPr>
        <w:pStyle w:val="Style25"/>
        <w:ind w:firstLine="567"/>
        <w:rPr/>
      </w:pPr>
      <w:r>
        <w:rPr>
          <w:b/>
          <w:bCs/>
        </w:rPr>
        <w:t>ИНН</w:t>
      </w:r>
      <w:r>
        <w:rPr/>
        <w:t xml:space="preserve"> – идентификационный номер налогоплательщика.</w:t>
      </w:r>
    </w:p>
    <w:p>
      <w:pPr>
        <w:pStyle w:val="Style25"/>
        <w:ind w:firstLine="567"/>
        <w:rPr/>
      </w:pPr>
      <w:r>
        <w:rPr>
          <w:b/>
          <w:bCs/>
        </w:rPr>
        <w:t>ИФНС</w:t>
      </w:r>
      <w:r>
        <w:rPr/>
        <w:t xml:space="preserve"> – инспекция Федеральной налоговой службы Российской Федерации.</w:t>
      </w:r>
    </w:p>
    <w:p>
      <w:pPr>
        <w:pStyle w:val="Style25"/>
        <w:ind w:firstLine="567"/>
        <w:rPr/>
      </w:pPr>
      <w:r>
        <w:rPr>
          <w:b/>
          <w:bCs/>
        </w:rPr>
        <w:t>МТР</w:t>
      </w:r>
      <w:r>
        <w:rPr/>
        <w:t xml:space="preserve"> – материально-технические ресурсы.</w:t>
      </w:r>
    </w:p>
    <w:p>
      <w:pPr>
        <w:pStyle w:val="Style25"/>
        <w:ind w:firstLine="567"/>
        <w:rPr/>
      </w:pPr>
      <w:r>
        <w:rPr>
          <w:b/>
          <w:bCs/>
        </w:rPr>
        <w:t>НДС</w:t>
      </w:r>
      <w:r>
        <w:rPr/>
        <w:t xml:space="preserve"> – налог на добавленную стоимость.</w:t>
      </w:r>
    </w:p>
    <w:p>
      <w:pPr>
        <w:pStyle w:val="Style25"/>
        <w:ind w:firstLine="567"/>
        <w:rPr/>
      </w:pPr>
      <w:r>
        <w:rPr>
          <w:b/>
          <w:bCs/>
        </w:rPr>
        <w:t>НМЦ</w:t>
      </w:r>
      <w:r>
        <w:rPr/>
        <w:t xml:space="preserve"> – начальная (максимальная) цена договора.</w:t>
      </w:r>
    </w:p>
    <w:p>
      <w:pPr>
        <w:pStyle w:val="Style25"/>
        <w:ind w:firstLine="567"/>
        <w:rPr/>
      </w:pPr>
      <w:r>
        <w:rPr>
          <w:b/>
          <w:bCs/>
        </w:rPr>
        <w:t>Оператор ЭП</w:t>
      </w:r>
      <w:r>
        <w:rPr/>
        <w:t xml:space="preserve"> – оператор электронной площадки.</w:t>
      </w:r>
    </w:p>
    <w:p>
      <w:pPr>
        <w:pStyle w:val="Style25"/>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5"/>
        <w:ind w:firstLine="567"/>
        <w:rPr/>
      </w:pPr>
      <w:r>
        <w:rPr>
          <w:b/>
          <w:bCs/>
        </w:rPr>
        <w:t>Положение о закупке</w:t>
      </w:r>
      <w:r>
        <w:rPr/>
        <w:t xml:space="preserve"> – Единое Положение о закупке продукции для нужд Группы РусГидро.</w:t>
      </w:r>
    </w:p>
    <w:p>
      <w:pPr>
        <w:pStyle w:val="Style25"/>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5"/>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5"/>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5"/>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5"/>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5"/>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5"/>
        <w:ind w:firstLine="567"/>
        <w:rPr/>
      </w:pPr>
      <w:r>
        <w:rPr>
          <w:b/>
          <w:bCs/>
        </w:rPr>
        <w:t>Субъект МСП</w:t>
      </w:r>
      <w:r>
        <w:rPr/>
        <w:t xml:space="preserve"> – субъект малого и среднего предпринимательства.</w:t>
      </w:r>
    </w:p>
    <w:p>
      <w:pPr>
        <w:pStyle w:val="Style25"/>
        <w:ind w:firstLine="567"/>
        <w:rPr/>
      </w:pPr>
      <w:r>
        <w:rPr>
          <w:b/>
          <w:bCs/>
        </w:rPr>
        <w:t>ЭП</w:t>
      </w:r>
      <w:r>
        <w:rPr/>
        <w:t xml:space="preserve"> – электронная площадка.</w:t>
      </w:r>
    </w:p>
    <w:p>
      <w:pPr>
        <w:pStyle w:val="Style24"/>
        <w:numPr>
          <w:ilvl w:val="0"/>
          <w:numId w:val="0"/>
        </w:numPr>
        <w:ind w:left="0" w:hanging="0"/>
        <w:outlineLvl w:val="0"/>
        <w:rPr/>
      </w:pPr>
      <w:bookmarkStart w:id="2" w:name="__RefHeading___Toc192497_1558056896"/>
      <w:bookmarkStart w:id="3" w:name="_Toc186224111"/>
      <w:bookmarkEnd w:id="2"/>
      <w:r>
        <w:rPr/>
        <w:t>Термины и определения</w:t>
      </w:r>
      <w:bookmarkEnd w:id="3"/>
    </w:p>
    <w:p>
      <w:pPr>
        <w:pStyle w:val="Style25"/>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5"/>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5"/>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5"/>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5"/>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5"/>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5"/>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5"/>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5"/>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5"/>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5"/>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5"/>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5"/>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5"/>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5"/>
        <w:ind w:firstLine="567"/>
        <w:rPr/>
      </w:pPr>
      <w:r>
        <w:rPr/>
      </w:r>
    </w:p>
    <w:p>
      <w:pPr>
        <w:pStyle w:val="Style25"/>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5"/>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5"/>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5"/>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25"/>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5"/>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5"/>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keepNext w:val="true"/>
        <w:rPr>
          <w:shd w:fill="DDDDDD" w:val="clear"/>
        </w:rPr>
      </w:pPr>
      <w:r>
        <w:rPr>
          <w:shd w:fill="DDDDDD" w:val="clear"/>
        </w:rPr>
        <w:t>(Если условиями закупки предусмотрен дополнительный этап закупки – Переторжка):]</w:t>
      </w:r>
    </w:p>
    <w:p>
      <w:pPr>
        <w:pStyle w:val="Style25"/>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ценовых предложений с целью повысить их предпочтительность для Заказчика.</w:t>
      </w:r>
    </w:p>
    <w:p>
      <w:pPr>
        <w:pStyle w:val="Style25"/>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5"/>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5"/>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5"/>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5"/>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5"/>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5"/>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5"/>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5"/>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5"/>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5"/>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5"/>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19"/>
        <w:rPr/>
      </w:pPr>
      <w:bookmarkStart w:id="5" w:name="__RefHeading___Toc192499_1558056896"/>
      <w:bookmarkStart w:id="6" w:name="_Ref125359988"/>
      <w:bookmarkStart w:id="7" w:name="_Toc186224112"/>
      <w:bookmarkEnd w:id="5"/>
      <w:r>
        <w:rPr/>
        <w:t>Основные сведения о закупке</w:t>
      </w:r>
      <w:bookmarkEnd w:id="6"/>
      <w:bookmarkEnd w:id="7"/>
    </w:p>
    <w:p>
      <w:pPr>
        <w:pStyle w:val="Style20"/>
        <w:rPr/>
      </w:pPr>
      <w:bookmarkStart w:id="8" w:name="__RefHeading___Toc192501_1558056896"/>
      <w:bookmarkStart w:id="9" w:name="_Toc186224113"/>
      <w:bookmarkEnd w:id="8"/>
      <w:r>
        <w:rPr/>
        <w:t>Статус настоящего раздела</w:t>
      </w:r>
      <w:bookmarkEnd w:id="9"/>
    </w:p>
    <w:p>
      <w:pPr>
        <w:pStyle w:val="Style21"/>
        <w:rPr/>
      </w:pPr>
      <w:r>
        <w:rPr/>
        <w:t>В настоящем разделе содержатся основные сведения о предмете, способе и иных ключевых условиях проводимой закупки.</w:t>
      </w:r>
    </w:p>
    <w:p>
      <w:pPr>
        <w:pStyle w:val="Style21"/>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7"/>
          </w:rPr>
          <w:t>Технических требованиях (Приложение № 1)</w:t>
        </w:r>
      </w:hyperlink>
      <w:r>
        <w:rPr>
          <w:rStyle w:val="Style7"/>
        </w:rPr>
        <w:t>,</w:t>
      </w:r>
      <w:r>
        <w:rPr/>
        <w:t xml:space="preserve"> в </w:t>
      </w:r>
      <w:hyperlink w:anchor="Прил02_ПроектДоговора">
        <w:r>
          <w:rPr>
            <w:rStyle w:val="Style7"/>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1"/>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0"/>
        <w:spacing w:before="360" w:after="120"/>
        <w:rPr/>
      </w:pPr>
      <w:bookmarkStart w:id="10" w:name="__RefHeading___Toc192503_1558056896"/>
      <w:bookmarkStart w:id="11" w:name="_Ref127270076"/>
      <w:bookmarkStart w:id="12" w:name="_Ref125359973"/>
      <w:bookmarkStart w:id="13" w:name="_Toc186224114"/>
      <w:bookmarkStart w:id="14" w:name="_Ref132876309"/>
      <w:bookmarkEnd w:id="10"/>
      <w:r>
        <w:rPr/>
        <w:t>Информация о проводимой закупке</w:t>
      </w:r>
      <w:bookmarkEnd w:id="11"/>
      <w:bookmarkEnd w:id="12"/>
      <w:bookmarkEnd w:id="13"/>
      <w:bookmarkEnd w:id="14"/>
    </w:p>
    <w:tbl>
      <w:tblPr>
        <w:tblStyle w:val="afff3"/>
        <w:tblW w:w="9918"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18"/>
        <w:gridCol w:w="2954"/>
        <w:gridCol w:w="5846"/>
      </w:tblGrid>
      <w:tr>
        <w:trPr>
          <w:cnfStyle w:val="100000000000" w:firstRow="1" w:lastRow="0" w:firstColumn="0" w:lastColumn="0" w:oddVBand="0" w:evenVBand="0" w:oddHBand="0" w:evenHBand="0" w:firstRowFirstColumn="0" w:firstRowLastColumn="0" w:lastRowFirstColumn="0" w:lastRowLastColumn="0"/>
        </w:trPr>
        <w:tc>
          <w:tcPr>
            <w:tcW w:w="1118"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54" w:type="dxa"/>
            <w:tcBorders/>
          </w:tcPr>
          <w:p>
            <w:pPr>
              <w:pStyle w:val="Style25"/>
              <w:keepNext w:val="true"/>
              <w:widowControl w:val="false"/>
              <w:suppressAutoHyphens w:val="true"/>
              <w:spacing w:before="60" w:after="60"/>
              <w:jc w:val="center"/>
              <w:rPr>
                <w:sz w:val="24"/>
                <w:szCs w:val="24"/>
              </w:rPr>
            </w:pPr>
            <w:r>
              <w:rPr>
                <w:rFonts w:eastAsia="Calibri" w:cs=""/>
                <w:b/>
                <w:kern w:val="0"/>
                <w:sz w:val="24"/>
                <w:szCs w:val="24"/>
                <w:lang w:val="ru-RU" w:eastAsia="en-US" w:bidi="ar-SA"/>
              </w:rPr>
              <w:t>Наименование пункта</w:t>
            </w:r>
          </w:p>
        </w:tc>
        <w:tc>
          <w:tcPr>
            <w:tcW w:w="5846" w:type="dxa"/>
            <w:tcBorders/>
          </w:tcPr>
          <w:p>
            <w:pPr>
              <w:pStyle w:val="Style25"/>
              <w:keepNext w:val="true"/>
              <w:widowControl w:val="false"/>
              <w:suppressAutoHyphens w:val="true"/>
              <w:spacing w:before="60" w:after="60"/>
              <w:jc w:val="center"/>
              <w:rPr>
                <w:sz w:val="24"/>
                <w:szCs w:val="24"/>
              </w:rPr>
            </w:pPr>
            <w:r>
              <w:rPr>
                <w:rFonts w:eastAsia="Calibri" w:cs=""/>
                <w:b/>
                <w:kern w:val="0"/>
                <w:sz w:val="24"/>
                <w:szCs w:val="24"/>
                <w:lang w:val="ru-RU" w:eastAsia="en-US" w:bidi="ar-SA"/>
              </w:rPr>
              <w:t>Содержание пункта</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15" w:name="_Ref125360980"/>
            <w:bookmarkStart w:id="16" w:name="_Ref125360980"/>
            <w:bookmarkEnd w:id="16"/>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Способ закупки: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Конкурс в электронной форме, участниками которого могут быть только субъекты МСП.</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17" w:name="_Ref125360996"/>
            <w:bookmarkStart w:id="18" w:name="_Ref125360996"/>
            <w:bookmarkEnd w:id="18"/>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Предмет Договора</w:t>
              <w:br/>
              <w:t>(в том числе номер лота):</w:t>
            </w:r>
          </w:p>
        </w:tc>
        <w:tc>
          <w:tcPr>
            <w:tcW w:w="5846" w:type="dxa"/>
            <w:tcBorders/>
          </w:tcPr>
          <w:p>
            <w:pPr>
              <w:pStyle w:val="Style25"/>
              <w:widowControl w:val="false"/>
              <w:suppressAutoHyphens w:val="true"/>
              <w:spacing w:before="60" w:after="60"/>
              <w:rPr/>
            </w:pPr>
            <w:r>
              <w:rPr>
                <w:rStyle w:val="Style4"/>
                <w:rFonts w:eastAsia="Calibri" w:cs=""/>
                <w:b/>
                <w:bCs/>
                <w:kern w:val="0"/>
                <w:sz w:val="24"/>
                <w:szCs w:val="24"/>
                <w:shd w:fill="auto" w:val="clear"/>
                <w:lang w:val="ru-RU" w:eastAsia="en-US" w:bidi="ar-SA"/>
              </w:rPr>
              <w:t>Лот №</w:t>
            </w:r>
            <w:r>
              <w:rPr>
                <w:rStyle w:val="Style4"/>
                <w:rFonts w:eastAsia="Times New Roman" w:cs="Times New Roman"/>
                <w:b/>
                <w:bCs/>
                <w:i/>
                <w:color w:val="000000"/>
                <w:kern w:val="0"/>
                <w:sz w:val="24"/>
                <w:szCs w:val="24"/>
                <w:shd w:fill="auto" w:val="clear"/>
                <w:lang w:val="ru-RU" w:eastAsia="en-US" w:bidi="ar-SA"/>
              </w:rPr>
              <w:t>309101-ТПИР ОБСЛ-2026-ДРСК-ПЭС</w:t>
            </w:r>
            <w:r>
              <w:rPr>
                <w:rStyle w:val="Style4"/>
                <w:rFonts w:eastAsia="Calibri" w:cs=""/>
                <w:b/>
                <w:bCs/>
                <w:kern w:val="0"/>
                <w:sz w:val="24"/>
                <w:szCs w:val="24"/>
                <w:shd w:fill="auto" w:val="clear"/>
                <w:lang w:val="ru-RU" w:eastAsia="en-US" w:bidi="ar-SA"/>
              </w:rPr>
              <w:t xml:space="preserve"> </w:t>
            </w:r>
            <w:r>
              <w:rPr>
                <w:rStyle w:val="Style4"/>
                <w:rFonts w:eastAsia="Calibri" w:cs=""/>
                <w:b/>
                <w:bCs/>
                <w:i/>
                <w:kern w:val="0"/>
                <w:sz w:val="22"/>
                <w:szCs w:val="22"/>
                <w:shd w:fill="auto" w:val="clear"/>
                <w:lang w:val="ru-RU" w:eastAsia="en-US" w:bidi="ar-SA"/>
              </w:rPr>
              <w:t>О</w:t>
            </w:r>
            <w:r>
              <w:rPr>
                <w:rStyle w:val="Style4"/>
                <w:rFonts w:eastAsia="Calibri" w:cs=""/>
                <w:b/>
                <w:bCs/>
                <w:i/>
                <w:kern w:val="0"/>
                <w:sz w:val="24"/>
                <w:szCs w:val="24"/>
                <w:shd w:fill="auto" w:val="clear"/>
                <w:lang w:val="ru-RU" w:eastAsia="en-US" w:bidi="ar-SA"/>
              </w:rPr>
              <w:t>КПД2 42.22.22.120. Реконструкция ВЛ 0,4-110 кВ на территории СП «Приморские  центральные электрические сети», СП «Приморские северные электрические сети»,  СП «Приморские южные электрические сети» расширение просеки в рамках инвестиционного проекта L_25-ПЭС-1708</w:t>
            </w:r>
          </w:p>
        </w:tc>
      </w:tr>
      <w:tr>
        <w:trPr/>
        <w:tc>
          <w:tcPr>
            <w:tcW w:w="1118" w:type="dxa"/>
            <w:tcBorders/>
          </w:tcPr>
          <w:p>
            <w:pPr>
              <w:pStyle w:val="Style21"/>
              <w:widowControl w:val="false"/>
              <w:suppressAutoHyphens w:val="true"/>
              <w:spacing w:before="60" w:after="60"/>
              <w:rPr>
                <w:rFonts w:eastAsia="Calibri"/>
              </w:rPr>
            </w:pPr>
            <w:r>
              <w:rPr>
                <w:rFonts w:eastAsia="Calibri"/>
              </w:rPr>
            </w:r>
          </w:p>
        </w:tc>
        <w:tc>
          <w:tcPr>
            <w:tcW w:w="2954"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Описание</w:t>
              <w:br/>
              <w:t>предмета закупки:</w:t>
            </w:r>
          </w:p>
        </w:tc>
        <w:tc>
          <w:tcPr>
            <w:tcW w:w="5846" w:type="dxa"/>
            <w:tcBorders/>
          </w:tcPr>
          <w:p>
            <w:pPr>
              <w:pStyle w:val="Style25"/>
              <w:widowControl w:val="false"/>
              <w:suppressAutoHyphens w:val="true"/>
              <w:spacing w:before="60" w:after="60"/>
              <w:rPr/>
            </w:pPr>
            <w:r>
              <w:rPr>
                <w:rFonts w:eastAsia="Calibri" w:cs=""/>
                <w:kern w:val="0"/>
                <w:sz w:val="24"/>
                <w:szCs w:val="24"/>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7"/>
                  <w:rFonts w:eastAsia="Calibri" w:cs=""/>
                  <w:kern w:val="0"/>
                  <w:sz w:val="24"/>
                  <w:szCs w:val="24"/>
                  <w:lang w:val="ru-RU" w:eastAsia="en-US" w:bidi="ar-SA"/>
                </w:rPr>
                <w:t>Технических требованиях (Приложении № 1)</w:t>
              </w:r>
            </w:hyperlink>
            <w:r>
              <w:rPr>
                <w:rFonts w:eastAsia="Calibri" w:cs=""/>
                <w:kern w:val="0"/>
                <w:sz w:val="24"/>
                <w:szCs w:val="24"/>
                <w:lang w:val="ru-RU" w:eastAsia="en-US" w:bidi="ar-SA"/>
              </w:rPr>
              <w:t>.</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19" w:name="_Ref125367124"/>
            <w:bookmarkStart w:id="20" w:name="_Ref125367124"/>
            <w:bookmarkEnd w:id="20"/>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Многолотовая закупка: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Нет</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21" w:name="_Ref125360764"/>
            <w:bookmarkStart w:id="22" w:name="_Ref125360764"/>
            <w:bookmarkEnd w:id="22"/>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Наименование и адрес ЭП, на которой проводится закупка:</w:t>
            </w:r>
          </w:p>
        </w:tc>
        <w:tc>
          <w:tcPr>
            <w:tcW w:w="5846" w:type="dxa"/>
            <w:tcBorders/>
          </w:tcPr>
          <w:p>
            <w:pPr>
              <w:pStyle w:val="Normal"/>
              <w:widowControl w:val="false"/>
              <w:suppressAutoHyphens w:val="true"/>
              <w:spacing w:before="0" w:after="60"/>
              <w:jc w:val="left"/>
              <w:rPr/>
            </w:pPr>
            <w:r>
              <w:rPr>
                <w:rFonts w:eastAsia="Calibri" w:cs=""/>
                <w:kern w:val="0"/>
                <w:sz w:val="24"/>
                <w:szCs w:val="24"/>
                <w:lang w:val="ru-RU" w:eastAsia="en-US" w:bidi="ar-SA"/>
              </w:rPr>
              <w:t xml:space="preserve">Электронная (торговая) площадка: </w:t>
            </w:r>
            <w:hyperlink r:id="rId3">
              <w:r>
                <w:rPr>
                  <w:rFonts w:eastAsia="Calibri" w:cs=""/>
                  <w:kern w:val="0"/>
                  <w:sz w:val="24"/>
                  <w:szCs w:val="24"/>
                  <w:lang w:val="ru-RU" w:eastAsia="en-US" w:bidi="ar-SA"/>
                </w:rPr>
                <w:t>https://tender.lot-online.ru</w:t>
              </w:r>
            </w:hyperlink>
            <w:r>
              <w:rPr>
                <w:rFonts w:eastAsia="Calibri" w:cs=""/>
                <w:kern w:val="0"/>
                <w:sz w:val="24"/>
                <w:szCs w:val="24"/>
                <w:lang w:val="ru-RU" w:eastAsia="en-US" w:bidi="ar-SA"/>
              </w:rPr>
              <w:t>.</w:t>
            </w:r>
          </w:p>
          <w:p>
            <w:pPr>
              <w:pStyle w:val="Normal"/>
              <w:widowControl w:val="false"/>
              <w:suppressAutoHyphens w:val="true"/>
              <w:spacing w:before="0" w:after="60"/>
              <w:ind w:left="38" w:hanging="0"/>
              <w:jc w:val="left"/>
              <w:rPr/>
            </w:pPr>
            <w:r>
              <w:rPr>
                <w:rStyle w:val="Style4"/>
                <w:rFonts w:eastAsia="Calibri" w:cs=""/>
                <w:i w:val="false"/>
                <w:iCs w:val="false"/>
                <w:kern w:val="0"/>
                <w:sz w:val="24"/>
                <w:szCs w:val="24"/>
                <w:shd w:fill="auto" w:val="clear"/>
                <w:lang w:val="ru-RU" w:eastAsia="en-US" w:bidi="ar-SA"/>
              </w:rPr>
              <w:t xml:space="preserve">Регламент ЭТП, в соответствии с которым проводится закупка, размещен по адресу: </w:t>
            </w:r>
            <w:hyperlink r:id="rId4" w:tgtFrame="https://tender.lot-online.ru/app/EtpDocList/page">
              <w:r>
                <w:rPr>
                  <w:rFonts w:eastAsia="Calibri" w:cs=""/>
                  <w:kern w:val="0"/>
                  <w:sz w:val="24"/>
                  <w:szCs w:val="24"/>
                  <w:lang w:val="ru-RU" w:eastAsia="en-US" w:bidi="ar-SA"/>
                </w:rPr>
                <w:t>https://tender.lot-online.ru/app/EtpDocList/page</w:t>
              </w:r>
            </w:hyperlink>
          </w:p>
        </w:tc>
      </w:tr>
      <w:tr>
        <w:trPr/>
        <w:tc>
          <w:tcPr>
            <w:tcW w:w="1118" w:type="dxa"/>
            <w:tcBorders/>
          </w:tcPr>
          <w:p>
            <w:pPr>
              <w:pStyle w:val="Style21"/>
              <w:widowControl w:val="false"/>
              <w:suppressAutoHyphens w:val="true"/>
              <w:spacing w:before="60" w:after="60"/>
              <w:rPr>
                <w:rFonts w:eastAsia="Calibri"/>
              </w:rPr>
            </w:pPr>
            <w:r>
              <w:rPr>
                <w:rFonts w:eastAsia="Calibri"/>
              </w:rPr>
            </w:r>
            <w:bookmarkStart w:id="23" w:name="_Ref125360970"/>
            <w:bookmarkStart w:id="24" w:name="_Ref125360970"/>
            <w:bookmarkEnd w:id="24"/>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Участники: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5"/>
              <w:widowControl w:val="false"/>
              <w:suppressAutoHyphens w:val="true"/>
              <w:spacing w:before="60" w:after="60"/>
              <w:rPr/>
            </w:pPr>
            <w:r>
              <w:rPr>
                <w:rFonts w:eastAsia="Calibri" w:cs=""/>
                <w:kern w:val="0"/>
                <w:sz w:val="24"/>
                <w:szCs w:val="24"/>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7"/>
                  <w:rFonts w:eastAsia="Calibri" w:cs=""/>
                  <w:kern w:val="0"/>
                  <w:sz w:val="24"/>
                  <w:szCs w:val="24"/>
                  <w:lang w:val="ru-RU" w:eastAsia="en-US" w:bidi="ar-SA"/>
                </w:rPr>
                <w:t>Проекта Договора (Приложение № 2)</w:t>
              </w:r>
            </w:hyperlink>
            <w:r>
              <w:rPr>
                <w:rFonts w:eastAsia="Calibri" w:cs=""/>
                <w:kern w:val="0"/>
                <w:sz w:val="24"/>
                <w:szCs w:val="24"/>
                <w:lang w:val="ru-RU" w:eastAsia="en-US" w:bidi="ar-SA"/>
              </w:rPr>
              <w:t xml:space="preserve"> прямого запрета на привлечение к исполнению обязательств по Договору третьих лиц).</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25" w:name="_Ref125360988"/>
            <w:bookmarkStart w:id="26" w:name="_Ref125360988"/>
            <w:bookmarkEnd w:id="26"/>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Заказчик:</w:t>
            </w:r>
          </w:p>
        </w:tc>
        <w:tc>
          <w:tcPr>
            <w:tcW w:w="5846"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2"/>
                <w:b/>
              </w:rPr>
            </w:pPr>
            <w:r>
              <w:rPr>
                <w:rStyle w:val="Style12"/>
                <w:b/>
                <w:i w:val="false"/>
                <w:sz w:val="24"/>
                <w:szCs w:val="26"/>
                <w:shd w:fill="auto" w:val="clear"/>
              </w:rPr>
              <w:t xml:space="preserve">Контактный телефон: </w:t>
            </w:r>
            <w:r>
              <w:rPr>
                <w:rStyle w:val="Style4"/>
                <w:b w:val="false"/>
                <w:i w:val="false"/>
                <w:iCs w:val="false"/>
                <w:sz w:val="24"/>
                <w:szCs w:val="26"/>
                <w:shd w:fill="auto" w:val="clear"/>
                <w:lang w:val="ru-RU"/>
              </w:rPr>
              <w:t>8 (4162) 327-284</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27" w:name="_Ref125360954"/>
            <w:bookmarkStart w:id="28" w:name="_Ref125360954"/>
            <w:bookmarkEnd w:id="28"/>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Организатор:</w:t>
            </w:r>
          </w:p>
        </w:tc>
        <w:tc>
          <w:tcPr>
            <w:tcW w:w="5846"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2"/>
                <w:b/>
              </w:rPr>
            </w:pPr>
            <w:r>
              <w:rPr>
                <w:rStyle w:val="Style12"/>
                <w:b/>
                <w:sz w:val="24"/>
                <w:shd w:fill="auto" w:val="clear"/>
              </w:rPr>
              <w:t xml:space="preserve">Контактный телефон: </w:t>
            </w:r>
            <w:r>
              <w:rPr>
                <w:rStyle w:val="Style4"/>
                <w:b w:val="false"/>
                <w:i w:val="false"/>
                <w:iCs w:val="false"/>
                <w:sz w:val="24"/>
                <w:shd w:fill="auto" w:val="clear"/>
                <w:lang w:val="ru-RU"/>
              </w:rPr>
              <w:t>8 (4162) 327-284</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29" w:name="_Ref125361238"/>
            <w:bookmarkStart w:id="30" w:name="_Ref125361238"/>
            <w:bookmarkEnd w:id="30"/>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Представитель Организатора:</w:t>
            </w:r>
          </w:p>
        </w:tc>
        <w:tc>
          <w:tcPr>
            <w:tcW w:w="5846" w:type="dxa"/>
            <w:tcBorders/>
          </w:tcPr>
          <w:p>
            <w:pPr>
              <w:pStyle w:val="Style25"/>
              <w:widowControl w:val="false"/>
              <w:suppressAutoHyphens w:val="true"/>
              <w:spacing w:before="60" w:after="60"/>
              <w:rPr>
                <w:rStyle w:val="Style4"/>
                <w:rFonts w:ascii="Times New Roman" w:hAnsi="Times New Roman" w:eastAsia="Calibri" w:cs=""/>
                <w:kern w:val="0"/>
                <w:sz w:val="26"/>
                <w:szCs w:val="22"/>
                <w:lang w:val="ru-RU" w:eastAsia="en-US" w:bidi="ar-SA"/>
              </w:rPr>
            </w:pPr>
            <w:r>
              <w:rPr>
                <w:rStyle w:val="Style4"/>
                <w:b w:val="false"/>
                <w:i w:val="false"/>
                <w:iCs w:val="false"/>
                <w:sz w:val="24"/>
                <w:shd w:fill="auto" w:val="clear"/>
                <w:lang w:val="ru-RU"/>
              </w:rPr>
              <w:t>Контактное лицо: Щербакова Татьяна Викторовна Контактный телефон: 8 (4162) 327-284</w:t>
            </w:r>
          </w:p>
          <w:p>
            <w:pPr>
              <w:pStyle w:val="Style25"/>
              <w:widowControl w:val="false"/>
              <w:suppressAutoHyphens w:val="true"/>
              <w:spacing w:before="60" w:after="60"/>
              <w:rPr>
                <w:rStyle w:val="Style4"/>
              </w:rPr>
            </w:pPr>
            <w:r>
              <w:rPr>
                <w:rStyle w:val="Style4"/>
                <w:i w:val="false"/>
                <w:iCs w:val="false"/>
                <w:sz w:val="24"/>
                <w:shd w:fill="auto" w:val="clear"/>
              </w:rPr>
              <w:t xml:space="preserve">Адрес электронной почты: </w:t>
            </w:r>
            <w:hyperlink r:id="rId5">
              <w:r>
                <w:rPr>
                  <w:rStyle w:val="Hyperlink"/>
                  <w:rFonts w:eastAsia="Calibri" w:cs=""/>
                  <w:i w:val="false"/>
                  <w:iCs w:val="false"/>
                  <w:color w:val="000000"/>
                  <w:kern w:val="0"/>
                  <w:sz w:val="24"/>
                  <w:szCs w:val="22"/>
                  <w:shd w:fill="auto" w:val="clear"/>
                  <w:lang w:val="ru-RU" w:eastAsia="en-US" w:bidi="ar-SA"/>
                </w:rPr>
                <w:t>sherbakova-tv@drsk.ru</w:t>
              </w:r>
            </w:hyperlink>
          </w:p>
        </w:tc>
      </w:tr>
      <w:tr>
        <w:trPr/>
        <w:tc>
          <w:tcPr>
            <w:tcW w:w="1118" w:type="dxa"/>
            <w:tcBorders/>
          </w:tcPr>
          <w:p>
            <w:pPr>
              <w:pStyle w:val="Style21"/>
              <w:widowControl w:val="false"/>
              <w:suppressAutoHyphens w:val="true"/>
              <w:spacing w:before="60" w:after="60"/>
              <w:rPr>
                <w:rFonts w:eastAsia="Calibri"/>
              </w:rPr>
            </w:pPr>
            <w:r>
              <w:rPr>
                <w:rFonts w:eastAsia="Calibri"/>
              </w:rPr>
            </w:r>
            <w:bookmarkStart w:id="31" w:name="_Ref125362694"/>
            <w:bookmarkStart w:id="32" w:name="_Ref125362694"/>
            <w:bookmarkEnd w:id="32"/>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5"/>
              <w:widowControl w:val="false"/>
              <w:suppressAutoHyphens w:val="true"/>
              <w:spacing w:before="60" w:after="60"/>
              <w:rPr>
                <w:sz w:val="24"/>
                <w:szCs w:val="24"/>
              </w:rPr>
            </w:pPr>
            <w:r>
              <w:rPr>
                <w:rFonts w:eastAsia="Calibri" w:cs=""/>
                <w:kern w:val="0"/>
                <w:sz w:val="24"/>
                <w:szCs w:val="24"/>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33" w:name="_Ref125360963"/>
            <w:bookmarkStart w:id="34" w:name="_Ref125360963"/>
            <w:bookmarkEnd w:id="34"/>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размещения Извещения о проведении закупки:</w:t>
            </w:r>
          </w:p>
        </w:tc>
        <w:tc>
          <w:tcPr>
            <w:tcW w:w="5846" w:type="dxa"/>
            <w:tcBorders/>
          </w:tcPr>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07.07.2026</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35" w:name="_Ref125362837"/>
            <w:bookmarkStart w:id="36" w:name="_Ref125362837"/>
            <w:bookmarkEnd w:id="36"/>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Начальная (максимальная) цена договора (цена лота):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 xml:space="preserve">НМЦ составляет </w:t>
            </w:r>
            <w:r>
              <w:rPr>
                <w:rFonts w:eastAsia="Calibri" w:cs="" w:cstheme="minorBidi" w:eastAsiaTheme="minorHAnsi"/>
                <w:color w:val="auto"/>
                <w:kern w:val="0"/>
                <w:sz w:val="24"/>
                <w:szCs w:val="24"/>
                <w:lang w:val="ru-RU" w:eastAsia="en-US" w:bidi="ar-SA"/>
              </w:rPr>
              <w:t>27 793 520,75</w:t>
            </w:r>
            <w:r>
              <w:rPr>
                <w:rFonts w:eastAsia="Calibri" w:cs=""/>
                <w:kern w:val="0"/>
                <w:sz w:val="24"/>
                <w:szCs w:val="24"/>
                <w:lang w:val="ru-RU" w:eastAsia="en-US" w:bidi="ar-SA"/>
              </w:rPr>
              <w:t> руб., без учета НДС.</w:t>
            </w:r>
          </w:p>
          <w:p>
            <w:pPr>
              <w:pStyle w:val="Style28"/>
              <w:widowControl w:val="false"/>
              <w:suppressAutoHyphens w:val="true"/>
              <w:spacing w:before="60" w:after="60"/>
              <w:rPr>
                <w:rFonts w:ascii="Times New Roman" w:hAnsi="Times New Roman" w:eastAsia="Calibri" w:cs=""/>
                <w:kern w:val="0"/>
                <w:sz w:val="24"/>
                <w:szCs w:val="24"/>
                <w:lang w:val="ru-RU" w:eastAsia="en-US" w:bidi="ar-SA"/>
              </w:rPr>
            </w:pPr>
            <w:r>
              <w:rPr>
                <w:rFonts w:eastAsia="Calibri" w:cs=""/>
                <w:kern w:val="0"/>
                <w:sz w:val="24"/>
                <w:szCs w:val="24"/>
                <w:lang w:val="ru-RU" w:eastAsia="en-US" w:bidi="ar-SA"/>
              </w:rPr>
            </w:r>
          </w:p>
          <w:p>
            <w:pPr>
              <w:pStyle w:val="Style25"/>
              <w:widowControl w:val="false"/>
              <w:suppressAutoHyphens w:val="true"/>
              <w:spacing w:before="60" w:after="60"/>
              <w:rPr/>
            </w:pPr>
            <w:r>
              <w:rPr>
                <w:rFonts w:eastAsia="Calibri" w:cs=""/>
                <w:kern w:val="0"/>
                <w:sz w:val="24"/>
                <w:szCs w:val="24"/>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7"/>
                  <w:rFonts w:eastAsia="Calibri" w:cs=""/>
                  <w:kern w:val="0"/>
                  <w:sz w:val="24"/>
                  <w:szCs w:val="24"/>
                  <w:lang w:val="ru-RU" w:eastAsia="en-US" w:bidi="ar-SA"/>
                </w:rPr>
                <w:t>Приложение № 4</w:t>
              </w:r>
            </w:hyperlink>
            <w:r>
              <w:rPr>
                <w:rFonts w:eastAsia="Calibri" w:cs=""/>
                <w:kern w:val="0"/>
                <w:sz w:val="24"/>
                <w:szCs w:val="24"/>
                <w:lang w:val="ru-RU" w:eastAsia="en-US" w:bidi="ar-SA"/>
              </w:rPr>
              <w:t>)).</w:t>
            </w:r>
          </w:p>
          <w:p>
            <w:pPr>
              <w:pStyle w:val="Style25"/>
              <w:widowControl w:val="false"/>
              <w:suppressAutoHyphens w:val="true"/>
              <w:spacing w:before="60" w:after="60"/>
              <w:rPr/>
            </w:pPr>
            <w:r>
              <w:rPr>
                <w:rFonts w:eastAsia="Calibri" w:cs=""/>
                <w:kern w:val="0"/>
                <w:sz w:val="24"/>
                <w:szCs w:val="24"/>
                <w:lang w:val="ru-RU" w:eastAsia="en-US" w:bidi="ar-SA"/>
              </w:rPr>
              <w:t xml:space="preserve">Обоснование НМЦ представлено в </w:t>
            </w:r>
            <w:hyperlink w:anchor="Прил09_ОбоснованиеНМЦ">
              <w:r>
                <w:rPr>
                  <w:rStyle w:val="Style7"/>
                  <w:rFonts w:eastAsia="Calibri" w:cs=""/>
                  <w:kern w:val="0"/>
                  <w:sz w:val="24"/>
                  <w:szCs w:val="24"/>
                  <w:lang w:val="ru-RU" w:eastAsia="en-US" w:bidi="ar-SA"/>
                </w:rPr>
                <w:t>Приложении № 9</w:t>
              </w:r>
            </w:hyperlink>
            <w:r>
              <w:rPr>
                <w:rFonts w:eastAsia="Calibri" w:cs=""/>
                <w:kern w:val="0"/>
                <w:sz w:val="24"/>
                <w:szCs w:val="24"/>
                <w:lang w:val="ru-RU" w:eastAsia="en-US" w:bidi="ar-SA"/>
              </w:rPr>
              <w:t>.</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37" w:name="_Ref125363076"/>
            <w:bookmarkStart w:id="38" w:name="_Ref125363076"/>
            <w:bookmarkEnd w:id="38"/>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Обеспечение заявки на участие в закупке:</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требуется.</w:t>
            </w:r>
          </w:p>
          <w:p>
            <w:pPr>
              <w:pStyle w:val="Style25"/>
              <w:widowControl w:val="false"/>
              <w:suppressAutoHyphens w:val="true"/>
              <w:spacing w:before="60" w:after="60"/>
              <w:rPr/>
            </w:pPr>
            <w:r>
              <w:rPr>
                <w:rStyle w:val="Style4"/>
                <w:rFonts w:eastAsia="Calibri" w:cs=""/>
                <w:i w:val="false"/>
                <w:iCs w:val="false"/>
                <w:kern w:val="0"/>
                <w:sz w:val="24"/>
                <w:szCs w:val="24"/>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39" w:name="_Ref125362995"/>
            <w:bookmarkStart w:id="40" w:name="_Ref125362995"/>
            <w:bookmarkEnd w:id="40"/>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Требования</w:t>
              <w:br/>
              <w:t>к описанию продукции:</w:t>
            </w:r>
          </w:p>
        </w:tc>
        <w:tc>
          <w:tcPr>
            <w:tcW w:w="5846" w:type="dxa"/>
            <w:tcBorders/>
          </w:tcPr>
          <w:p>
            <w:pPr>
              <w:pStyle w:val="Style25"/>
              <w:widowControl w:val="false"/>
              <w:suppressAutoHyphens w:val="true"/>
              <w:spacing w:before="60" w:after="60"/>
              <w:rPr/>
            </w:pPr>
            <w:r>
              <w:rPr>
                <w:rFonts w:eastAsia="Calibri" w:cs=""/>
                <w:kern w:val="0"/>
                <w:sz w:val="24"/>
                <w:szCs w:val="24"/>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7"/>
                  <w:rFonts w:eastAsia="Calibri" w:cs=""/>
                  <w:kern w:val="0"/>
                  <w:sz w:val="24"/>
                  <w:szCs w:val="24"/>
                  <w:lang w:val="ru-RU" w:eastAsia="en-US" w:bidi="ar-SA"/>
                </w:rPr>
                <w:t>Приложение № 4</w:t>
              </w:r>
            </w:hyperlink>
            <w:r>
              <w:rPr>
                <w:rFonts w:eastAsia="Calibri" w:cs=""/>
                <w:kern w:val="0"/>
                <w:sz w:val="24"/>
                <w:szCs w:val="24"/>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18" w:type="dxa"/>
            <w:tcBorders/>
          </w:tcPr>
          <w:p>
            <w:pPr>
              <w:pStyle w:val="Style21"/>
              <w:widowControl w:val="false"/>
              <w:suppressAutoHyphens w:val="true"/>
              <w:spacing w:before="60" w:after="60"/>
              <w:rPr>
                <w:rFonts w:eastAsia="Calibri"/>
              </w:rPr>
            </w:pPr>
            <w:r>
              <w:rPr>
                <w:rFonts w:eastAsia="Calibri"/>
              </w:rPr>
            </w:r>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Применение законодательства о национальном режиме:</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Национальный режим предоставляется.</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41" w:name="_Ref125533737"/>
            <w:bookmarkStart w:id="42" w:name="_Ref125533737"/>
            <w:bookmarkEnd w:id="42"/>
          </w:p>
        </w:tc>
        <w:tc>
          <w:tcPr>
            <w:tcW w:w="2954" w:type="dxa"/>
            <w:tcBorders/>
          </w:tcPr>
          <w:p>
            <w:pPr>
              <w:pStyle w:val="Normal"/>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sz w:val="24"/>
                <w:szCs w:val="24"/>
              </w:rPr>
            </w:pPr>
            <w:r>
              <w:rPr>
                <w:rFonts w:eastAsia="Calibri" w:cs=""/>
                <w:i/>
                <w:iCs/>
                <w:kern w:val="0"/>
                <w:sz w:val="24"/>
                <w:szCs w:val="24"/>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p>
            <w:pPr>
              <w:pStyle w:val="Style28"/>
              <w:widowControl w:val="false"/>
              <w:suppressAutoHyphens w:val="true"/>
              <w:spacing w:before="60" w:after="60"/>
              <w:rPr>
                <w:sz w:val="24"/>
                <w:szCs w:val="24"/>
              </w:rPr>
            </w:pPr>
            <w:r>
              <w:rPr>
                <w:sz w:val="24"/>
                <w:szCs w:val="24"/>
              </w:rPr>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43" w:name="_Ref132896648"/>
            <w:bookmarkStart w:id="44" w:name="_Ref132896648"/>
            <w:bookmarkEnd w:id="44"/>
          </w:p>
        </w:tc>
        <w:tc>
          <w:tcPr>
            <w:tcW w:w="2954" w:type="dxa"/>
            <w:tcBorders/>
          </w:tcPr>
          <w:p>
            <w:pPr>
              <w:pStyle w:val="Normal"/>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Обсуждение заявок:</w:t>
            </w:r>
          </w:p>
          <w:p>
            <w:pPr>
              <w:pStyle w:val="Normal"/>
              <w:widowControl w:val="false"/>
              <w:suppressAutoHyphens w:val="true"/>
              <w:spacing w:before="60" w:after="60"/>
              <w:jc w:val="left"/>
              <w:rPr>
                <w:sz w:val="24"/>
                <w:szCs w:val="24"/>
              </w:rPr>
            </w:pPr>
            <w:r>
              <w:rPr>
                <w:rFonts w:eastAsia="Calibri" w:cs=""/>
                <w:i/>
                <w:iCs/>
                <w:kern w:val="0"/>
                <w:sz w:val="24"/>
                <w:szCs w:val="24"/>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45" w:name="_Ref125475086"/>
            <w:bookmarkStart w:id="46" w:name="_Ref125475086"/>
            <w:bookmarkEnd w:id="46"/>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и порядок</w:t>
              <w:br/>
              <w:t>подачи заявок:</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Заявки подаются посредством функционала ЭП, по адресу ЭП, указанному в пункте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_Ref125360764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1.2.5</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p>
            <w:pPr>
              <w:pStyle w:val="Style25"/>
              <w:widowControl w:val="false"/>
              <w:suppressAutoHyphens w:val="true"/>
              <w:spacing w:before="60" w:after="60"/>
              <w:rPr>
                <w:sz w:val="24"/>
                <w:szCs w:val="24"/>
              </w:rPr>
            </w:pPr>
            <w:r>
              <w:rPr>
                <w:rFonts w:eastAsia="Calibri" w:cs=""/>
                <w:kern w:val="0"/>
                <w:sz w:val="24"/>
                <w:szCs w:val="24"/>
                <w:lang w:val="ru-RU" w:eastAsia="en-US" w:bidi="ar-SA"/>
              </w:rPr>
              <w:t>Заявка должна состоять из двух частей и ценового предложения.</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47" w:name="_Ref125360779"/>
            <w:bookmarkStart w:id="48" w:name="_Ref125360779"/>
            <w:bookmarkEnd w:id="48"/>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начала; дата и время окончания срока подачи заявок (окончательных предложений):</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Дата начала подачи заявок:</w:t>
            </w:r>
          </w:p>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07.07.2026г.</w:t>
            </w:r>
          </w:p>
          <w:p>
            <w:pPr>
              <w:pStyle w:val="Style25"/>
              <w:widowControl w:val="false"/>
              <w:suppressAutoHyphens w:val="true"/>
              <w:spacing w:before="60" w:after="60"/>
              <w:rPr>
                <w:rFonts w:eastAsia="Calibri" w:cs=""/>
                <w:kern w:val="0"/>
                <w:sz w:val="24"/>
                <w:szCs w:val="24"/>
                <w:lang w:val="ru-RU" w:eastAsia="en-US" w:bidi="ar-SA"/>
              </w:rPr>
            </w:pPr>
            <w:r>
              <w:rPr>
                <w:rFonts w:eastAsia="Calibri" w:cs=""/>
                <w:kern w:val="0"/>
                <w:sz w:val="24"/>
                <w:szCs w:val="24"/>
                <w:lang w:val="ru-RU" w:eastAsia="en-US" w:bidi="ar-SA"/>
              </w:rPr>
            </w:r>
          </w:p>
          <w:p>
            <w:pPr>
              <w:pStyle w:val="Style25"/>
              <w:widowControl w:val="false"/>
              <w:suppressAutoHyphens w:val="true"/>
              <w:spacing w:before="60" w:after="60"/>
              <w:rPr>
                <w:sz w:val="24"/>
                <w:szCs w:val="24"/>
              </w:rPr>
            </w:pPr>
            <w:r>
              <w:rPr>
                <w:rFonts w:eastAsia="Calibri" w:cs=""/>
                <w:kern w:val="0"/>
                <w:sz w:val="24"/>
                <w:szCs w:val="24"/>
                <w:lang w:val="ru-RU" w:eastAsia="en-US" w:bidi="ar-SA"/>
              </w:rPr>
              <w:t>Дата и время окончания срока подачи заявок (окончательных предложений):</w:t>
            </w:r>
          </w:p>
          <w:p>
            <w:pPr>
              <w:pStyle w:val="Style25"/>
              <w:widowControl w:val="false"/>
              <w:suppressAutoHyphens w:val="true"/>
              <w:spacing w:before="60" w:after="60"/>
              <w:rPr>
                <w:sz w:val="24"/>
                <w:szCs w:val="24"/>
              </w:rPr>
            </w:pPr>
            <w:r>
              <w:rPr>
                <w:rFonts w:eastAsia="Calibri" w:cs="" w:cstheme="minorBidi" w:eastAsiaTheme="minorHAnsi"/>
                <w:kern w:val="0"/>
                <w:sz w:val="24"/>
                <w:szCs w:val="24"/>
                <w:shd w:fill="FFFFFF" w:val="clear"/>
                <w:lang w:val="ru-RU" w:eastAsia="en-US" w:bidi="ar-SA"/>
              </w:rPr>
              <w:t>2</w:t>
            </w:r>
            <w:r>
              <w:rPr>
                <w:rFonts w:eastAsia="Calibri" w:cs="" w:cstheme="minorBidi" w:eastAsiaTheme="minorHAnsi"/>
                <w:kern w:val="0"/>
                <w:sz w:val="24"/>
                <w:szCs w:val="24"/>
                <w:shd w:fill="FFFFFF" w:val="clear"/>
                <w:lang w:val="ru-RU" w:eastAsia="en-US" w:bidi="ar-SA"/>
              </w:rPr>
              <w:t>7</w:t>
            </w:r>
            <w:r>
              <w:rPr>
                <w:rFonts w:eastAsia="Calibri" w:cs="" w:cstheme="minorBidi" w:eastAsiaTheme="minorHAnsi"/>
                <w:kern w:val="0"/>
                <w:sz w:val="24"/>
                <w:szCs w:val="24"/>
                <w:shd w:fill="FFFFFF" w:val="clear"/>
                <w:lang w:val="ru-RU" w:eastAsia="en-US" w:bidi="ar-SA"/>
              </w:rPr>
              <w:t>.07.2026</w:t>
            </w:r>
            <w:r>
              <w:rPr>
                <w:rFonts w:eastAsia="Calibri" w:cs=""/>
                <w:kern w:val="0"/>
                <w:sz w:val="24"/>
                <w:szCs w:val="24"/>
                <w:lang w:val="ru-RU" w:eastAsia="en-US" w:bidi="ar-SA"/>
              </w:rPr>
              <w:t xml:space="preserve"> г. в 09 ч. 00 мин. (по московскому времени).</w:t>
            </w:r>
          </w:p>
        </w:tc>
      </w:tr>
      <w:tr>
        <w:trPr/>
        <w:tc>
          <w:tcPr>
            <w:tcW w:w="1118" w:type="dxa"/>
            <w:tcBorders/>
          </w:tcPr>
          <w:p>
            <w:pPr>
              <w:pStyle w:val="Style21"/>
              <w:widowControl w:val="false"/>
              <w:suppressAutoHyphens w:val="true"/>
              <w:spacing w:before="60" w:after="60"/>
              <w:rPr>
                <w:rFonts w:eastAsia="Calibri"/>
              </w:rPr>
            </w:pPr>
            <w:r>
              <w:rPr>
                <w:rFonts w:eastAsia="Calibri"/>
              </w:rPr>
            </w:r>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Срок предоставления Участникам разъяснений Документации о закупке:</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Дата и время окончания срока предоставления разъяснений:</w:t>
            </w:r>
          </w:p>
          <w:p>
            <w:pPr>
              <w:pStyle w:val="Style25"/>
              <w:widowControl w:val="false"/>
              <w:suppressAutoHyphens w:val="true"/>
              <w:spacing w:before="60" w:after="60"/>
              <w:rPr>
                <w:sz w:val="24"/>
                <w:szCs w:val="24"/>
              </w:rPr>
            </w:pPr>
            <w:r>
              <w:rPr>
                <w:rFonts w:eastAsia="Calibri" w:cs="" w:cstheme="minorBidi" w:eastAsiaTheme="minorHAnsi"/>
                <w:kern w:val="0"/>
                <w:sz w:val="24"/>
                <w:szCs w:val="24"/>
                <w:shd w:fill="FFFFFF" w:val="clear"/>
                <w:lang w:val="ru-RU" w:eastAsia="en-US" w:bidi="ar-SA"/>
              </w:rPr>
              <w:t>2</w:t>
            </w:r>
            <w:r>
              <w:rPr>
                <w:rFonts w:eastAsia="Calibri" w:cs="" w:cstheme="minorBidi" w:eastAsiaTheme="minorHAnsi"/>
                <w:kern w:val="0"/>
                <w:sz w:val="24"/>
                <w:szCs w:val="24"/>
                <w:shd w:fill="FFFFFF" w:val="clear"/>
                <w:lang w:val="ru-RU" w:eastAsia="en-US" w:bidi="ar-SA"/>
              </w:rPr>
              <w:t>7</w:t>
            </w:r>
            <w:r>
              <w:rPr>
                <w:rFonts w:eastAsia="Calibri" w:cs="" w:cstheme="minorBidi" w:eastAsiaTheme="minorHAnsi"/>
                <w:kern w:val="0"/>
                <w:sz w:val="24"/>
                <w:szCs w:val="24"/>
                <w:shd w:fill="FFFFFF" w:val="clear"/>
                <w:lang w:val="ru-RU" w:eastAsia="en-US" w:bidi="ar-SA"/>
              </w:rPr>
              <w:t>.07.2026г.</w:t>
            </w:r>
            <w:r>
              <w:rPr>
                <w:rFonts w:eastAsia="Calibri" w:cs=""/>
                <w:kern w:val="0"/>
                <w:sz w:val="24"/>
                <w:szCs w:val="24"/>
                <w:lang w:val="ru-RU" w:eastAsia="en-US" w:bidi="ar-SA"/>
              </w:rPr>
              <w:t xml:space="preserve"> в 9 ч. 00 мин. (по московскому времени).</w:t>
            </w:r>
          </w:p>
          <w:p>
            <w:pPr>
              <w:pStyle w:val="Style25"/>
              <w:widowControl w:val="false"/>
              <w:suppressAutoHyphens w:val="true"/>
              <w:spacing w:before="60" w:after="60"/>
              <w:rPr>
                <w:sz w:val="24"/>
                <w:szCs w:val="24"/>
              </w:rPr>
            </w:pPr>
            <w:r>
              <w:rPr>
                <w:rFonts w:eastAsia="Calibri" w:cs=""/>
                <w:kern w:val="0"/>
                <w:sz w:val="24"/>
                <w:szCs w:val="24"/>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_Ref125360779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1.2.19</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49" w:name="_Ref125476197"/>
            <w:bookmarkStart w:id="50" w:name="_Ref125476197"/>
            <w:bookmarkEnd w:id="50"/>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открытия</w:t>
              <w:br/>
              <w:t>доступа к заявкам:</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_Ref125360764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1.2.5</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51" w:name="_Ref125362733"/>
            <w:bookmarkStart w:id="52" w:name="_Ref125362733"/>
            <w:bookmarkEnd w:id="52"/>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5846" w:type="dxa"/>
            <w:tcBorders/>
          </w:tcPr>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05</w:t>
            </w:r>
            <w:r>
              <w:rPr>
                <w:rFonts w:eastAsia="Calibri" w:cs="" w:cstheme="minorBidi" w:eastAsiaTheme="minorHAnsi"/>
                <w:kern w:val="0"/>
                <w:sz w:val="24"/>
                <w:szCs w:val="24"/>
                <w:shd w:fill="FFFFFF" w:val="clear"/>
                <w:lang w:val="ru-RU" w:eastAsia="en-US" w:bidi="ar-SA"/>
              </w:rPr>
              <w:t>.0</w:t>
            </w:r>
            <w:r>
              <w:rPr>
                <w:rFonts w:eastAsia="Calibri" w:cs="" w:cstheme="minorBidi" w:eastAsiaTheme="minorHAnsi"/>
                <w:kern w:val="0"/>
                <w:sz w:val="24"/>
                <w:szCs w:val="24"/>
                <w:shd w:fill="FFFFFF" w:val="clear"/>
                <w:lang w:val="ru-RU" w:eastAsia="en-US" w:bidi="ar-SA"/>
              </w:rPr>
              <w:t>8</w:t>
            </w:r>
            <w:r>
              <w:rPr>
                <w:rFonts w:eastAsia="Calibri" w:cs="" w:cstheme="minorBidi" w:eastAsiaTheme="minorHAnsi"/>
                <w:kern w:val="0"/>
                <w:sz w:val="24"/>
                <w:szCs w:val="24"/>
                <w:shd w:fill="FFFFFF" w:val="clear"/>
                <w:lang w:val="ru-RU" w:eastAsia="en-US" w:bidi="ar-SA"/>
              </w:rPr>
              <w:t>.2026 г.</w:t>
            </w:r>
          </w:p>
        </w:tc>
      </w:tr>
      <w:tr>
        <w:trPr/>
        <w:tc>
          <w:tcPr>
            <w:tcW w:w="1118" w:type="dxa"/>
            <w:tcBorders/>
          </w:tcPr>
          <w:p>
            <w:pPr>
              <w:pStyle w:val="Style21"/>
              <w:widowControl w:val="false"/>
              <w:suppressAutoHyphens w:val="true"/>
              <w:spacing w:before="60" w:after="60"/>
              <w:rPr>
                <w:rFonts w:eastAsia="Calibri"/>
              </w:rPr>
            </w:pPr>
            <w:r>
              <w:rPr>
                <w:rFonts w:eastAsia="Calibri"/>
              </w:rPr>
            </w:r>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Срок направления Оператором ЭП вторых частей заявок и ценовых предложений в адрес Организатора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53" w:name="_Ref132898515"/>
            <w:bookmarkStart w:id="54" w:name="_Ref132898515"/>
            <w:bookmarkEnd w:id="54"/>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окончания рассмотрения вторых частей заявок и ценовых предложений:</w:t>
            </w:r>
          </w:p>
        </w:tc>
        <w:tc>
          <w:tcPr>
            <w:tcW w:w="5846" w:type="dxa"/>
            <w:tcBorders/>
          </w:tcPr>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2</w:t>
            </w:r>
            <w:r>
              <w:rPr>
                <w:rFonts w:eastAsia="Calibri" w:cs="" w:cstheme="minorBidi" w:eastAsiaTheme="minorHAnsi"/>
                <w:kern w:val="0"/>
                <w:sz w:val="24"/>
                <w:szCs w:val="24"/>
                <w:shd w:fill="FFFFFF" w:val="clear"/>
                <w:lang w:val="ru-RU" w:eastAsia="en-US" w:bidi="ar-SA"/>
              </w:rPr>
              <w:t>4</w:t>
            </w:r>
            <w:r>
              <w:rPr>
                <w:rFonts w:eastAsia="Calibri" w:cs="" w:cstheme="minorBidi" w:eastAsiaTheme="minorHAnsi"/>
                <w:kern w:val="0"/>
                <w:sz w:val="24"/>
                <w:szCs w:val="24"/>
                <w:shd w:fill="FFFFFF" w:val="clear"/>
                <w:lang w:val="ru-RU" w:eastAsia="en-US" w:bidi="ar-SA"/>
              </w:rPr>
              <w:t>.08.2026 г.</w:t>
            </w:r>
          </w:p>
        </w:tc>
      </w:tr>
      <w:tr>
        <w:trPr/>
        <w:tc>
          <w:tcPr>
            <w:tcW w:w="1118" w:type="dxa"/>
            <w:tcBorders/>
          </w:tcPr>
          <w:p>
            <w:pPr>
              <w:pStyle w:val="Style21"/>
              <w:widowControl w:val="false"/>
              <w:suppressAutoHyphens w:val="true"/>
              <w:spacing w:before="60" w:after="60"/>
              <w:rPr>
                <w:rFonts w:eastAsia="Calibri"/>
              </w:rPr>
            </w:pPr>
            <w:r>
              <w:rPr>
                <w:rFonts w:eastAsia="Calibri"/>
              </w:rPr>
            </w:r>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Переторжка (подача дополнительных ценовых предложений):</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55" w:name="_Ref125362757"/>
            <w:bookmarkStart w:id="56" w:name="_Ref125362757"/>
            <w:bookmarkEnd w:id="56"/>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подведения</w:t>
              <w:br/>
              <w:t>итогов закупки:</w:t>
            </w:r>
          </w:p>
        </w:tc>
        <w:tc>
          <w:tcPr>
            <w:tcW w:w="5846" w:type="dxa"/>
            <w:tcBorders/>
          </w:tcPr>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2</w:t>
            </w:r>
            <w:r>
              <w:rPr>
                <w:rFonts w:eastAsia="Calibri" w:cs="" w:cstheme="minorBidi" w:eastAsiaTheme="minorHAnsi"/>
                <w:kern w:val="0"/>
                <w:sz w:val="24"/>
                <w:szCs w:val="24"/>
                <w:shd w:fill="FFFFFF" w:val="clear"/>
                <w:lang w:val="ru-RU" w:eastAsia="en-US" w:bidi="ar-SA"/>
              </w:rPr>
              <w:t>5</w:t>
            </w:r>
            <w:r>
              <w:rPr>
                <w:rFonts w:eastAsia="Calibri" w:cs="" w:cstheme="minorBidi" w:eastAsiaTheme="minorHAnsi"/>
                <w:kern w:val="0"/>
                <w:sz w:val="24"/>
                <w:szCs w:val="24"/>
                <w:shd w:fill="FFFFFF" w:val="clear"/>
                <w:lang w:val="ru-RU" w:eastAsia="en-US" w:bidi="ar-SA"/>
              </w:rPr>
              <w:t>.08.2026 г.</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57" w:name="_Ref125366047"/>
            <w:bookmarkStart w:id="58" w:name="_Ref125366047"/>
            <w:bookmarkEnd w:id="58"/>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предоставляется.</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59" w:name="_Ref125361769"/>
            <w:bookmarkStart w:id="60" w:name="_Ref125361769"/>
            <w:bookmarkEnd w:id="60"/>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Рассмотрение, оценка и сопоставление заявок Участников с учетом привлекаемых субподрядчиков:</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предусмотрено.</w:t>
            </w:r>
          </w:p>
        </w:tc>
      </w:tr>
      <w:tr>
        <w:trPr/>
        <w:tc>
          <w:tcPr>
            <w:tcW w:w="1118" w:type="dxa"/>
            <w:tcBorders/>
          </w:tcPr>
          <w:p>
            <w:pPr>
              <w:pStyle w:val="Style21"/>
              <w:widowControl w:val="false"/>
              <w:suppressAutoHyphens w:val="true"/>
              <w:spacing w:before="60" w:after="60"/>
              <w:rPr>
                <w:rFonts w:eastAsia="Calibri"/>
              </w:rPr>
            </w:pPr>
            <w:r>
              <w:rPr>
                <w:rFonts w:eastAsia="Calibri"/>
              </w:rPr>
            </w:r>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Порядок подведения итогов закупки: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61" w:name="_Ref125366606"/>
            <w:bookmarkStart w:id="62" w:name="_Ref125366606"/>
            <w:bookmarkEnd w:id="62"/>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Количество победителей закупки (в рамках одного лота):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Один победитель.</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63" w:name="_Ref125366813"/>
            <w:bookmarkStart w:id="64" w:name="_Ref125366813"/>
            <w:bookmarkEnd w:id="64"/>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подачи документов в отношении цепочки собственников, включая конечных бенефициаров:</w:t>
            </w:r>
          </w:p>
        </w:tc>
        <w:tc>
          <w:tcPr>
            <w:tcW w:w="5846" w:type="dxa"/>
            <w:tcBorders/>
          </w:tcPr>
          <w:p>
            <w:pPr>
              <w:pStyle w:val="Tableheader"/>
              <w:widowControl w:val="false"/>
              <w:suppressAutoHyphens w:val="true"/>
              <w:snapToGrid w:val="false"/>
              <w:spacing w:before="0" w:after="60"/>
              <w:jc w:val="left"/>
              <w:rPr>
                <w:sz w:val="24"/>
                <w:szCs w:val="24"/>
              </w:rPr>
            </w:pPr>
            <w:r>
              <w:rPr>
                <w:rFonts w:eastAsia="Calibri" w:cs=""/>
                <w:b w:val="false"/>
                <w:kern w:val="0"/>
                <w:sz w:val="24"/>
                <w:szCs w:val="24"/>
                <w:lang w:val="ru-RU" w:eastAsia="en-US" w:bidi="ar-SA"/>
              </w:rPr>
              <w:t xml:space="preserve">Почтовый адрес: 675004, г. Благовещенск, ул. Шевченко, 32, каб. 214. </w:t>
            </w:r>
          </w:p>
          <w:p>
            <w:pPr>
              <w:pStyle w:val="Tableheader"/>
              <w:widowControl w:val="false"/>
              <w:suppressAutoHyphens w:val="true"/>
              <w:spacing w:before="0" w:after="60"/>
              <w:jc w:val="left"/>
              <w:rPr>
                <w:sz w:val="24"/>
                <w:szCs w:val="24"/>
              </w:rPr>
            </w:pPr>
            <w:r>
              <w:rPr>
                <w:rFonts w:eastAsia="Calibri" w:cs=""/>
                <w:b w:val="false"/>
                <w:kern w:val="0"/>
                <w:sz w:val="24"/>
                <w:szCs w:val="24"/>
                <w:lang w:val="ru-RU" w:eastAsia="en-US" w:bidi="ar-SA"/>
              </w:rPr>
              <w:t xml:space="preserve">Контактное лицо для приема документов (Ф.И.О.): </w:t>
            </w:r>
            <w:r>
              <w:rPr>
                <w:rStyle w:val="Style4"/>
                <w:rFonts w:eastAsia="Calibri" w:cs="" w:cstheme="minorBidi" w:eastAsiaTheme="minorHAnsi"/>
                <w:b w:val="false"/>
                <w:i w:val="false"/>
                <w:iCs w:val="false"/>
                <w:color w:val="000000"/>
                <w:kern w:val="0"/>
                <w:sz w:val="24"/>
                <w:szCs w:val="24"/>
                <w:shd w:fill="FFFFFF" w:val="clear"/>
                <w:lang w:val="ru-RU" w:eastAsia="en-US" w:bidi="ar-SA"/>
              </w:rPr>
              <w:t xml:space="preserve">Ярый Виталий Сергеевич </w:t>
            </w:r>
            <w:r>
              <w:rPr>
                <w:rStyle w:val="Style12"/>
                <w:rFonts w:eastAsia="Calibri" w:cs="" w:cstheme="minorBidi" w:eastAsiaTheme="minorHAnsi"/>
                <w:b w:val="false"/>
                <w:i w:val="false"/>
                <w:iCs w:val="false"/>
                <w:color w:val="000000"/>
                <w:kern w:val="0"/>
                <w:sz w:val="24"/>
                <w:szCs w:val="24"/>
                <w:shd w:fill="FFFFFF" w:val="clear"/>
                <w:lang w:val="ru-RU" w:eastAsia="en-US" w:bidi="ar-SA"/>
              </w:rPr>
              <w:t xml:space="preserve">- </w:t>
            </w:r>
            <w:r>
              <w:rPr>
                <w:rStyle w:val="Style4"/>
                <w:rFonts w:eastAsia="Calibri" w:cs="" w:cstheme="minorBidi" w:eastAsiaTheme="minorHAnsi"/>
                <w:b w:val="false"/>
                <w:i w:val="false"/>
                <w:iCs w:val="false"/>
                <w:color w:val="000000"/>
                <w:kern w:val="0"/>
                <w:sz w:val="24"/>
                <w:szCs w:val="24"/>
                <w:shd w:fill="FFFFFF" w:val="clear"/>
                <w:lang w:val="ru-RU" w:eastAsia="en-US" w:bidi="ar-SA"/>
              </w:rPr>
              <w:t>ведущий специалист СЭБ АО «ДРСК»,</w:t>
            </w:r>
            <w:r>
              <w:rPr>
                <w:rFonts w:eastAsia="Calibri" w:cs="" w:cstheme="minorBidi" w:eastAsiaTheme="minorHAnsi"/>
                <w:b w:val="false"/>
                <w:i w:val="false"/>
                <w:iCs w:val="false"/>
                <w:color w:val="000000"/>
                <w:kern w:val="0"/>
                <w:sz w:val="24"/>
                <w:szCs w:val="24"/>
                <w:shd w:fill="FFFFFF" w:val="clear"/>
                <w:lang w:val="ru-RU" w:eastAsia="en-US" w:bidi="ar-SA"/>
              </w:rPr>
              <w:t xml:space="preserve"> Теле</w:t>
            </w:r>
            <w:r>
              <w:rPr>
                <w:rFonts w:eastAsia="Calibri" w:cs="" w:cstheme="minorBidi" w:eastAsiaTheme="minorHAnsi"/>
                <w:b w:val="false"/>
                <w:color w:val="auto"/>
                <w:kern w:val="0"/>
                <w:sz w:val="24"/>
                <w:szCs w:val="24"/>
                <w:lang w:val="ru-RU" w:eastAsia="en-US" w:bidi="ar-SA"/>
              </w:rPr>
              <w:t>фон: (4162) 397-325</w:t>
            </w:r>
          </w:p>
        </w:tc>
      </w:tr>
      <w:tr>
        <w:trPr/>
        <w:tc>
          <w:tcPr>
            <w:tcW w:w="1118" w:type="dxa"/>
            <w:tcBorders/>
          </w:tcPr>
          <w:p>
            <w:pPr>
              <w:pStyle w:val="Style21"/>
              <w:widowControl w:val="false"/>
              <w:suppressAutoHyphens w:val="true"/>
              <w:spacing w:before="60" w:after="60"/>
              <w:rPr>
                <w:rFonts w:eastAsia="Calibri"/>
              </w:rPr>
            </w:pPr>
            <w:r>
              <w:rPr>
                <w:rFonts w:eastAsia="Calibri"/>
              </w:rPr>
            </w:r>
            <w:bookmarkStart w:id="65" w:name="_Ref125368490"/>
            <w:bookmarkStart w:id="66" w:name="_Ref125368490"/>
            <w:bookmarkEnd w:id="66"/>
          </w:p>
        </w:tc>
        <w:tc>
          <w:tcPr>
            <w:tcW w:w="2954"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Некритичные пункты Проекта договора: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Отсутствуют.</w:t>
            </w:r>
          </w:p>
        </w:tc>
      </w:tr>
      <w:tr>
        <w:trPr/>
        <w:tc>
          <w:tcPr>
            <w:tcW w:w="1118" w:type="dxa"/>
            <w:tcBorders>
              <w:right w:val="nil"/>
            </w:tcBorders>
          </w:tcPr>
          <w:p>
            <w:pPr>
              <w:pStyle w:val="Style21"/>
              <w:widowControl w:val="false"/>
              <w:suppressAutoHyphens w:val="true"/>
              <w:spacing w:before="60" w:after="6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r>
          </w:p>
        </w:tc>
        <w:tc>
          <w:tcPr>
            <w:tcW w:w="2954" w:type="dxa"/>
            <w:tcBorders>
              <w:right w:val="nil"/>
            </w:tcBorders>
          </w:tcPr>
          <w:p>
            <w:pPr>
              <w:pStyle w:val="Style25"/>
              <w:widowControl w:val="false"/>
              <w:suppressAutoHyphens w:val="true"/>
              <w:spacing w:before="60" w:after="60"/>
              <w:jc w:val="left"/>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Обеспечение</w:t>
              <w:br/>
              <w:t>исполнения Договора:</w:t>
            </w:r>
          </w:p>
        </w:tc>
        <w:tc>
          <w:tcPr>
            <w:tcW w:w="5846" w:type="dxa"/>
            <w:tcBorders/>
          </w:tcPr>
          <w:p>
            <w:pPr>
              <w:pStyle w:val="Style25"/>
              <w:widowControl w:val="false"/>
              <w:shd w:val="clear" w:fill="FFFFFF"/>
              <w:spacing w:before="60" w:after="6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Требуется.</w:t>
            </w:r>
          </w:p>
          <w:p>
            <w:pPr>
              <w:pStyle w:val="Normal"/>
              <w:widowControl w:val="false"/>
              <w:shd w:val="clear" w:fill="FFFFFF"/>
              <w:spacing w:lineRule="auto" w:line="240" w:before="60" w:after="60"/>
              <w:ind w:left="11" w:hanging="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Размер обеспечения исполнения Договора:</w:t>
            </w:r>
          </w:p>
          <w:p>
            <w:pPr>
              <w:pStyle w:val="Normal"/>
              <w:widowControl w:val="false"/>
              <w:shd w:val="clear" w:fill="FFFFFF"/>
              <w:tabs>
                <w:tab w:val="clear" w:pos="720"/>
                <w:tab w:val="left" w:pos="400" w:leader="none"/>
              </w:tabs>
              <w:spacing w:lineRule="auto" w:line="240" w:before="60" w:after="60"/>
              <w:ind w:left="11" w:hanging="0"/>
              <w:jc w:val="both"/>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 xml:space="preserve">   </w:t>
            </w:r>
            <w:r>
              <w:rPr>
                <w:rFonts w:eastAsia="Calibri" w:cs="" w:cstheme="minorBidi" w:eastAsiaTheme="minorHAnsi"/>
                <w:color w:val="auto"/>
                <w:kern w:val="0"/>
                <w:lang w:val="ru-RU" w:eastAsia="en-US" w:bidi="ar-SA"/>
              </w:rPr>
              <w:t>Сумма Независимой гарантии должна составлять:</w:t>
            </w:r>
          </w:p>
          <w:p>
            <w:pPr>
              <w:pStyle w:val="Normal"/>
              <w:widowControl w:val="false"/>
              <w:shd w:val="clear" w:fill="FFFFFF"/>
              <w:spacing w:lineRule="auto" w:line="240" w:before="60" w:after="60"/>
              <w:ind w:left="11" w:hanging="0"/>
              <w:jc w:val="both"/>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 xml:space="preserve">  • </w:t>
            </w:r>
            <w:r>
              <w:rPr>
                <w:rFonts w:eastAsia="Calibri" w:cs="" w:cstheme="minorBidi" w:eastAsiaTheme="minorHAnsi"/>
                <w:color w:val="auto"/>
                <w:kern w:val="0"/>
                <w:lang w:val="ru-RU" w:eastAsia="en-US" w:bidi="ar-SA"/>
              </w:rPr>
              <w:t>не менее 100 (ста) процентов от размера уплачиваемой по Договору предварительной оплаты (аванса);</w:t>
            </w:r>
          </w:p>
          <w:p>
            <w:pPr>
              <w:pStyle w:val="Normal"/>
              <w:widowControl w:val="false"/>
              <w:shd w:val="clear" w:fill="FFFFFF"/>
              <w:spacing w:lineRule="auto" w:line="240" w:before="60" w:after="60"/>
              <w:ind w:left="11" w:hanging="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 xml:space="preserve"> </w:t>
            </w:r>
            <w:r>
              <w:rPr>
                <w:rFonts w:eastAsia="Calibri" w:cs="" w:cstheme="minorBidi" w:eastAsiaTheme="minorHAnsi"/>
                <w:color w:val="auto"/>
                <w:kern w:val="0"/>
                <w:lang w:val="ru-RU" w:eastAsia="en-US" w:bidi="ar-SA"/>
              </w:rPr>
              <w:t>Валюта обеспечения исполнения Договора: рублей</w:t>
            </w:r>
          </w:p>
          <w:p>
            <w:pPr>
              <w:pStyle w:val="Normal"/>
              <w:widowControl w:val="false"/>
              <w:shd w:val="clear" w:fill="FFFFFF"/>
              <w:spacing w:lineRule="auto" w:line="240" w:before="60" w:after="60"/>
              <w:ind w:left="11" w:hanging="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Иные требования к обеспечению исполнения Договора: приведены в Проекте договора (Приложение №2 к Документации о закупке)».</w:t>
            </w:r>
          </w:p>
        </w:tc>
      </w:tr>
    </w:tbl>
    <w:p>
      <w:pPr>
        <w:pStyle w:val="Style19"/>
        <w:rPr>
          <w:sz w:val="22"/>
        </w:rPr>
      </w:pPr>
      <w:bookmarkStart w:id="67" w:name="__RefHeading___Toc192505_1558056896"/>
      <w:bookmarkStart w:id="68" w:name="_Toc186224115"/>
      <w:bookmarkStart w:id="69" w:name="_Ref125360073"/>
      <w:bookmarkStart w:id="70" w:name="_Ref125360337"/>
      <w:bookmarkEnd w:id="67"/>
      <w:r>
        <w:rPr>
          <w:sz w:val="22"/>
        </w:rPr>
        <w:t>Общие положения</w:t>
      </w:r>
      <w:bookmarkEnd w:id="68"/>
      <w:bookmarkEnd w:id="69"/>
      <w:bookmarkEnd w:id="70"/>
    </w:p>
    <w:p>
      <w:pPr>
        <w:pStyle w:val="Style20"/>
        <w:rPr>
          <w:sz w:val="22"/>
        </w:rPr>
      </w:pPr>
      <w:bookmarkStart w:id="71" w:name="__RefHeading___Toc192507_1558056896"/>
      <w:bookmarkStart w:id="72" w:name="_Toc186224116"/>
      <w:bookmarkEnd w:id="71"/>
      <w:r>
        <w:rPr>
          <w:sz w:val="22"/>
        </w:rPr>
        <w:t>Общие сведения о закупке</w:t>
      </w:r>
      <w:bookmarkEnd w:id="72"/>
    </w:p>
    <w:p>
      <w:pPr>
        <w:pStyle w:val="Style21"/>
        <w:rPr>
          <w:sz w:val="22"/>
        </w:rPr>
      </w:pPr>
      <w:r>
        <w:rPr>
          <w:sz w:val="22"/>
        </w:rPr>
        <w:t>Организатор официально размещенным Извещением приглашает лиц, указанных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к участию в закупке на право заключения договора, предмет которого указан в том же подразделе.</w:t>
      </w:r>
    </w:p>
    <w:p>
      <w:pPr>
        <w:pStyle w:val="Style21"/>
        <w:rPr>
          <w:sz w:val="22"/>
        </w:rPr>
      </w:pPr>
      <w:r>
        <w:rPr>
          <w:sz w:val="22"/>
        </w:rPr>
        <w:t>Требования к Участникам, а также к документам, подтверждающим соответствие установленным требованиям, приведены в разделе </w:t>
      </w:r>
      <w:r>
        <w:rPr>
          <w:sz w:val="22"/>
        </w:rPr>
        <w:fldChar w:fldCharType="begin"/>
      </w:r>
      <w:r>
        <w:rPr>
          <w:sz w:val="22"/>
        </w:rPr>
        <w:instrText xml:space="preserve"> REF _Ref125361210 \r \h </w:instrText>
      </w:r>
      <w:r>
        <w:rPr>
          <w:sz w:val="22"/>
        </w:rPr>
        <w:fldChar w:fldCharType="separate"/>
      </w:r>
      <w:r>
        <w:rPr>
          <w:sz w:val="22"/>
        </w:rPr>
        <w:t>3</w:t>
      </w:r>
      <w:r>
        <w:rPr>
          <w:sz w:val="22"/>
        </w:rPr>
        <w:fldChar w:fldCharType="end"/>
      </w:r>
      <w:r>
        <w:rPr>
          <w:sz w:val="22"/>
        </w:rPr>
        <w:t xml:space="preserve"> Документации о закупке.</w:t>
      </w:r>
    </w:p>
    <w:p>
      <w:pPr>
        <w:pStyle w:val="Style21"/>
        <w:rPr/>
      </w:pPr>
      <w:r>
        <w:rPr>
          <w:sz w:val="22"/>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7"/>
            <w:sz w:val="22"/>
          </w:rPr>
          <w:t>Технических требованиях (Приложение № 1)</w:t>
        </w:r>
      </w:hyperlink>
      <w:r>
        <w:rPr>
          <w:sz w:val="22"/>
        </w:rPr>
        <w:t xml:space="preserve">. </w:t>
      </w:r>
      <w:hyperlink w:anchor="Прил02_ПроектДоговора">
        <w:r>
          <w:rPr>
            <w:rStyle w:val="Style7"/>
            <w:sz w:val="22"/>
          </w:rPr>
          <w:t>Проект договора</w:t>
        </w:r>
      </w:hyperlink>
      <w:r>
        <w:rPr>
          <w:sz w:val="22"/>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7"/>
            <w:sz w:val="22"/>
          </w:rPr>
          <w:t>Приложении № 2</w:t>
        </w:r>
      </w:hyperlink>
      <w:r>
        <w:rPr>
          <w:sz w:val="22"/>
        </w:rPr>
        <w:t>.</w:t>
      </w:r>
    </w:p>
    <w:p>
      <w:pPr>
        <w:pStyle w:val="Style21"/>
        <w:rPr/>
      </w:pPr>
      <w:r>
        <w:rPr>
          <w:sz w:val="22"/>
        </w:rPr>
        <w:t>Подробная информация о порядке проведения закупки и участия в ней, а также о порядке заключения Договора, приведены в разделах </w:t>
      </w:r>
      <w:r>
        <w:rPr>
          <w:sz w:val="22"/>
        </w:rPr>
        <w:fldChar w:fldCharType="begin"/>
      </w:r>
      <w:r>
        <w:rPr>
          <w:sz w:val="22"/>
        </w:rPr>
        <w:instrText xml:space="preserve"> REF _Ref125361211 \r \h </w:instrText>
      </w:r>
      <w:r>
        <w:rPr>
          <w:sz w:val="22"/>
        </w:rPr>
        <w:fldChar w:fldCharType="separate"/>
      </w:r>
      <w:r>
        <w:rPr>
          <w:sz w:val="22"/>
        </w:rPr>
        <w:t>4</w:t>
      </w:r>
      <w:r>
        <w:rPr>
          <w:sz w:val="22"/>
        </w:rPr>
        <w:fldChar w:fldCharType="end"/>
      </w:r>
      <w:r>
        <w:rPr>
          <w:sz w:val="22"/>
        </w:rPr>
        <w:t xml:space="preserve">,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7"/>
            <w:sz w:val="22"/>
          </w:rPr>
          <w:t>№ 4</w:t>
        </w:r>
      </w:hyperlink>
      <w:r>
        <w:rPr>
          <w:sz w:val="22"/>
        </w:rPr>
        <w:t xml:space="preserve">, </w:t>
      </w:r>
      <w:hyperlink w:anchor="Прил05_ФормыПобедителя">
        <w:r>
          <w:rPr>
            <w:rStyle w:val="Style7"/>
            <w:sz w:val="22"/>
          </w:rPr>
          <w:t>№ 5</w:t>
        </w:r>
      </w:hyperlink>
      <w:r>
        <w:rPr>
          <w:sz w:val="22"/>
        </w:rPr>
        <w:t>.</w:t>
      </w:r>
    </w:p>
    <w:p>
      <w:pPr>
        <w:pStyle w:val="Style20"/>
        <w:rPr>
          <w:sz w:val="22"/>
        </w:rPr>
      </w:pPr>
      <w:bookmarkStart w:id="73" w:name="__RefHeading___Toc192509_1558056896"/>
      <w:bookmarkStart w:id="74" w:name="_Toc186224117"/>
      <w:bookmarkEnd w:id="73"/>
      <w:r>
        <w:rPr>
          <w:sz w:val="22"/>
        </w:rPr>
        <w:t>Правовой статус документов</w:t>
      </w:r>
      <w:bookmarkEnd w:id="74"/>
    </w:p>
    <w:p>
      <w:pPr>
        <w:pStyle w:val="Style21"/>
        <w:rPr>
          <w:sz w:val="22"/>
        </w:rPr>
      </w:pPr>
      <w:r>
        <w:rPr>
          <w:sz w:val="22"/>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1"/>
        <w:rPr>
          <w:sz w:val="22"/>
        </w:rPr>
      </w:pPr>
      <w:r>
        <w:rPr>
          <w:sz w:val="22"/>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1"/>
        <w:keepNext w:val="true"/>
        <w:rPr>
          <w:sz w:val="22"/>
        </w:rPr>
      </w:pPr>
      <w:bookmarkStart w:id="75" w:name="_Ref125366985"/>
      <w:r>
        <w:rPr>
          <w:sz w:val="22"/>
        </w:rPr>
        <w:t>При определении условий Договора по результатам закупки используется иерархия документов, установленная в пункте </w:t>
      </w:r>
      <w:r>
        <w:rPr>
          <w:sz w:val="22"/>
        </w:rPr>
        <w:fldChar w:fldCharType="begin"/>
      </w:r>
      <w:r>
        <w:rPr>
          <w:sz w:val="22"/>
        </w:rPr>
        <w:instrText xml:space="preserve"> REF _Ref132288402 \r \h </w:instrText>
      </w:r>
      <w:r>
        <w:rPr>
          <w:sz w:val="22"/>
        </w:rPr>
        <w:fldChar w:fldCharType="separate"/>
      </w:r>
      <w:r>
        <w:rPr>
          <w:sz w:val="22"/>
        </w:rPr>
        <w:t>5.2.8</w:t>
      </w:r>
      <w:r>
        <w:rPr>
          <w:sz w:val="22"/>
        </w:rPr>
        <w:fldChar w:fldCharType="end"/>
      </w:r>
      <w:bookmarkEnd w:id="75"/>
      <w:r>
        <w:rPr>
          <w:sz w:val="22"/>
        </w:rPr>
        <w:t>.</w:t>
      </w:r>
    </w:p>
    <w:p>
      <w:pPr>
        <w:pStyle w:val="Style21"/>
        <w:rPr>
          <w:sz w:val="22"/>
        </w:rPr>
      </w:pPr>
      <w:r>
        <w:rPr>
          <w:sz w:val="22"/>
        </w:rPr>
        <w:t>Заключенный по результатам закупки Договор, в том числе, фиксирует все достигнутые сторонами договоренности.</w:t>
      </w:r>
    </w:p>
    <w:p>
      <w:pPr>
        <w:pStyle w:val="Style21"/>
        <w:rPr>
          <w:sz w:val="22"/>
        </w:rPr>
      </w:pPr>
      <w:r>
        <w:rPr>
          <w:sz w:val="22"/>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1"/>
        <w:rPr>
          <w:sz w:val="22"/>
        </w:rPr>
      </w:pPr>
      <w:r>
        <w:rPr>
          <w:sz w:val="22"/>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1"/>
        <w:rPr>
          <w:sz w:val="22"/>
        </w:rPr>
      </w:pPr>
      <w:r>
        <w:rPr>
          <w:sz w:val="22"/>
        </w:rPr>
        <w:t>Иные документы Организатора и Участников не определяют права и обязанности сторон в связи с данной закупкой.</w:t>
      </w:r>
    </w:p>
    <w:p>
      <w:pPr>
        <w:pStyle w:val="Style21"/>
        <w:rPr>
          <w:sz w:val="22"/>
        </w:rPr>
      </w:pPr>
      <w:r>
        <w:rPr>
          <w:sz w:val="22"/>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0"/>
        <w:rPr>
          <w:sz w:val="22"/>
        </w:rPr>
      </w:pPr>
      <w:bookmarkStart w:id="76" w:name="__RefHeading___Toc192511_1558056896"/>
      <w:bookmarkStart w:id="77" w:name="_Toc186224118"/>
      <w:bookmarkStart w:id="78" w:name="_Ref125363536"/>
      <w:bookmarkEnd w:id="76"/>
      <w:r>
        <w:rPr>
          <w:sz w:val="22"/>
        </w:rPr>
        <w:t>Обжалование</w:t>
      </w:r>
      <w:bookmarkEnd w:id="77"/>
      <w:bookmarkEnd w:id="78"/>
    </w:p>
    <w:p>
      <w:pPr>
        <w:pStyle w:val="Style21"/>
        <w:rPr>
          <w:sz w:val="22"/>
        </w:rPr>
      </w:pPr>
      <w:r>
        <w:rPr>
          <w:sz w:val="22"/>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1"/>
        <w:rPr>
          <w:sz w:val="22"/>
        </w:rPr>
      </w:pPr>
      <w:r>
        <w:rPr>
          <w:sz w:val="22"/>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1"/>
        <w:keepNext w:val="true"/>
        <w:rPr>
          <w:sz w:val="22"/>
        </w:rPr>
      </w:pPr>
      <w:r>
        <w:rPr>
          <w:sz w:val="22"/>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2"/>
        <w:rPr>
          <w:sz w:val="22"/>
        </w:rPr>
      </w:pPr>
      <w:r>
        <w:rPr>
          <w:sz w:val="22"/>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2"/>
        <w:rPr>
          <w:sz w:val="22"/>
        </w:rPr>
      </w:pPr>
      <w:r>
        <w:rPr>
          <w:sz w:val="22"/>
        </w:rPr>
        <w:t>признать заявление Участника необоснованным.</w:t>
      </w:r>
    </w:p>
    <w:p>
      <w:pPr>
        <w:pStyle w:val="Style21"/>
        <w:rPr>
          <w:sz w:val="22"/>
        </w:rPr>
      </w:pPr>
      <w:r>
        <w:rPr>
          <w:sz w:val="22"/>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обжалование таких действий (бездействия) может осуществляться только Участником, подавшим заявку на участие в такой закупке.</w:t>
      </w:r>
    </w:p>
    <w:p>
      <w:pPr>
        <w:pStyle w:val="Style21"/>
        <w:rPr>
          <w:sz w:val="22"/>
        </w:rPr>
      </w:pPr>
      <w:r>
        <w:rPr>
          <w:sz w:val="22"/>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2"/>
        <w:rPr>
          <w:sz w:val="22"/>
        </w:rPr>
      </w:pPr>
      <w:r>
        <w:rPr>
          <w:sz w:val="22"/>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2"/>
        <w:rPr>
          <w:sz w:val="22"/>
        </w:rPr>
      </w:pPr>
      <w:r>
        <w:rPr>
          <w:sz w:val="22"/>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5"/>
        <w:ind w:left="1134" w:hanging="0"/>
        <w:rPr>
          <w:sz w:val="22"/>
        </w:rPr>
      </w:pPr>
      <w:r>
        <w:rPr>
          <w:sz w:val="22"/>
        </w:rPr>
        <w:t>Закупочная комиссия определяется в соответствии с Положением о закупке.</w:t>
      </w:r>
    </w:p>
    <w:p>
      <w:pPr>
        <w:pStyle w:val="Style20"/>
        <w:rPr>
          <w:sz w:val="22"/>
        </w:rPr>
      </w:pPr>
      <w:bookmarkStart w:id="79" w:name="__RefHeading___Toc192513_1558056896"/>
      <w:bookmarkStart w:id="80" w:name="_Toc186224119"/>
      <w:bookmarkEnd w:id="79"/>
      <w:r>
        <w:rPr>
          <w:sz w:val="22"/>
        </w:rPr>
        <w:t>Особые положения при проведении закупки с использованием ЭП</w:t>
      </w:r>
      <w:bookmarkEnd w:id="80"/>
    </w:p>
    <w:p>
      <w:pPr>
        <w:pStyle w:val="Style21"/>
        <w:rPr>
          <w:sz w:val="22"/>
        </w:rPr>
      </w:pPr>
      <w:r>
        <w:rPr>
          <w:sz w:val="22"/>
        </w:rPr>
        <w:t>Наименование ЭП, посредством которой проводится закупка, указано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До подачи заявки Участник обязан ознакомиться с Регламентом ЭП, опубликованными на сайте соответствующей ЭП.</w:t>
      </w:r>
    </w:p>
    <w:p>
      <w:pPr>
        <w:pStyle w:val="Style21"/>
        <w:rPr>
          <w:sz w:val="22"/>
        </w:rPr>
      </w:pPr>
      <w:r>
        <w:rPr>
          <w:sz w:val="22"/>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1"/>
        <w:rPr>
          <w:sz w:val="22"/>
        </w:rPr>
      </w:pPr>
      <w:r>
        <w:rPr>
          <w:sz w:val="22"/>
        </w:rPr>
        <w:t>Правила проведения закупки в том числе определяются Регламентом ЭП.</w:t>
      </w:r>
    </w:p>
    <w:p>
      <w:pPr>
        <w:pStyle w:val="Style21"/>
        <w:rPr>
          <w:sz w:val="22"/>
        </w:rPr>
      </w:pPr>
      <w:r>
        <w:rPr>
          <w:sz w:val="22"/>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1"/>
        <w:rPr>
          <w:sz w:val="22"/>
        </w:rPr>
      </w:pPr>
      <w:r>
        <w:rPr>
          <w:sz w:val="22"/>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0"/>
        <w:rPr>
          <w:sz w:val="22"/>
        </w:rPr>
      </w:pPr>
      <w:bookmarkStart w:id="81" w:name="__RefHeading___Toc192515_1558056896"/>
      <w:bookmarkStart w:id="82" w:name="_Toc186224120"/>
      <w:bookmarkEnd w:id="81"/>
      <w:r>
        <w:rPr>
          <w:sz w:val="22"/>
        </w:rPr>
        <w:t>Прочие положения</w:t>
      </w:r>
      <w:bookmarkEnd w:id="82"/>
    </w:p>
    <w:p>
      <w:pPr>
        <w:pStyle w:val="Style21"/>
        <w:rPr>
          <w:sz w:val="22"/>
        </w:rPr>
      </w:pPr>
      <w:r>
        <w:rPr>
          <w:sz w:val="22"/>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1"/>
        <w:rPr>
          <w:sz w:val="22"/>
        </w:rPr>
      </w:pPr>
      <w:r>
        <w:rPr>
          <w:sz w:val="22"/>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1"/>
        <w:rPr>
          <w:sz w:val="22"/>
        </w:rPr>
      </w:pPr>
      <w:r>
        <w:rPr>
          <w:sz w:val="22"/>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19"/>
        <w:rPr>
          <w:sz w:val="22"/>
        </w:rPr>
      </w:pPr>
      <w:bookmarkStart w:id="83" w:name="__RefHeading___Toc192517_1558056896"/>
      <w:bookmarkStart w:id="84" w:name="_Ref125361210"/>
      <w:bookmarkStart w:id="85" w:name="_Toc186224121"/>
      <w:bookmarkEnd w:id="83"/>
      <w:r>
        <w:rPr>
          <w:sz w:val="22"/>
        </w:rPr>
        <w:t>Требования к Участникам</w:t>
      </w:r>
      <w:bookmarkEnd w:id="84"/>
      <w:bookmarkEnd w:id="85"/>
    </w:p>
    <w:p>
      <w:pPr>
        <w:pStyle w:val="Style20"/>
        <w:rPr>
          <w:sz w:val="22"/>
        </w:rPr>
      </w:pPr>
      <w:bookmarkStart w:id="86" w:name="__RefHeading___Toc192519_1558056896"/>
      <w:bookmarkStart w:id="87" w:name="_Ref127524530"/>
      <w:bookmarkStart w:id="88" w:name="_Toc186224122"/>
      <w:bookmarkEnd w:id="86"/>
      <w:r>
        <w:rPr>
          <w:sz w:val="22"/>
        </w:rPr>
        <w:t>Общие требования к Участникам</w:t>
      </w:r>
      <w:bookmarkEnd w:id="87"/>
      <w:bookmarkEnd w:id="88"/>
    </w:p>
    <w:p>
      <w:pPr>
        <w:pStyle w:val="Style21"/>
        <w:rPr>
          <w:sz w:val="22"/>
        </w:rPr>
      </w:pPr>
      <w:bookmarkStart w:id="89" w:name="_Ref125361514"/>
      <w:r>
        <w:rPr>
          <w:sz w:val="22"/>
        </w:rPr>
        <w:t>Из лиц, указанных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участвовать в закупке может любое юридическое / физическое лицо (в том числе индивидуальный предприниматель),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w:t>
      </w:r>
      <w:bookmarkEnd w:id="89"/>
    </w:p>
    <w:p>
      <w:pPr>
        <w:pStyle w:val="Style21"/>
        <w:rPr>
          <w:sz w:val="22"/>
        </w:rPr>
      </w:pPr>
      <w:r>
        <w:rPr>
          <w:sz w:val="22"/>
        </w:rPr>
        <w:t>Однако, чтобы претендовать на победу в закупке Участник самостоятельно в целом должен отвечать требованиям, установленным в Документации о закупке.</w:t>
      </w:r>
    </w:p>
    <w:p>
      <w:pPr>
        <w:pStyle w:val="Style21"/>
        <w:rPr/>
      </w:pPr>
      <w:r>
        <w:rPr>
          <w:sz w:val="22"/>
        </w:rPr>
        <w:t xml:space="preserve">Требования к Участникам установлены с учетом предмета договора, </w:t>
      </w:r>
      <w:hyperlink w:anchor="Прил01_ТехТребования">
        <w:r>
          <w:rPr>
            <w:rStyle w:val="Style7"/>
            <w:sz w:val="22"/>
          </w:rPr>
          <w:t>Технических требований (Приложение № 1)</w:t>
        </w:r>
      </w:hyperlink>
      <w:r>
        <w:rPr>
          <w:sz w:val="22"/>
        </w:rPr>
        <w:t xml:space="preserve"> и </w:t>
      </w:r>
      <w:hyperlink w:anchor="Прил02_ПроектДоговора">
        <w:r>
          <w:rPr>
            <w:rStyle w:val="Style7"/>
            <w:sz w:val="22"/>
          </w:rPr>
          <w:t>Проекта договора (Приложение № 2)</w:t>
        </w:r>
      </w:hyperlink>
      <w:r>
        <w:rPr>
          <w:sz w:val="22"/>
        </w:rPr>
        <w:t>.</w:t>
      </w:r>
    </w:p>
    <w:p>
      <w:pPr>
        <w:pStyle w:val="Style21"/>
        <w:keepNext w:val="true"/>
        <w:rPr/>
      </w:pPr>
      <w:r>
        <w:rPr>
          <w:sz w:val="22"/>
        </w:rPr>
        <w:t>Установлены следующие требования к Участникам, которые приведены в </w:t>
      </w:r>
      <w:hyperlink w:anchor="Прил03_ТребованияУчастникам">
        <w:r>
          <w:rPr>
            <w:rStyle w:val="Style7"/>
            <w:sz w:val="22"/>
          </w:rPr>
          <w:t>Приложении № 3</w:t>
        </w:r>
      </w:hyperlink>
      <w:r>
        <w:rPr>
          <w:sz w:val="22"/>
        </w:rPr>
        <w:t>:</w:t>
      </w:r>
    </w:p>
    <w:p>
      <w:pPr>
        <w:pStyle w:val="Style22"/>
        <w:rPr>
          <w:sz w:val="22"/>
        </w:rPr>
      </w:pPr>
      <w:r>
        <w:rPr>
          <w:sz w:val="22"/>
        </w:rPr>
        <w:t>обязательные требования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 – Участники должны им соответствовать;</w:t>
      </w:r>
    </w:p>
    <w:p>
      <w:pPr>
        <w:pStyle w:val="Style22"/>
        <w:rPr>
          <w:sz w:val="22"/>
        </w:rPr>
      </w:pPr>
      <w:r>
        <w:rPr>
          <w:sz w:val="22"/>
        </w:rPr>
        <w:t>специальные требования – Участники должны им соответствовать, если они установлены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w:t>
      </w:r>
    </w:p>
    <w:p>
      <w:pPr>
        <w:pStyle w:val="Style21"/>
        <w:keepNext w:val="true"/>
        <w:rPr>
          <w:sz w:val="22"/>
        </w:rPr>
      </w:pPr>
      <w:r>
        <w:rPr>
          <w:sz w:val="22"/>
        </w:rPr>
        <w:t>В рамках требований к Участникам могут быть установлены дополнительные требования:</w:t>
      </w:r>
    </w:p>
    <w:p>
      <w:pPr>
        <w:pStyle w:val="Style22"/>
        <w:rPr>
          <w:sz w:val="22"/>
        </w:rPr>
      </w:pPr>
      <w:r>
        <w:rPr>
          <w:sz w:val="22"/>
        </w:rPr>
        <w:t>к Генеральным подрядчикам (подраздел </w:t>
      </w:r>
      <w:r>
        <w:rPr>
          <w:sz w:val="22"/>
        </w:rPr>
        <w:fldChar w:fldCharType="begin"/>
      </w:r>
      <w:r>
        <w:rPr>
          <w:sz w:val="22"/>
        </w:rPr>
        <w:instrText xml:space="preserve"> REF _Ref125361702 \r \h </w:instrText>
      </w:r>
      <w:r>
        <w:rPr>
          <w:sz w:val="22"/>
        </w:rPr>
        <w:fldChar w:fldCharType="separate"/>
      </w:r>
      <w:r>
        <w:rPr>
          <w:sz w:val="22"/>
        </w:rPr>
        <w:t>3.2</w:t>
      </w:r>
      <w:r>
        <w:rPr>
          <w:sz w:val="22"/>
        </w:rPr>
        <w:fldChar w:fldCharType="end"/>
      </w:r>
      <w:r>
        <w:rPr>
          <w:sz w:val="22"/>
        </w:rPr>
        <w:t>).</w:t>
      </w:r>
    </w:p>
    <w:p>
      <w:pPr>
        <w:pStyle w:val="Style21"/>
        <w:rPr/>
      </w:pPr>
      <w:r>
        <w:rPr>
          <w:sz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7"/>
            <w:sz w:val="22"/>
          </w:rPr>
          <w:t>Требованиях к Участникам (Приложение № 3)</w:t>
        </w:r>
      </w:hyperlink>
      <w:r>
        <w:rPr>
          <w:sz w:val="22"/>
        </w:rPr>
        <w:t xml:space="preserve">, </w:t>
      </w:r>
      <w:bookmarkStart w:id="90" w:name="_Hlk132706049"/>
      <w:r>
        <w:rPr>
          <w:sz w:val="22"/>
        </w:rPr>
        <w:t>если иное не установлено в Документации о закупке</w:t>
      </w:r>
      <w:bookmarkEnd w:id="90"/>
      <w:r>
        <w:rPr>
          <w:sz w:val="22"/>
        </w:rPr>
        <w:t>.</w:t>
      </w:r>
    </w:p>
    <w:p>
      <w:pPr>
        <w:pStyle w:val="Style20"/>
        <w:rPr>
          <w:sz w:val="22"/>
        </w:rPr>
      </w:pPr>
      <w:bookmarkStart w:id="91" w:name="__RefHeading___Toc192521_1558056896_Копи"/>
      <w:bookmarkStart w:id="92" w:name="_Ref125361702"/>
      <w:bookmarkStart w:id="93" w:name="_Toc186224124"/>
      <w:bookmarkEnd w:id="91"/>
      <w:r>
        <w:rPr>
          <w:sz w:val="22"/>
        </w:rPr>
        <w:t>Генеральные подрядчики</w:t>
      </w:r>
      <w:bookmarkEnd w:id="92"/>
      <w:bookmarkEnd w:id="93"/>
    </w:p>
    <w:p>
      <w:pPr>
        <w:pStyle w:val="Style21"/>
        <w:rPr>
          <w:sz w:val="22"/>
        </w:rPr>
      </w:pPr>
      <w:r>
        <w:rPr>
          <w:sz w:val="22"/>
        </w:rPr>
        <w:t>Нормы настоящего подраздела применяются только,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предусмотрены рассмотрение и оценка заявок Участников с учетом привлекаемых субподрядчиков.</w:t>
      </w:r>
    </w:p>
    <w:p>
      <w:pPr>
        <w:pStyle w:val="Style21"/>
        <w:rPr/>
      </w:pPr>
      <w:r>
        <w:rPr>
          <w:sz w:val="22"/>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sz w:val="22"/>
        </w:rPr>
        <w:fldChar w:fldCharType="begin"/>
      </w:r>
      <w:r>
        <w:rPr>
          <w:sz w:val="22"/>
        </w:rPr>
        <w:instrText xml:space="preserve"> REF _Ref125709777 \r \h </w:instrText>
      </w:r>
      <w:r>
        <w:rPr>
          <w:sz w:val="22"/>
        </w:rPr>
        <w:fldChar w:fldCharType="separate"/>
      </w:r>
      <w:r>
        <w:rPr>
          <w:sz w:val="22"/>
        </w:rPr>
        <w:t>8.4</w:t>
      </w:r>
      <w:r>
        <w:rPr>
          <w:sz w:val="22"/>
        </w:rPr>
        <w:fldChar w:fldCharType="end"/>
      </w:r>
      <w:r>
        <w:rPr>
          <w:sz w:val="22"/>
        </w:rPr>
        <w:t xml:space="preserve"> </w:t>
      </w:r>
      <w:hyperlink w:anchor="Прил03_ТребованияУчастникам">
        <w:r>
          <w:rPr>
            <w:rStyle w:val="Style7"/>
            <w:sz w:val="22"/>
          </w:rPr>
          <w:t>Требований к Участникам (Приложение № 3)</w:t>
        </w:r>
      </w:hyperlink>
      <w:r>
        <w:rPr>
          <w:sz w:val="22"/>
        </w:rPr>
        <w:t>.</w:t>
      </w:r>
    </w:p>
    <w:p>
      <w:pPr>
        <w:pStyle w:val="Style21"/>
        <w:keepNext w:val="true"/>
        <w:rPr>
          <w:sz w:val="22"/>
        </w:rPr>
      </w:pPr>
      <w:r>
        <w:rPr>
          <w:sz w:val="22"/>
        </w:rPr>
        <w:t>Генеральный подрядчик:</w:t>
      </w:r>
    </w:p>
    <w:p>
      <w:pPr>
        <w:pStyle w:val="Style22"/>
        <w:rPr>
          <w:sz w:val="22"/>
        </w:rPr>
      </w:pPr>
      <w:r>
        <w:rPr>
          <w:sz w:val="22"/>
        </w:rPr>
        <w:t>должен самостоятельно отвечать всем обязательным требованиям к Участникам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w:t>
      </w:r>
    </w:p>
    <w:p>
      <w:pPr>
        <w:pStyle w:val="Style22"/>
        <w:rPr>
          <w:sz w:val="22"/>
        </w:rPr>
      </w:pPr>
      <w:r>
        <w:rPr>
          <w:sz w:val="22"/>
        </w:rPr>
        <w:t>в рамках специальных требований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2"/>
        <w:rPr/>
      </w:pPr>
      <w:r>
        <w:rPr>
          <w:sz w:val="22"/>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7"/>
            <w:sz w:val="22"/>
          </w:rPr>
          <w:t>Приложение № 4</w:t>
        </w:r>
      </w:hyperlink>
      <w:r>
        <w:rPr>
          <w:sz w:val="22"/>
        </w:rPr>
        <w:t>).</w:t>
      </w:r>
    </w:p>
    <w:p>
      <w:pPr>
        <w:pStyle w:val="Style21"/>
        <w:keepNext w:val="true"/>
        <w:rPr>
          <w:sz w:val="22"/>
        </w:rPr>
      </w:pPr>
      <w:r>
        <w:rPr>
          <w:sz w:val="22"/>
        </w:rPr>
        <w:t>Каждый субподрядчик из привлекаемых Генеральным подрядчиком должен отвечать:</w:t>
      </w:r>
    </w:p>
    <w:p>
      <w:pPr>
        <w:pStyle w:val="Style22"/>
        <w:rPr>
          <w:sz w:val="22"/>
        </w:rPr>
      </w:pPr>
      <w:r>
        <w:rPr>
          <w:sz w:val="22"/>
        </w:rPr>
        <w:t>обязательным требованиям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w:t>
      </w:r>
    </w:p>
    <w:p>
      <w:pPr>
        <w:pStyle w:val="Style22"/>
        <w:rPr>
          <w:sz w:val="22"/>
        </w:rPr>
      </w:pPr>
      <w:r>
        <w:rPr>
          <w:sz w:val="22"/>
        </w:rPr>
        <w:t>специальным требованиям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 (в случае их установления), за исключением требования о наличии членства в саморегулируемых организациях.</w:t>
      </w:r>
    </w:p>
    <w:p>
      <w:pPr>
        <w:pStyle w:val="Style25"/>
        <w:ind w:left="1134" w:hanging="0"/>
        <w:rPr/>
      </w:pPr>
      <w:bookmarkStart w:id="94" w:name="_Ref125368863"/>
      <w:r>
        <w:rPr>
          <w:sz w:val="22"/>
        </w:rPr>
        <w:t xml:space="preserve">При этом соответствовать специальным требованиям субподрядчик должен только в части объема поставки продукции, который ему </w:t>
      </w:r>
      <w:bookmarkEnd w:id="94"/>
      <w:r>
        <w:rPr>
          <w:sz w:val="22"/>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7"/>
            <w:sz w:val="22"/>
          </w:rPr>
          <w:t>Приложение № 4</w:t>
        </w:r>
      </w:hyperlink>
      <w:r>
        <w:rPr>
          <w:sz w:val="22"/>
        </w:rPr>
        <w:t>).</w:t>
      </w:r>
    </w:p>
    <w:p>
      <w:pPr>
        <w:pStyle w:val="Style21"/>
        <w:rPr/>
      </w:pPr>
      <w:r>
        <w:rPr>
          <w:sz w:val="22"/>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7"/>
            <w:sz w:val="22"/>
          </w:rPr>
          <w:t>Порядке и критериях оценки и сопоставления заявок (Приложение № 8)</w:t>
        </w:r>
      </w:hyperlink>
      <w:r>
        <w:rPr>
          <w:sz w:val="22"/>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1"/>
        <w:rPr>
          <w:sz w:val="22"/>
        </w:rPr>
      </w:pPr>
      <w:bookmarkStart w:id="95" w:name="_Ref125361799"/>
      <w:r>
        <w:rPr>
          <w:sz w:val="22"/>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5"/>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1"/>
        <w:rPr/>
      </w:pPr>
      <w:r>
        <w:rPr>
          <w:sz w:val="22"/>
        </w:rPr>
        <w:t>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sz w:val="22"/>
        </w:rPr>
        <w:fldChar w:fldCharType="begin"/>
      </w:r>
      <w:r>
        <w:rPr>
          <w:sz w:val="22"/>
        </w:rPr>
        <w:instrText xml:space="preserve"> REF _Ref125709973 \r \h </w:instrText>
      </w:r>
      <w:r>
        <w:rPr>
          <w:sz w:val="22"/>
        </w:rPr>
        <w:fldChar w:fldCharType="separate"/>
      </w:r>
      <w:r>
        <w:rPr>
          <w:sz w:val="22"/>
        </w:rPr>
        <w:t>8.4</w:t>
      </w:r>
      <w:r>
        <w:rPr>
          <w:sz w:val="22"/>
        </w:rPr>
        <w:fldChar w:fldCharType="end"/>
      </w:r>
      <w:r>
        <w:rPr>
          <w:sz w:val="22"/>
        </w:rPr>
        <w:t xml:space="preserve"> </w:t>
      </w:r>
      <w:hyperlink w:anchor="Прил03_ТребованияУчастникам">
        <w:r>
          <w:rPr>
            <w:rStyle w:val="Style7"/>
            <w:sz w:val="22"/>
          </w:rPr>
          <w:t>Требований к Участникам (Приложение № 3)</w:t>
        </w:r>
      </w:hyperlink>
      <w:r>
        <w:rPr>
          <w:sz w:val="22"/>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19"/>
        <w:rPr/>
      </w:pPr>
      <w:bookmarkStart w:id="96" w:name="__RefHeading___Toc192525_1558056896"/>
      <w:bookmarkStart w:id="97" w:name="_Ref125361211"/>
      <w:bookmarkStart w:id="98" w:name="_Ref125367098"/>
      <w:bookmarkStart w:id="99" w:name="_Ref125367107"/>
      <w:bookmarkStart w:id="100" w:name="_Ref125367974"/>
      <w:bookmarkStart w:id="101" w:name="_Toc186224125"/>
      <w:bookmarkEnd w:id="96"/>
      <w:r>
        <w:rPr/>
        <w:t>Порядок проведения закупки</w:t>
      </w:r>
      <w:bookmarkEnd w:id="97"/>
      <w:bookmarkEnd w:id="98"/>
      <w:bookmarkEnd w:id="99"/>
      <w:bookmarkEnd w:id="100"/>
      <w:bookmarkEnd w:id="101"/>
    </w:p>
    <w:p>
      <w:pPr>
        <w:pStyle w:val="Style20"/>
        <w:rPr/>
      </w:pPr>
      <w:bookmarkStart w:id="102" w:name="__RefHeading___Toc192527_1558056896"/>
      <w:bookmarkStart w:id="103" w:name="_Ref126141932"/>
      <w:bookmarkStart w:id="104" w:name="_Toc186224126"/>
      <w:bookmarkEnd w:id="102"/>
      <w:r>
        <w:rPr/>
        <w:t>Общий порядок проведения закупки</w:t>
      </w:r>
      <w:bookmarkEnd w:id="103"/>
      <w:bookmarkEnd w:id="104"/>
    </w:p>
    <w:p>
      <w:pPr>
        <w:pStyle w:val="Style21"/>
        <w:keepNext w:val="true"/>
        <w:spacing w:before="120" w:after="120"/>
        <w:rPr/>
      </w:pPr>
      <w:r>
        <w:rPr/>
        <w:t>Закупка проводится в следующем порядке:</w:t>
      </w:r>
    </w:p>
    <w:tbl>
      <w:tblPr>
        <w:tblStyle w:val="afff3"/>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5"/>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5"/>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042"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0"/>
        <w:rPr>
          <w:sz w:val="22"/>
        </w:rPr>
      </w:pPr>
      <w:bookmarkStart w:id="105" w:name="__RefHeading___Toc192529_1558056896"/>
      <w:bookmarkStart w:id="106" w:name="_Ref130286532"/>
      <w:bookmarkStart w:id="107" w:name="_Toc186224127"/>
      <w:bookmarkEnd w:id="105"/>
      <w:r>
        <w:rPr>
          <w:sz w:val="22"/>
        </w:rPr>
        <w:t>Официальное размещение Извещения и Документации о закупке</w:t>
      </w:r>
      <w:bookmarkEnd w:id="106"/>
      <w:bookmarkEnd w:id="107"/>
    </w:p>
    <w:p>
      <w:pPr>
        <w:pStyle w:val="Style21"/>
        <w:rPr>
          <w:sz w:val="22"/>
        </w:rPr>
      </w:pPr>
      <w:r>
        <w:rPr>
          <w:sz w:val="22"/>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1"/>
        <w:rPr>
          <w:sz w:val="22"/>
        </w:rPr>
      </w:pPr>
      <w:r>
        <w:rPr>
          <w:sz w:val="22"/>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1"/>
        <w:rPr>
          <w:sz w:val="22"/>
        </w:rPr>
      </w:pPr>
      <w:bookmarkStart w:id="108" w:name="_Ref125362785"/>
      <w:r>
        <w:rPr>
          <w:sz w:val="22"/>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08"/>
    </w:p>
    <w:p>
      <w:pPr>
        <w:pStyle w:val="Style21"/>
        <w:rPr>
          <w:sz w:val="22"/>
        </w:rPr>
      </w:pPr>
      <w:r>
        <w:rPr>
          <w:sz w:val="22"/>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0"/>
        <w:rPr>
          <w:sz w:val="22"/>
        </w:rPr>
      </w:pPr>
      <w:bookmarkStart w:id="109" w:name="__RefHeading___Toc192531_1558056896"/>
      <w:bookmarkStart w:id="110" w:name="_Toc186224129"/>
      <w:bookmarkStart w:id="111" w:name="_Ref130394681"/>
      <w:bookmarkStart w:id="112" w:name="_Ref130281199"/>
      <w:bookmarkEnd w:id="109"/>
      <w:r>
        <w:rPr>
          <w:sz w:val="22"/>
        </w:rPr>
        <w:t>Подготовка заявки</w:t>
      </w:r>
      <w:bookmarkEnd w:id="110"/>
      <w:bookmarkEnd w:id="111"/>
      <w:bookmarkEnd w:id="112"/>
    </w:p>
    <w:p>
      <w:pPr>
        <w:pStyle w:val="Style21"/>
        <w:rPr>
          <w:sz w:val="22"/>
        </w:rPr>
      </w:pPr>
      <w:r>
        <w:rPr>
          <w:sz w:val="22"/>
        </w:rPr>
        <w:t>Участник должен подготовить заявку с учетом требований Документации о закупке.</w:t>
      </w:r>
    </w:p>
    <w:p>
      <w:pPr>
        <w:pStyle w:val="Style21"/>
        <w:rPr>
          <w:sz w:val="22"/>
        </w:rPr>
      </w:pPr>
      <w:r>
        <w:rPr>
          <w:sz w:val="22"/>
        </w:rPr>
        <w:t>Участник самостоятельно несет все расходы, связанные с подготовкой и подачей заявки (подраздел </w:t>
      </w:r>
      <w:r>
        <w:rPr>
          <w:sz w:val="22"/>
        </w:rPr>
        <w:fldChar w:fldCharType="begin"/>
      </w:r>
      <w:r>
        <w:rPr>
          <w:sz w:val="22"/>
        </w:rPr>
        <w:instrText xml:space="preserve"> REF _Ref125362119 \r \h </w:instrText>
      </w:r>
      <w:r>
        <w:rPr>
          <w:sz w:val="22"/>
        </w:rPr>
        <w:fldChar w:fldCharType="separate"/>
      </w:r>
      <w:r>
        <w:rPr>
          <w:sz w:val="22"/>
        </w:rPr>
        <w:t>4.6</w:t>
      </w:r>
      <w:r>
        <w:rPr>
          <w:sz w:val="22"/>
        </w:rPr>
        <w:fldChar w:fldCharType="end"/>
      </w:r>
      <w:r>
        <w:rPr>
          <w:sz w:val="22"/>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1"/>
        <w:rPr/>
      </w:pPr>
      <w:r>
        <w:rPr>
          <w:sz w:val="22"/>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7"/>
            <w:sz w:val="22"/>
          </w:rPr>
          <w:t>Приложением № 6 – Состав заявки</w:t>
        </w:r>
      </w:hyperlink>
      <w:r>
        <w:rPr>
          <w:sz w:val="22"/>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7"/>
            <w:sz w:val="22"/>
          </w:rPr>
          <w:t>Приложение № 4</w:t>
        </w:r>
      </w:hyperlink>
      <w:r>
        <w:rPr>
          <w:sz w:val="22"/>
        </w:rPr>
        <w:t>.</w:t>
      </w:r>
    </w:p>
    <w:p>
      <w:pPr>
        <w:pStyle w:val="Style21"/>
        <w:rPr/>
      </w:pPr>
      <w:r>
        <w:rPr>
          <w:sz w:val="22"/>
        </w:rPr>
        <w:t xml:space="preserve">Непосредственно перед подачей заявки Участник должен разделить подготовленные документы на отдельные части: </w:t>
      </w:r>
      <w:bookmarkStart w:id="113" w:name="_Hlk132886098"/>
      <w:r>
        <w:rPr>
          <w:sz w:val="22"/>
        </w:rPr>
        <w:t>первую часть, вторую часть и ценовое предложение</w:t>
      </w:r>
      <w:bookmarkEnd w:id="113"/>
      <w:r>
        <w:rPr>
          <w:sz w:val="22"/>
        </w:rPr>
        <w:t xml:space="preserve"> в соответствии с перечнем документов, входящих в каждую из частей, определенному </w:t>
      </w:r>
      <w:hyperlink w:anchor="Прил06_СоставЗаявки">
        <w:r>
          <w:rPr>
            <w:rStyle w:val="Style7"/>
            <w:sz w:val="22"/>
          </w:rPr>
          <w:t>Приложением № 6 – Состав заявки</w:t>
        </w:r>
      </w:hyperlink>
      <w:r>
        <w:rPr>
          <w:sz w:val="22"/>
        </w:rPr>
        <w:t>.</w:t>
      </w:r>
    </w:p>
    <w:p>
      <w:pPr>
        <w:pStyle w:val="Style21"/>
        <w:rPr/>
      </w:pPr>
      <w:r>
        <w:rPr>
          <w:sz w:val="22"/>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7"/>
            <w:sz w:val="22"/>
          </w:rPr>
          <w:t>Порядке и критериях оценки и сопоставления заявок (Приложение № 8)</w:t>
        </w:r>
      </w:hyperlink>
      <w:r>
        <w:rPr>
          <w:sz w:val="22"/>
        </w:rPr>
        <w:t>).</w:t>
      </w:r>
    </w:p>
    <w:p>
      <w:pPr>
        <w:pStyle w:val="Style21"/>
        <w:rPr/>
      </w:pPr>
      <w:r>
        <w:rPr>
          <w:sz w:val="22"/>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7"/>
            <w:sz w:val="22"/>
          </w:rPr>
          <w:t>Порядке и критериях оценки и сопоставления заявок (Приложение № 8)</w:t>
        </w:r>
      </w:hyperlink>
      <w:r>
        <w:rPr>
          <w:sz w:val="22"/>
        </w:rPr>
        <w:t>).</w:t>
      </w:r>
    </w:p>
    <w:p>
      <w:pPr>
        <w:pStyle w:val="Style21"/>
        <w:rPr>
          <w:sz w:val="22"/>
        </w:rPr>
      </w:pPr>
      <w:r>
        <w:rPr>
          <w:sz w:val="22"/>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1"/>
        <w:rPr>
          <w:sz w:val="22"/>
        </w:rPr>
      </w:pPr>
      <w:r>
        <w:rPr>
          <w:sz w:val="22"/>
        </w:rPr>
        <w:t>В случае обнаружения в первой части заявки сведений об Участнике и (или) его ценовом предложении, такая заявка подлежит отклонению.</w:t>
      </w:r>
    </w:p>
    <w:p>
      <w:pPr>
        <w:pStyle w:val="Style21"/>
        <w:rPr>
          <w:sz w:val="22"/>
        </w:rPr>
      </w:pPr>
      <w:bookmarkStart w:id="114" w:name="_Ref125365866"/>
      <w:bookmarkStart w:id="115" w:name="_Ref130394854"/>
      <w:r>
        <w:rPr>
          <w:sz w:val="22"/>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4"/>
      <w:bookmarkEnd w:id="115"/>
    </w:p>
    <w:p>
      <w:pPr>
        <w:pStyle w:val="Style21"/>
        <w:rPr/>
      </w:pPr>
      <w:r>
        <w:rPr>
          <w:sz w:val="22"/>
        </w:rPr>
        <w:t>Заявка должна быть действительна в течение срока проведения закупки и до истечения срока, отведенного на заключение Договора (пункт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 В любом случае этот срок должен быть не менее чем 90 (девяносто) календарных дней с даты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Указание меньшего срока действия заявки в Письме о подаче оферты (форма 2) (</w:t>
      </w:r>
      <w:hyperlink w:anchor="Прил04_ФормыЗаявки">
        <w:r>
          <w:rPr>
            <w:rStyle w:val="Style7"/>
            <w:sz w:val="22"/>
          </w:rPr>
          <w:t>Приложение № 4</w:t>
        </w:r>
      </w:hyperlink>
      <w:r>
        <w:rPr>
          <w:sz w:val="22"/>
        </w:rPr>
        <w:t>) может служить основанием для отклонения заявки.</w:t>
      </w:r>
    </w:p>
    <w:p>
      <w:pPr>
        <w:pStyle w:val="Style21"/>
        <w:rPr>
          <w:sz w:val="22"/>
        </w:rPr>
      </w:pPr>
      <w:r>
        <w:rPr>
          <w:sz w:val="22"/>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1"/>
        <w:rPr>
          <w:sz w:val="22"/>
        </w:rPr>
      </w:pPr>
      <w:r>
        <w:rPr>
          <w:sz w:val="22"/>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1"/>
        <w:rPr>
          <w:sz w:val="22"/>
        </w:rPr>
      </w:pPr>
      <w:bookmarkStart w:id="116" w:name="_Ref125370700"/>
      <w:bookmarkStart w:id="117" w:name="_Ref125370708"/>
      <w:r>
        <w:rPr>
          <w:sz w:val="22"/>
        </w:rPr>
        <w:t>Итоговая стоимость заявки (цена Договора) без учета НДС не должна превышать установленную Заказчиком НМЦ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 противном случае заявка будет отклонена.</w:t>
      </w:r>
    </w:p>
    <w:p>
      <w:pPr>
        <w:pStyle w:val="Style21"/>
        <w:rPr/>
      </w:pPr>
      <w:r>
        <w:rPr>
          <w:sz w:val="22"/>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7"/>
            <w:sz w:val="22"/>
          </w:rPr>
          <w:t>Техническими требованиями (Приложение № 1)</w:t>
        </w:r>
      </w:hyperlink>
      <w:r>
        <w:rPr>
          <w:sz w:val="22"/>
        </w:rPr>
        <w:t xml:space="preserve"> и </w:t>
      </w:r>
      <w:hyperlink w:anchor="Прил02_ПроектДоговора">
        <w:r>
          <w:rPr>
            <w:rStyle w:val="Style7"/>
            <w:sz w:val="22"/>
          </w:rPr>
          <w:t>Проектом договора (Приложение № 2)</w:t>
        </w:r>
      </w:hyperlink>
      <w:r>
        <w:rPr>
          <w:sz w:val="22"/>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6"/>
      <w:bookmarkEnd w:id="117"/>
    </w:p>
    <w:p>
      <w:pPr>
        <w:pStyle w:val="Style21"/>
        <w:rPr/>
      </w:pPr>
      <w:r>
        <w:rPr>
          <w:sz w:val="22"/>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7"/>
            <w:sz w:val="22"/>
          </w:rPr>
          <w:t>Приложение № 4</w:t>
        </w:r>
      </w:hyperlink>
      <w:r>
        <w:rPr>
          <w:sz w:val="22"/>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7"/>
            <w:sz w:val="22"/>
          </w:rPr>
          <w:t>Технических требованиях (Приложение № 1)</w:t>
        </w:r>
      </w:hyperlink>
      <w:r>
        <w:rPr>
          <w:sz w:val="22"/>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1"/>
        <w:keepNext w:val="true"/>
        <w:rPr>
          <w:sz w:val="22"/>
        </w:rPr>
      </w:pPr>
      <w:r>
        <w:rPr>
          <w:sz w:val="22"/>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2"/>
        <w:rPr>
          <w:sz w:val="22"/>
        </w:rPr>
      </w:pPr>
      <w:r>
        <w:rPr>
          <w:sz w:val="22"/>
        </w:rPr>
        <w:t>внутренние противоречия между различными частями и (или) документами заявки, в том числе по тексту внутри одного документа;</w:t>
      </w:r>
    </w:p>
    <w:p>
      <w:pPr>
        <w:pStyle w:val="Style22"/>
        <w:rPr>
          <w:sz w:val="22"/>
        </w:rPr>
      </w:pPr>
      <w:bookmarkStart w:id="118" w:name="_Ref125370398"/>
      <w:bookmarkStart w:id="119" w:name="_Ref125714384"/>
      <w:r>
        <w:rPr>
          <w:sz w:val="22"/>
        </w:rPr>
        <w:t>противоречия между документами заявки и сведениями, указанными Участником в структурированных формах на ЭП.</w:t>
      </w:r>
      <w:bookmarkEnd w:id="118"/>
      <w:bookmarkEnd w:id="119"/>
    </w:p>
    <w:p>
      <w:pPr>
        <w:pStyle w:val="Style21"/>
        <w:rPr>
          <w:sz w:val="22"/>
        </w:rPr>
      </w:pPr>
      <w:r>
        <w:rPr>
          <w:sz w:val="22"/>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2"/>
        <w:rPr>
          <w:sz w:val="22"/>
        </w:rPr>
      </w:pPr>
      <w:r>
        <w:rPr>
          <w:sz w:val="22"/>
        </w:rPr>
        <w:t>полномочий таких органов / лиц на оформление этих документов;</w:t>
      </w:r>
    </w:p>
    <w:p>
      <w:pPr>
        <w:pStyle w:val="Style22"/>
        <w:rPr>
          <w:sz w:val="22"/>
        </w:rPr>
      </w:pPr>
      <w:r>
        <w:rPr>
          <w:sz w:val="22"/>
        </w:rPr>
        <w:t>формы, объема и содержания этих документов.</w:t>
      </w:r>
    </w:p>
    <w:p>
      <w:pPr>
        <w:pStyle w:val="Style21"/>
        <w:keepNext w:val="true"/>
        <w:rPr>
          <w:sz w:val="22"/>
        </w:rPr>
      </w:pPr>
      <w:r>
        <w:rPr>
          <w:sz w:val="22"/>
        </w:rPr>
        <w:t>Участник должен подготовить заявку с соблюдением следующих условий:</w:t>
      </w:r>
    </w:p>
    <w:p>
      <w:pPr>
        <w:pStyle w:val="Style22"/>
        <w:rPr>
          <w:sz w:val="22"/>
        </w:rPr>
      </w:pPr>
      <w:r>
        <w:rPr>
          <w:sz w:val="22"/>
        </w:rPr>
        <w:t>документы заявки могут предоставляться как в графическом виде (в том числе в виде скан-копии, рекомендуемый формат: *.</w:t>
      </w:r>
      <w:r>
        <w:rPr>
          <w:sz w:val="22"/>
          <w:lang w:val="en-US"/>
        </w:rPr>
        <w:t>pdf</w:t>
      </w:r>
      <w:r>
        <w:rPr>
          <w:sz w:val="22"/>
        </w:rPr>
        <w:t>); так и в электронном виде (в формате Microsoft Word (*.doc</w:t>
      </w:r>
      <w:r>
        <w:rPr>
          <w:sz w:val="22"/>
          <w:lang w:val="en-US"/>
        </w:rPr>
        <w:t>x</w:t>
      </w:r>
      <w:r>
        <w:rPr>
          <w:sz w:val="22"/>
        </w:rPr>
        <w:t>), Microsoft Excel (*.xls</w:t>
      </w:r>
      <w:r>
        <w:rPr>
          <w:sz w:val="22"/>
          <w:lang w:val="en-US"/>
        </w:rPr>
        <w:t>x</w:t>
      </w:r>
      <w:r>
        <w:rPr>
          <w:sz w:val="22"/>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sz w:val="22"/>
          <w:lang w:val="en-US"/>
        </w:rPr>
        <w:t>pdf</w:t>
      </w:r>
      <w:r>
        <w:rPr>
          <w:sz w:val="22"/>
        </w:rPr>
        <w:t>);</w:t>
      </w:r>
    </w:p>
    <w:p>
      <w:pPr>
        <w:pStyle w:val="Style22"/>
        <w:rPr>
          <w:sz w:val="22"/>
        </w:rPr>
      </w:pPr>
      <w:r>
        <w:rPr>
          <w:sz w:val="22"/>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2"/>
        <w:rPr>
          <w:sz w:val="22"/>
        </w:rPr>
      </w:pPr>
      <w:r>
        <w:rPr>
          <w:sz w:val="22"/>
        </w:rPr>
        <w:t>все файлы не должны иметь защиты от их открытия, изменения, копирования их содержимого или их печати;</w:t>
      </w:r>
    </w:p>
    <w:p>
      <w:pPr>
        <w:pStyle w:val="Style22"/>
        <w:rPr>
          <w:sz w:val="22"/>
        </w:rPr>
      </w:pPr>
      <w:r>
        <w:rPr>
          <w:sz w:val="22"/>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2"/>
        <w:rPr>
          <w:sz w:val="22"/>
        </w:rPr>
      </w:pPr>
      <w:r>
        <w:rPr>
          <w:sz w:val="22"/>
        </w:rPr>
        <w:t>если какой-либо документ представлен в нечитаемом виде, данный документ считается непредставленным.</w:t>
      </w:r>
    </w:p>
    <w:p>
      <w:pPr>
        <w:pStyle w:val="Style21"/>
        <w:rPr>
          <w:sz w:val="22"/>
        </w:rPr>
      </w:pPr>
      <w:r>
        <w:rPr>
          <w:sz w:val="22"/>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0"/>
        <w:rPr>
          <w:sz w:val="22"/>
        </w:rPr>
      </w:pPr>
      <w:bookmarkStart w:id="120" w:name="__RefHeading___Toc192533_1558056896"/>
      <w:bookmarkStart w:id="121" w:name="_Ref130394205"/>
      <w:bookmarkStart w:id="122" w:name="_Ref130394785"/>
      <w:bookmarkStart w:id="123" w:name="_Ref130394802"/>
      <w:bookmarkStart w:id="124" w:name="_Toc186224130"/>
      <w:bookmarkStart w:id="125" w:name="_Ref125361260"/>
      <w:bookmarkStart w:id="126" w:name="_Ref125362071"/>
      <w:bookmarkStart w:id="127" w:name="_Ref125366672"/>
      <w:bookmarkEnd w:id="120"/>
      <w:r>
        <w:rPr>
          <w:sz w:val="22"/>
        </w:rPr>
        <w:t>Разъяснение Документации о закупке</w:t>
      </w:r>
      <w:bookmarkEnd w:id="121"/>
      <w:bookmarkEnd w:id="122"/>
      <w:bookmarkEnd w:id="123"/>
      <w:bookmarkEnd w:id="124"/>
      <w:bookmarkEnd w:id="125"/>
      <w:bookmarkEnd w:id="126"/>
      <w:bookmarkEnd w:id="127"/>
    </w:p>
    <w:p>
      <w:pPr>
        <w:pStyle w:val="Style21"/>
        <w:rPr>
          <w:sz w:val="22"/>
        </w:rPr>
      </w:pPr>
      <w:r>
        <w:rPr>
          <w:sz w:val="22"/>
        </w:rPr>
        <w:t>Участники вправе обратиться к Организатору за разъяснениями Документации о закупке.</w:t>
      </w:r>
    </w:p>
    <w:p>
      <w:pPr>
        <w:pStyle w:val="Style21"/>
        <w:rPr>
          <w:sz w:val="22"/>
        </w:rPr>
      </w:pPr>
      <w:r>
        <w:rPr>
          <w:sz w:val="22"/>
        </w:rPr>
        <w:t>Запросы подаются в соответствии с Регламентами и инструкциями Оператора ЭП, опубликованными на сайте соответствующей ЭП.</w:t>
      </w:r>
    </w:p>
    <w:p>
      <w:pPr>
        <w:pStyle w:val="Style21"/>
        <w:rPr>
          <w:sz w:val="22"/>
        </w:rPr>
      </w:pPr>
      <w:r>
        <w:rPr>
          <w:sz w:val="22"/>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1"/>
        <w:rPr>
          <w:sz w:val="22"/>
        </w:rPr>
      </w:pPr>
      <w:r>
        <w:rPr>
          <w:sz w:val="22"/>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1"/>
        <w:rPr>
          <w:sz w:val="22"/>
        </w:rPr>
      </w:pPr>
      <w:r>
        <w:rPr>
          <w:sz w:val="22"/>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1"/>
        <w:rPr/>
      </w:pPr>
      <w:r>
        <w:rPr>
          <w:sz w:val="22"/>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7"/>
            <w:sz w:val="22"/>
          </w:rPr>
          <w:t>Проекта договора (Приложения № 2)</w:t>
        </w:r>
      </w:hyperlink>
      <w:r>
        <w:rPr>
          <w:rStyle w:val="Style7"/>
          <w:sz w:val="22"/>
        </w:rPr>
        <w:t>,</w:t>
      </w:r>
      <w:r>
        <w:rPr>
          <w:sz w:val="22"/>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1"/>
        <w:rPr>
          <w:sz w:val="22"/>
        </w:rPr>
      </w:pPr>
      <w:r>
        <w:rPr>
          <w:sz w:val="22"/>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0"/>
        <w:rPr>
          <w:sz w:val="22"/>
        </w:rPr>
      </w:pPr>
      <w:bookmarkStart w:id="128" w:name="__RefHeading___Toc192535_1558056896"/>
      <w:bookmarkStart w:id="129" w:name="_Ref125363891"/>
      <w:bookmarkStart w:id="130" w:name="_Ref125362076"/>
      <w:bookmarkStart w:id="131" w:name="_Ref125364404"/>
      <w:bookmarkStart w:id="132" w:name="_Toc186224131"/>
      <w:bookmarkEnd w:id="128"/>
      <w:r>
        <w:rPr>
          <w:sz w:val="22"/>
        </w:rPr>
        <w:t>Изменения Извещения и (или) Документации о закупке</w:t>
      </w:r>
      <w:bookmarkEnd w:id="129"/>
      <w:bookmarkEnd w:id="130"/>
      <w:bookmarkEnd w:id="131"/>
      <w:bookmarkEnd w:id="132"/>
    </w:p>
    <w:p>
      <w:pPr>
        <w:pStyle w:val="Style21"/>
        <w:rPr>
          <w:sz w:val="22"/>
        </w:rPr>
      </w:pPr>
      <w:r>
        <w:rPr>
          <w:sz w:val="22"/>
        </w:rPr>
        <w:t>Организатор в любой момент до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1"/>
        <w:keepNext w:val="true"/>
        <w:rPr>
          <w:sz w:val="22"/>
        </w:rPr>
      </w:pPr>
      <w:r>
        <w:rPr>
          <w:sz w:val="22"/>
        </w:rPr>
        <w:t>После окончания срока подачи заявок допускается изменение только в части установленных Документацией о закупке дат:</w:t>
      </w:r>
    </w:p>
    <w:p>
      <w:pPr>
        <w:pStyle w:val="Style22"/>
        <w:rPr>
          <w:sz w:val="22"/>
        </w:rPr>
      </w:pPr>
      <w:r>
        <w:rPr>
          <w:sz w:val="22"/>
        </w:rPr>
        <w:t>рассмотрения первых частей заявок / окончательных предложений;</w:t>
      </w:r>
    </w:p>
    <w:p>
      <w:pPr>
        <w:pStyle w:val="Style22"/>
        <w:rPr>
          <w:sz w:val="22"/>
        </w:rPr>
      </w:pPr>
      <w:r>
        <w:rPr>
          <w:sz w:val="22"/>
        </w:rPr>
        <w:t>рассмотрения вторых частей заявок и ценовых предложений;</w:t>
      </w:r>
    </w:p>
    <w:p>
      <w:pPr>
        <w:pStyle w:val="Style22"/>
        <w:rPr>
          <w:sz w:val="22"/>
        </w:rPr>
      </w:pPr>
      <w:r>
        <w:rPr>
          <w:sz w:val="22"/>
        </w:rPr>
        <w:t>проведения переторжки, если предусмотрен данный этап;</w:t>
      </w:r>
    </w:p>
    <w:p>
      <w:pPr>
        <w:pStyle w:val="Style22"/>
        <w:rPr>
          <w:sz w:val="22"/>
        </w:rPr>
      </w:pPr>
      <w:r>
        <w:rPr>
          <w:sz w:val="22"/>
        </w:rPr>
        <w:t>подведения итогов закупки;</w:t>
      </w:r>
    </w:p>
    <w:p>
      <w:pPr>
        <w:pStyle w:val="Style25"/>
        <w:ind w:left="1134" w:hanging="0"/>
        <w:rPr>
          <w:sz w:val="22"/>
        </w:rPr>
      </w:pPr>
      <w:bookmarkStart w:id="133" w:name="_Ref125550844"/>
      <w:r>
        <w:rPr>
          <w:sz w:val="22"/>
        </w:rPr>
        <w:t>в пределах срока действия заявок и с уведомлением Участников, подавших заявки.</w:t>
      </w:r>
      <w:bookmarkEnd w:id="133"/>
    </w:p>
    <w:p>
      <w:pPr>
        <w:pStyle w:val="Style21"/>
        <w:rPr>
          <w:sz w:val="22"/>
        </w:rPr>
      </w:pPr>
      <w:r>
        <w:rPr>
          <w:sz w:val="22"/>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1"/>
        <w:rPr>
          <w:sz w:val="22"/>
        </w:rPr>
      </w:pPr>
      <w:r>
        <w:rPr>
          <w:sz w:val="22"/>
        </w:rPr>
        <w:t>При внесении изменений в Документацию о закупке (за исключением указанного в пункте </w:t>
      </w:r>
      <w:r>
        <w:rPr>
          <w:sz w:val="22"/>
        </w:rPr>
        <w:fldChar w:fldCharType="begin"/>
      </w:r>
      <w:r>
        <w:rPr>
          <w:sz w:val="22"/>
        </w:rPr>
        <w:instrText xml:space="preserve"> REF _Ref125550844 \r \h </w:instrText>
      </w:r>
      <w:r>
        <w:rPr>
          <w:sz w:val="22"/>
        </w:rPr>
        <w:fldChar w:fldCharType="separate"/>
      </w:r>
      <w:r>
        <w:rPr>
          <w:sz w:val="22"/>
        </w:rPr>
      </w:r>
      <w:r>
        <w:rPr>
          <w:sz w:val="22"/>
        </w:rPr>
        <w:fldChar w:fldCharType="end"/>
      </w:r>
      <w:r>
        <w:rPr>
          <w:sz w:val="22"/>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2"/>
        <w:rPr>
          <w:sz w:val="22"/>
        </w:rPr>
      </w:pPr>
      <w:r>
        <w:rPr>
          <w:sz w:val="22"/>
        </w:rPr>
        <w:t>4 (четырех) календарных дней, если НМЦ закупки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не превышает 30 000 000 (тридцать миллионов) рублей без НДС;</w:t>
      </w:r>
    </w:p>
    <w:p>
      <w:pPr>
        <w:pStyle w:val="Style22"/>
        <w:rPr>
          <w:sz w:val="22"/>
        </w:rPr>
      </w:pPr>
      <w:r>
        <w:rPr>
          <w:sz w:val="22"/>
        </w:rPr>
        <w:t>8 (восьми) календарных дней, если НМЦ закупки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превышает 30 000 000 (тридцать миллионов) рублей без НДС.</w:t>
      </w:r>
    </w:p>
    <w:p>
      <w:pPr>
        <w:pStyle w:val="Style21"/>
        <w:rPr>
          <w:sz w:val="22"/>
        </w:rPr>
      </w:pPr>
      <w:r>
        <w:rPr>
          <w:sz w:val="22"/>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0"/>
        <w:rPr>
          <w:sz w:val="22"/>
        </w:rPr>
      </w:pPr>
      <w:bookmarkStart w:id="134" w:name="__RefHeading___Toc192537_1558056896"/>
      <w:bookmarkStart w:id="135" w:name="_Ref125362119"/>
      <w:bookmarkStart w:id="136" w:name="_Toc186224132"/>
      <w:bookmarkEnd w:id="134"/>
      <w:r>
        <w:rPr>
          <w:sz w:val="22"/>
        </w:rPr>
        <w:t>Подача заявок и их прием</w:t>
      </w:r>
      <w:bookmarkEnd w:id="135"/>
      <w:bookmarkEnd w:id="136"/>
    </w:p>
    <w:p>
      <w:pPr>
        <w:pStyle w:val="Style21"/>
        <w:rPr>
          <w:sz w:val="22"/>
        </w:rPr>
      </w:pPr>
      <w:r>
        <w:rPr>
          <w:sz w:val="22"/>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1"/>
        <w:rPr>
          <w:sz w:val="22"/>
        </w:rPr>
      </w:pPr>
      <w:r>
        <w:rPr>
          <w:sz w:val="22"/>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1"/>
        <w:rPr>
          <w:sz w:val="22"/>
        </w:rPr>
      </w:pPr>
      <w:r>
        <w:rPr>
          <w:sz w:val="22"/>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1"/>
        <w:rPr>
          <w:sz w:val="22"/>
        </w:rPr>
      </w:pPr>
      <w:r>
        <w:rPr>
          <w:sz w:val="22"/>
        </w:rPr>
        <w:t>Заявка должна быть подписана электронной подписью лица, которое является уполномоченным представителем Участника.</w:t>
      </w:r>
    </w:p>
    <w:p>
      <w:pPr>
        <w:pStyle w:val="Style21"/>
        <w:rPr>
          <w:sz w:val="22"/>
        </w:rPr>
      </w:pPr>
      <w:r>
        <w:rPr>
          <w:sz w:val="22"/>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1"/>
        <w:rPr>
          <w:sz w:val="22"/>
        </w:rPr>
      </w:pPr>
      <w:r>
        <w:rPr>
          <w:sz w:val="22"/>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1"/>
        <w:rPr>
          <w:sz w:val="22"/>
        </w:rPr>
      </w:pPr>
      <w:r>
        <w:rPr>
          <w:sz w:val="22"/>
        </w:rPr>
        <w:t>Оператор ЭП до окончания срока подачи заявок обеспечивает конфиденциальность информации, содержащейся в поданных заявках.</w:t>
      </w:r>
    </w:p>
    <w:p>
      <w:pPr>
        <w:pStyle w:val="Style20"/>
        <w:rPr>
          <w:sz w:val="22"/>
        </w:rPr>
      </w:pPr>
      <w:bookmarkStart w:id="137" w:name="__RefHeading___Toc192539_1558056896"/>
      <w:bookmarkStart w:id="138" w:name="_Ref125362192"/>
      <w:bookmarkStart w:id="139" w:name="_Ref125363819"/>
      <w:bookmarkStart w:id="140" w:name="_Toc186224133"/>
      <w:bookmarkStart w:id="141" w:name="_Ref125362130"/>
      <w:bookmarkStart w:id="142" w:name="_Ref125365136"/>
      <w:bookmarkEnd w:id="137"/>
      <w:r>
        <w:rPr>
          <w:sz w:val="22"/>
        </w:rPr>
        <w:t>Изменение и отзыв заявок</w:t>
      </w:r>
      <w:bookmarkEnd w:id="138"/>
      <w:bookmarkEnd w:id="139"/>
      <w:bookmarkEnd w:id="140"/>
      <w:bookmarkEnd w:id="141"/>
      <w:bookmarkEnd w:id="142"/>
    </w:p>
    <w:p>
      <w:pPr>
        <w:pStyle w:val="Style21"/>
        <w:rPr>
          <w:sz w:val="22"/>
        </w:rPr>
      </w:pPr>
      <w:r>
        <w:rPr>
          <w:sz w:val="22"/>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1"/>
        <w:rPr>
          <w:sz w:val="22"/>
        </w:rPr>
      </w:pPr>
      <w:r>
        <w:rPr>
          <w:sz w:val="22"/>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1"/>
        <w:rPr>
          <w:sz w:val="22"/>
        </w:rPr>
      </w:pPr>
      <w:r>
        <w:rPr>
          <w:sz w:val="22"/>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sz w:val="22"/>
        </w:rPr>
        <w:fldChar w:fldCharType="begin"/>
      </w:r>
      <w:r>
        <w:rPr>
          <w:sz w:val="22"/>
        </w:rPr>
        <w:instrText xml:space="preserve"> REF _Ref125362119 \w \h </w:instrText>
      </w:r>
      <w:r>
        <w:rPr>
          <w:sz w:val="22"/>
        </w:rPr>
        <w:fldChar w:fldCharType="separate"/>
      </w:r>
      <w:r>
        <w:rPr>
          <w:sz w:val="22"/>
        </w:rPr>
        <w:t>4.6</w:t>
      </w:r>
      <w:r>
        <w:rPr>
          <w:sz w:val="22"/>
        </w:rPr>
        <w:fldChar w:fldCharType="end"/>
      </w:r>
      <w:r>
        <w:rPr>
          <w:sz w:val="22"/>
        </w:rPr>
        <w:t>.</w:t>
      </w:r>
    </w:p>
    <w:p>
      <w:pPr>
        <w:pStyle w:val="Style21"/>
        <w:rPr>
          <w:sz w:val="22"/>
        </w:rPr>
      </w:pPr>
      <w:r>
        <w:rPr>
          <w:sz w:val="22"/>
        </w:rPr>
        <w:t>Изменения и отзыв заявки осуществляется посредством функционала ЭП (подробный порядок определяется Регламентом ЭП).</w:t>
      </w:r>
    </w:p>
    <w:p>
      <w:pPr>
        <w:pStyle w:val="Style20"/>
        <w:rPr>
          <w:sz w:val="22"/>
        </w:rPr>
      </w:pPr>
      <w:bookmarkStart w:id="143" w:name="__RefHeading___Toc192541_1558056896"/>
      <w:bookmarkStart w:id="144" w:name="_Ref132816188"/>
      <w:bookmarkStart w:id="145" w:name="_Toc186224134"/>
      <w:bookmarkEnd w:id="143"/>
      <w:r>
        <w:rPr>
          <w:sz w:val="22"/>
        </w:rPr>
        <w:t>Открытие доступа к первым частям заявок</w:t>
      </w:r>
      <w:bookmarkEnd w:id="144"/>
      <w:bookmarkEnd w:id="145"/>
    </w:p>
    <w:p>
      <w:pPr>
        <w:pStyle w:val="Style21"/>
        <w:rPr>
          <w:sz w:val="22"/>
        </w:rPr>
      </w:pPr>
      <w:r>
        <w:rPr>
          <w:sz w:val="22"/>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20"/>
        <w:rPr>
          <w:sz w:val="22"/>
        </w:rPr>
      </w:pPr>
      <w:bookmarkStart w:id="146" w:name="__RefHeading___Toc192543_1558056896"/>
      <w:bookmarkStart w:id="147" w:name="_Toc186224138"/>
      <w:bookmarkStart w:id="148" w:name="_Ref125362364"/>
      <w:bookmarkStart w:id="149" w:name="_Ref125366689"/>
      <w:bookmarkEnd w:id="146"/>
      <w:r>
        <w:rPr>
          <w:sz w:val="22"/>
        </w:rPr>
        <w:t>Рассмотрение первых частей заявок / окончательных предложений (отборочная стадия)</w:t>
      </w:r>
      <w:bookmarkEnd w:id="147"/>
      <w:bookmarkEnd w:id="148"/>
      <w:bookmarkEnd w:id="149"/>
    </w:p>
    <w:p>
      <w:pPr>
        <w:pStyle w:val="Style21"/>
        <w:rPr>
          <w:sz w:val="22"/>
        </w:rPr>
      </w:pPr>
      <w:r>
        <w:rPr>
          <w:sz w:val="22"/>
        </w:rPr>
        <w:t>Дата окончания срока рассмотрения первых частей заявок / окончательных предложений установлена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ее, официально разместив информацию об этом.</w:t>
      </w:r>
    </w:p>
    <w:p>
      <w:pPr>
        <w:pStyle w:val="Style21"/>
        <w:rPr/>
      </w:pPr>
      <w:r>
        <w:rPr>
          <w:sz w:val="22"/>
        </w:rPr>
        <w:t xml:space="preserve">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7"/>
            <w:sz w:val="22"/>
          </w:rPr>
          <w:t>Отборочным критериям рассмотрения заявок (Приложение № 7)</w:t>
        </w:r>
      </w:hyperlink>
      <w:r>
        <w:rPr>
          <w:sz w:val="22"/>
        </w:rPr>
        <w:t>.</w:t>
      </w:r>
    </w:p>
    <w:p>
      <w:pPr>
        <w:pStyle w:val="Style21"/>
        <w:rPr>
          <w:sz w:val="22"/>
        </w:rPr>
      </w:pPr>
      <w:r>
        <w:rPr>
          <w:sz w:val="22"/>
        </w:rPr>
        <w:t>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1"/>
        <w:keepNext w:val="true"/>
        <w:rPr>
          <w:sz w:val="22"/>
        </w:rPr>
      </w:pPr>
      <w:bookmarkStart w:id="150" w:name="_Ref125551456"/>
      <w:r>
        <w:rPr>
          <w:sz w:val="22"/>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150"/>
    </w:p>
    <w:p>
      <w:pPr>
        <w:pStyle w:val="Style22"/>
        <w:rPr>
          <w:sz w:val="22"/>
        </w:rPr>
      </w:pPr>
      <w:r>
        <w:rPr>
          <w:sz w:val="22"/>
        </w:rPr>
        <w:t>несоответствие первой части заявки / окончательного предложения по составу</w:t>
      </w:r>
      <w:r>
        <w:rPr>
          <w:rStyle w:val="FootnoteReference"/>
          <w:sz w:val="22"/>
        </w:rPr>
        <w:footnoteReference w:id="3"/>
      </w:r>
      <w:r>
        <w:rPr>
          <w:sz w:val="22"/>
        </w:rPr>
        <w:t>, содержанию и соблюдению требований Документации о закупке к подготовке (оформлению) заявки, в том числе наличие:</w:t>
      </w:r>
    </w:p>
    <w:p>
      <w:pPr>
        <w:pStyle w:val="Style23"/>
        <w:rPr>
          <w:sz w:val="22"/>
        </w:rPr>
      </w:pPr>
      <w:r>
        <w:rPr>
          <w:sz w:val="22"/>
        </w:rPr>
        <w:t>недостоверных сведений или намеренно искаженной информации или документов;</w:t>
      </w:r>
    </w:p>
    <w:p>
      <w:pPr>
        <w:pStyle w:val="Style23"/>
        <w:rPr>
          <w:sz w:val="22"/>
        </w:rPr>
      </w:pPr>
      <w:r>
        <w:rPr>
          <w:sz w:val="22"/>
        </w:rPr>
        <w:t>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2"/>
        <w:rPr>
          <w:sz w:val="22"/>
        </w:rPr>
      </w:pPr>
      <w:r>
        <w:rPr>
          <w:sz w:val="22"/>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2"/>
        <w:rPr>
          <w:sz w:val="22"/>
        </w:rPr>
      </w:pPr>
      <w:r>
        <w:rPr>
          <w:sz w:val="22"/>
        </w:rPr>
        <w:t>несоответствие предлагаемых договорных условий требованиям Документации о закупке;</w:t>
      </w:r>
    </w:p>
    <w:p>
      <w:pPr>
        <w:pStyle w:val="Style22"/>
        <w:rPr>
          <w:sz w:val="22"/>
        </w:rPr>
      </w:pPr>
      <w:r>
        <w:rPr>
          <w:sz w:val="22"/>
        </w:rPr>
        <w:t>наличие в документах первой части заявки / окончательном предложении сведений об Участники и (или) о его ценовом предложении.</w:t>
      </w:r>
    </w:p>
    <w:p>
      <w:pPr>
        <w:pStyle w:val="Style21"/>
        <w:keepNext w:val="true"/>
        <w:rPr>
          <w:sz w:val="22"/>
        </w:rPr>
      </w:pPr>
      <w:r>
        <w:rPr>
          <w:sz w:val="22"/>
        </w:rPr>
        <w:t>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sz w:val="22"/>
        </w:rPr>
        <w:footnoteReference w:id="4"/>
      </w:r>
      <w:r>
        <w:rPr>
          <w:sz w:val="22"/>
        </w:rPr>
        <w:t>:</w:t>
      </w:r>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sz w:val="22"/>
        </w:rPr>
      </w:pPr>
      <w:r>
        <w:rPr>
          <w:sz w:val="22"/>
        </w:rPr>
        <w:t>идентификационные номера, присваиваемые Оператором ЭП;</w:t>
      </w:r>
    </w:p>
    <w:p>
      <w:pPr>
        <w:pStyle w:val="Style22"/>
        <w:keepNext w:val="true"/>
        <w:rPr>
          <w:sz w:val="22"/>
        </w:rPr>
      </w:pPr>
      <w:r>
        <w:rPr>
          <w:sz w:val="22"/>
        </w:rPr>
        <w:t>результаты рассмотрения первых частей заявок / окончательных предложений с указанием, в том числе:</w:t>
      </w:r>
    </w:p>
    <w:p>
      <w:pPr>
        <w:pStyle w:val="Style23"/>
        <w:rPr>
          <w:sz w:val="22"/>
        </w:rPr>
      </w:pPr>
      <w:r>
        <w:rPr>
          <w:sz w:val="22"/>
        </w:rPr>
        <w:t>количества заявок, которые были отклонены по результатам рассмотрения первых частей заявок / окончательных предложений;</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2"/>
        <w:rPr>
          <w:sz w:val="22"/>
        </w:rPr>
      </w:pPr>
      <w:r>
        <w:rPr>
          <w:sz w:val="22"/>
        </w:rPr>
        <w:t>причины, по которым закупка признана несостоявшейся в соответствии с подразделом </w:t>
      </w:r>
      <w:r>
        <w:rPr>
          <w:sz w:val="22"/>
        </w:rPr>
        <w:fldChar w:fldCharType="begin"/>
      </w:r>
      <w:r>
        <w:rPr>
          <w:sz w:val="22"/>
        </w:rPr>
        <w:instrText xml:space="preserve"> REF _Ref125364149 \w \h </w:instrText>
      </w:r>
      <w:r>
        <w:rPr>
          <w:sz w:val="22"/>
        </w:rPr>
        <w:fldChar w:fldCharType="separate"/>
      </w:r>
      <w:r>
        <w:rPr>
          <w:sz w:val="22"/>
        </w:rPr>
        <w:t>4.16</w:t>
      </w:r>
      <w:r>
        <w:rPr>
          <w:sz w:val="22"/>
        </w:rPr>
        <w:fldChar w:fldCharType="end"/>
      </w:r>
      <w:r>
        <w:rPr>
          <w:sz w:val="22"/>
        </w:rPr>
        <w:t xml:space="preserve"> (в случае ее признания таковой).</w:t>
      </w:r>
    </w:p>
    <w:p>
      <w:pPr>
        <w:pStyle w:val="Style21"/>
        <w:rPr>
          <w:sz w:val="22"/>
        </w:rPr>
      </w:pPr>
      <w:r>
        <w:rPr>
          <w:sz w:val="22"/>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sz w:val="22"/>
        </w:rPr>
        <w:fldChar w:fldCharType="begin"/>
      </w:r>
      <w:r>
        <w:rPr>
          <w:sz w:val="22"/>
        </w:rPr>
        <w:instrText xml:space="preserve"> REF _Ref130286532 \r \h </w:instrText>
      </w:r>
      <w:r>
        <w:rPr>
          <w:sz w:val="22"/>
        </w:rPr>
        <w:fldChar w:fldCharType="separate"/>
      </w:r>
      <w:r>
        <w:rPr>
          <w:sz w:val="22"/>
        </w:rPr>
        <w:t>4.2</w:t>
      </w:r>
      <w:r>
        <w:rPr>
          <w:sz w:val="22"/>
        </w:rPr>
        <w:fldChar w:fldCharType="end"/>
      </w:r>
      <w:r>
        <w:rPr>
          <w:sz w:val="22"/>
        </w:rPr>
        <w:t>) Оператором ЭП в течение 1 (одного) часа с момента его получения от Организатора.</w:t>
      </w:r>
    </w:p>
    <w:p>
      <w:pPr>
        <w:pStyle w:val="Style20"/>
        <w:rPr>
          <w:sz w:val="22"/>
        </w:rPr>
      </w:pPr>
      <w:bookmarkStart w:id="151" w:name="__RefHeading___Toc192545_1558056896"/>
      <w:bookmarkStart w:id="152" w:name="_Ref132801184"/>
      <w:bookmarkStart w:id="153" w:name="_Toc186224139"/>
      <w:bookmarkEnd w:id="151"/>
      <w:r>
        <w:rPr>
          <w:sz w:val="22"/>
        </w:rPr>
        <w:t>Открытие доступа ко вторым частям заявок и ценовым предложениям</w:t>
      </w:r>
      <w:bookmarkEnd w:id="152"/>
      <w:bookmarkEnd w:id="153"/>
    </w:p>
    <w:p>
      <w:pPr>
        <w:pStyle w:val="Style21"/>
        <w:rPr>
          <w:sz w:val="22"/>
        </w:rPr>
      </w:pPr>
      <w:r>
        <w:rPr>
          <w:sz w:val="22"/>
        </w:rPr>
        <w:t>Оператор ЭП направляет в адрес Организатора вторые части заявок и ценовые предложения в срок, установленный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0"/>
        <w:rPr>
          <w:sz w:val="22"/>
        </w:rPr>
      </w:pPr>
      <w:bookmarkStart w:id="154" w:name="__RefHeading___Toc192547_1558056896"/>
      <w:bookmarkStart w:id="155" w:name="_Ref132797154"/>
      <w:bookmarkStart w:id="156" w:name="_Toc186224140"/>
      <w:bookmarkEnd w:id="154"/>
      <w:r>
        <w:rPr>
          <w:sz w:val="22"/>
        </w:rPr>
        <w:t>Рассмотрение вторых частей заявок (отборочная стадия), в том числе (при необходимости) проведение аккредитации, и ценовых предложений</w:t>
      </w:r>
      <w:bookmarkEnd w:id="155"/>
      <w:bookmarkEnd w:id="156"/>
    </w:p>
    <w:p>
      <w:pPr>
        <w:pStyle w:val="Style21"/>
        <w:rPr>
          <w:sz w:val="22"/>
        </w:rPr>
      </w:pPr>
      <w:r>
        <w:rPr>
          <w:sz w:val="22"/>
        </w:rPr>
        <w:t>Дата окончания срока рассмотрения вторых частей заявок и ценовых предложений установлена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ее, официально разместив информацию об этом.</w:t>
      </w:r>
    </w:p>
    <w:p>
      <w:pPr>
        <w:pStyle w:val="Style21"/>
        <w:rPr/>
      </w:pPr>
      <w:r>
        <w:rPr>
          <w:sz w:val="22"/>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7"/>
            <w:sz w:val="22"/>
          </w:rPr>
          <w:t>Отборочным критериям рассмотрения заявок (Приложение № 7)</w:t>
        </w:r>
      </w:hyperlink>
      <w:r>
        <w:rPr>
          <w:sz w:val="22"/>
        </w:rPr>
        <w:t>, в том числе проводится процедура аккредитации Участников (при необходимости).</w:t>
      </w:r>
    </w:p>
    <w:p>
      <w:pPr>
        <w:pStyle w:val="Style21"/>
        <w:rPr>
          <w:sz w:val="22"/>
        </w:rPr>
      </w:pPr>
      <w:r>
        <w:rPr>
          <w:sz w:val="22"/>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1"/>
        <w:keepNext w:val="true"/>
        <w:rPr>
          <w:sz w:val="22"/>
        </w:rPr>
      </w:pPr>
      <w:r>
        <w:rPr>
          <w:sz w:val="22"/>
        </w:rPr>
        <w:t>При выявлении в рамках рассмотрения ценовых предложений наличия арифметических ошибок, в том числе:</w:t>
      </w:r>
    </w:p>
    <w:p>
      <w:pPr>
        <w:pStyle w:val="Style22"/>
        <w:rPr>
          <w:sz w:val="22"/>
        </w:rPr>
      </w:pPr>
      <w:r>
        <w:rPr>
          <w:sz w:val="22"/>
        </w:rPr>
        <w:t>в результате суммирования единичных расценок;</w:t>
      </w:r>
    </w:p>
    <w:p>
      <w:pPr>
        <w:pStyle w:val="Style22"/>
        <w:rPr>
          <w:sz w:val="22"/>
        </w:rPr>
      </w:pPr>
      <w:r>
        <w:rPr>
          <w:sz w:val="22"/>
        </w:rPr>
        <w:t>в итогах умножения единичных расценок на объем продукции;</w:t>
      </w:r>
    </w:p>
    <w:p>
      <w:pPr>
        <w:pStyle w:val="Style22"/>
        <w:rPr>
          <w:sz w:val="22"/>
        </w:rPr>
      </w:pPr>
      <w:r>
        <w:rPr>
          <w:sz w:val="22"/>
        </w:rPr>
        <w:t>в вычислении суммы НДС и итоговой стоимости заявки с учетом НДС);</w:t>
      </w:r>
    </w:p>
    <w:p>
      <w:pPr>
        <w:pStyle w:val="Style22"/>
        <w:rPr>
          <w:sz w:val="22"/>
        </w:rPr>
      </w:pPr>
      <w:r>
        <w:rPr>
          <w:sz w:val="22"/>
        </w:rPr>
        <w:t>иных внутренних противоречий в составе заявки,</w:t>
      </w:r>
    </w:p>
    <w:p>
      <w:pPr>
        <w:pStyle w:val="Style25"/>
        <w:ind w:left="1134" w:hanging="0"/>
        <w:rPr>
          <w:sz w:val="22"/>
        </w:rPr>
      </w:pPr>
      <w:r>
        <w:rPr>
          <w:sz w:val="22"/>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1"/>
        <w:keepNext w:val="true"/>
        <w:rPr>
          <w:sz w:val="22"/>
        </w:rPr>
      </w:pPr>
      <w:bookmarkStart w:id="157" w:name="_Ref132793926"/>
      <w:r>
        <w:rPr>
          <w:sz w:val="22"/>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57"/>
    </w:p>
    <w:p>
      <w:pPr>
        <w:pStyle w:val="Style22"/>
        <w:rPr>
          <w:sz w:val="22"/>
        </w:rPr>
      </w:pPr>
      <w:r>
        <w:rPr>
          <w:sz w:val="22"/>
        </w:rPr>
        <w:t>несоответствие второй части заявки и (или) ценового предложения по составу</w:t>
      </w:r>
      <w:r>
        <w:rPr>
          <w:rStyle w:val="FootnoteReference"/>
          <w:sz w:val="22"/>
        </w:rPr>
        <w:footnoteReference w:id="5"/>
      </w:r>
      <w:r>
        <w:rPr>
          <w:sz w:val="22"/>
        </w:rPr>
        <w:t>, содержанию и соблюдению требований Документации о закупке к подготовке (оформлению) заявки, в том числе наличие:</w:t>
      </w:r>
    </w:p>
    <w:p>
      <w:pPr>
        <w:pStyle w:val="Style23"/>
        <w:rPr>
          <w:sz w:val="22"/>
        </w:rPr>
      </w:pPr>
      <w:r>
        <w:rPr>
          <w:sz w:val="22"/>
        </w:rPr>
        <w:t>недостоверных сведений</w:t>
      </w:r>
      <w:r>
        <w:rPr>
          <w:rStyle w:val="FootnoteReference"/>
          <w:sz w:val="22"/>
        </w:rPr>
        <w:footnoteReference w:id="6"/>
      </w:r>
      <w:r>
        <w:rPr>
          <w:sz w:val="22"/>
        </w:rPr>
        <w:t xml:space="preserve"> или намеренно искаженной информации или документов;</w:t>
      </w:r>
    </w:p>
    <w:p>
      <w:pPr>
        <w:pStyle w:val="Style23"/>
        <w:rPr>
          <w:sz w:val="22"/>
        </w:rPr>
      </w:pPr>
      <w:r>
        <w:rPr>
          <w:sz w:val="22"/>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3"/>
        <w:rPr>
          <w:sz w:val="22"/>
        </w:rPr>
      </w:pPr>
      <w:r>
        <w:rPr>
          <w:sz w:val="22"/>
        </w:rPr>
        <w:t>противоречий между документами заявки и сведениями, указанными Участником в структурированных формах на ЭП;</w:t>
      </w:r>
    </w:p>
    <w:p>
      <w:pPr>
        <w:pStyle w:val="Style22"/>
        <w:rPr>
          <w:sz w:val="22"/>
        </w:rPr>
      </w:pPr>
      <w:r>
        <w:rPr>
          <w:sz w:val="22"/>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2"/>
        <w:rPr>
          <w:sz w:val="22"/>
        </w:rPr>
      </w:pPr>
      <w:r>
        <w:rPr>
          <w:sz w:val="22"/>
        </w:rPr>
        <w:t>несоответствие Участников требованиям Документации о закупке;</w:t>
      </w:r>
    </w:p>
    <w:p>
      <w:pPr>
        <w:pStyle w:val="Style22"/>
        <w:rPr>
          <w:sz w:val="22"/>
        </w:rPr>
      </w:pPr>
      <w:r>
        <w:rPr>
          <w:sz w:val="22"/>
        </w:rPr>
        <w:t>несоответствие привлекаемых субподрядчиков (соисполнителей) требованиям Документации о закупке;</w:t>
      </w:r>
    </w:p>
    <w:p>
      <w:pPr>
        <w:pStyle w:val="Style22"/>
        <w:rPr>
          <w:sz w:val="22"/>
        </w:rPr>
      </w:pPr>
      <w:r>
        <w:rPr>
          <w:sz w:val="22"/>
        </w:rPr>
        <w:t>превышение ценового предложения над установленным размером НМЦ.</w:t>
      </w:r>
    </w:p>
    <w:p>
      <w:pPr>
        <w:pStyle w:val="Style21"/>
        <w:keepNext w:val="true"/>
        <w:rPr>
          <w:sz w:val="22"/>
        </w:rPr>
      </w:pPr>
      <w:r>
        <w:rPr>
          <w:sz w:val="22"/>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sz w:val="22"/>
        </w:rPr>
        <w:footnoteReference w:id="7"/>
      </w:r>
      <w:r>
        <w:rPr>
          <w:sz w:val="22"/>
        </w:rPr>
        <w:t>:</w:t>
      </w:r>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2"/>
        <w:rPr>
          <w:sz w:val="22"/>
        </w:rPr>
      </w:pPr>
      <w:r>
        <w:rPr>
          <w:sz w:val="22"/>
        </w:rPr>
        <w:t>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2"/>
        <w:keepNext w:val="true"/>
        <w:rPr>
          <w:sz w:val="22"/>
        </w:rPr>
      </w:pPr>
      <w:r>
        <w:rPr>
          <w:sz w:val="22"/>
        </w:rPr>
        <w:t>результаты рассмотрения вторых частей заявок и ценовых предложений с указанием, в том числе:</w:t>
      </w:r>
    </w:p>
    <w:p>
      <w:pPr>
        <w:pStyle w:val="Style23"/>
        <w:rPr>
          <w:sz w:val="22"/>
        </w:rPr>
      </w:pPr>
      <w:r>
        <w:rPr>
          <w:sz w:val="22"/>
        </w:rPr>
        <w:t>количества заявок, которые были отклонены по результатам рассмотрения вторых частей заявок и ценовых предложений;</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2"/>
        <w:rPr>
          <w:sz w:val="22"/>
        </w:rPr>
      </w:pPr>
      <w:r>
        <w:rPr>
          <w:sz w:val="22"/>
        </w:rPr>
        <w:t>причины, по которым закупка признана несостоявшейся в соответствии с подразделом </w:t>
      </w:r>
      <w:r>
        <w:rPr>
          <w:sz w:val="22"/>
        </w:rPr>
        <w:fldChar w:fldCharType="begin"/>
      </w:r>
      <w:r>
        <w:rPr>
          <w:sz w:val="22"/>
        </w:rPr>
        <w:instrText xml:space="preserve"> REF _Ref125364149 \w \h </w:instrText>
      </w:r>
      <w:r>
        <w:rPr>
          <w:sz w:val="22"/>
        </w:rPr>
        <w:fldChar w:fldCharType="separate"/>
      </w:r>
      <w:r>
        <w:rPr>
          <w:sz w:val="22"/>
        </w:rPr>
        <w:t>4.16</w:t>
      </w:r>
      <w:r>
        <w:rPr>
          <w:sz w:val="22"/>
        </w:rPr>
        <w:fldChar w:fldCharType="end"/>
      </w:r>
      <w:r>
        <w:rPr>
          <w:sz w:val="22"/>
        </w:rPr>
        <w:t xml:space="preserve"> (в случае ее признания таковой).</w:t>
      </w:r>
    </w:p>
    <w:p>
      <w:pPr>
        <w:pStyle w:val="Style21"/>
        <w:rPr>
          <w:sz w:val="22"/>
        </w:rPr>
      </w:pPr>
      <w:r>
        <w:rPr>
          <w:sz w:val="22"/>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sz w:val="22"/>
        </w:rPr>
        <w:fldChar w:fldCharType="begin"/>
      </w:r>
      <w:r>
        <w:rPr>
          <w:sz w:val="22"/>
        </w:rPr>
        <w:instrText xml:space="preserve"> REF _Ref130286532 \r \h </w:instrText>
      </w:r>
      <w:r>
        <w:rPr>
          <w:sz w:val="22"/>
        </w:rPr>
        <w:fldChar w:fldCharType="separate"/>
      </w:r>
      <w:r>
        <w:rPr>
          <w:sz w:val="22"/>
        </w:rPr>
        <w:t>4.2</w:t>
      </w:r>
      <w:r>
        <w:rPr>
          <w:sz w:val="22"/>
        </w:rPr>
        <w:fldChar w:fldCharType="end"/>
      </w:r>
      <w:r>
        <w:rPr>
          <w:sz w:val="22"/>
        </w:rPr>
        <w:t>) Оператором ЭП в течение 1 (одного) часа с момента его получения от Организатора.</w:t>
      </w:r>
    </w:p>
    <w:p>
      <w:pPr>
        <w:pStyle w:val="Style20"/>
        <w:rPr>
          <w:sz w:val="22"/>
        </w:rPr>
      </w:pPr>
      <w:bookmarkStart w:id="158" w:name="__RefHeading___Toc192549_1558056896"/>
      <w:bookmarkStart w:id="159" w:name="_Ref125362464"/>
      <w:bookmarkStart w:id="160" w:name="_Toc186224141"/>
      <w:bookmarkStart w:id="161" w:name="_Ref125362610"/>
      <w:bookmarkStart w:id="162" w:name="_Ref125362425"/>
      <w:bookmarkStart w:id="163" w:name="_Ref125362381"/>
      <w:bookmarkEnd w:id="158"/>
      <w:r>
        <w:rPr>
          <w:sz w:val="22"/>
        </w:rPr>
        <w:t>Дополнительные запросы разъяснений заявок</w:t>
      </w:r>
      <w:bookmarkEnd w:id="159"/>
      <w:bookmarkEnd w:id="160"/>
      <w:bookmarkEnd w:id="161"/>
      <w:bookmarkEnd w:id="162"/>
      <w:bookmarkEnd w:id="163"/>
    </w:p>
    <w:p>
      <w:pPr>
        <w:pStyle w:val="Style21"/>
        <w:rPr>
          <w:sz w:val="22"/>
        </w:rPr>
      </w:pPr>
      <w:bookmarkStart w:id="164" w:name="_Ref125365611"/>
      <w:r>
        <w:rPr>
          <w:sz w:val="22"/>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64"/>
    </w:p>
    <w:p>
      <w:pPr>
        <w:pStyle w:val="Style22"/>
        <w:keepNext w:val="true"/>
        <w:rPr>
          <w:sz w:val="22"/>
        </w:rPr>
      </w:pPr>
      <w:r>
        <w:rPr>
          <w:sz w:val="22"/>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3"/>
        <w:rPr>
          <w:sz w:val="22"/>
        </w:rPr>
      </w:pPr>
      <w:r>
        <w:rPr>
          <w:sz w:val="22"/>
        </w:rPr>
        <w:t>соответствия Участника требованиям Документации о закупке;</w:t>
      </w:r>
    </w:p>
    <w:p>
      <w:pPr>
        <w:pStyle w:val="Style23"/>
        <w:rPr>
          <w:sz w:val="22"/>
        </w:rPr>
      </w:pPr>
      <w:bookmarkStart w:id="165" w:name="_Hlk132793683"/>
      <w:r>
        <w:rPr>
          <w:sz w:val="22"/>
        </w:rPr>
        <w:t>наличия соответствующих полномочий на подписание заявки от имени Участника у лица, подписавшего заявку</w:t>
      </w:r>
      <w:bookmarkEnd w:id="165"/>
      <w:r>
        <w:rPr>
          <w:sz w:val="22"/>
        </w:rPr>
        <w:t>;</w:t>
      </w:r>
    </w:p>
    <w:p>
      <w:pPr>
        <w:pStyle w:val="Style23"/>
        <w:rPr>
          <w:sz w:val="22"/>
        </w:rPr>
      </w:pPr>
      <w:r>
        <w:rPr>
          <w:sz w:val="22"/>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2"/>
        <w:rPr>
          <w:sz w:val="22"/>
        </w:rPr>
      </w:pPr>
      <w:bookmarkStart w:id="166" w:name="_Ref135033677"/>
      <w:r>
        <w:rPr>
          <w:sz w:val="22"/>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2"/>
        <w:rPr>
          <w:sz w:val="22"/>
        </w:rPr>
      </w:pPr>
      <w:r>
        <w:rPr>
          <w:sz w:val="22"/>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sz w:val="22"/>
        </w:rPr>
        <w:footnoteReference w:id="8"/>
      </w:r>
      <w:r>
        <w:rPr>
          <w:sz w:val="22"/>
        </w:rPr>
        <w:t>) требованиям Документации о закупке или осуществить оценку и сопоставление заявок.</w:t>
      </w:r>
      <w:bookmarkEnd w:id="166"/>
    </w:p>
    <w:p>
      <w:pPr>
        <w:pStyle w:val="Style21"/>
        <w:rPr>
          <w:sz w:val="22"/>
        </w:rPr>
      </w:pPr>
      <w:r>
        <w:rPr>
          <w:sz w:val="22"/>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sz w:val="22"/>
        </w:rPr>
        <w:fldChar w:fldCharType="begin"/>
      </w:r>
      <w:r>
        <w:rPr>
          <w:sz w:val="22"/>
        </w:rPr>
        <w:instrText xml:space="preserve"> REF _Ref135033677 \r \h </w:instrText>
      </w:r>
      <w:r>
        <w:rPr>
          <w:sz w:val="22"/>
        </w:rPr>
        <w:fldChar w:fldCharType="separate"/>
      </w:r>
      <w:r>
        <w:rPr>
          <w:sz w:val="22"/>
        </w:rPr>
        <w:t>4.12.1б)</w:t>
      </w:r>
      <w:r>
        <w:rPr>
          <w:sz w:val="22"/>
        </w:rPr>
        <w:fldChar w:fldCharType="end"/>
      </w:r>
      <w:r>
        <w:rPr>
          <w:sz w:val="22"/>
        </w:rPr>
        <w:t>).</w:t>
      </w:r>
    </w:p>
    <w:p>
      <w:pPr>
        <w:pStyle w:val="Style21"/>
        <w:rPr>
          <w:sz w:val="22"/>
        </w:rPr>
      </w:pPr>
      <w:r>
        <w:rPr>
          <w:sz w:val="22"/>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1"/>
        <w:rPr>
          <w:sz w:val="22"/>
        </w:rPr>
      </w:pPr>
      <w:r>
        <w:rPr>
          <w:sz w:val="22"/>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1"/>
        <w:rPr>
          <w:sz w:val="22"/>
        </w:rPr>
      </w:pPr>
      <w:r>
        <w:rPr>
          <w:sz w:val="22"/>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sz w:val="22"/>
        </w:rPr>
        <w:fldChar w:fldCharType="begin"/>
      </w:r>
      <w:r>
        <w:rPr>
          <w:sz w:val="22"/>
        </w:rPr>
        <w:instrText xml:space="preserve"> REF _Ref125551456 \r \h </w:instrText>
      </w:r>
      <w:r>
        <w:rPr>
          <w:sz w:val="22"/>
        </w:rPr>
        <w:fldChar w:fldCharType="separate"/>
      </w:r>
      <w:r>
        <w:rPr>
          <w:sz w:val="22"/>
        </w:rPr>
        <w:t>4.9.4</w:t>
      </w:r>
      <w:r>
        <w:rPr>
          <w:sz w:val="22"/>
        </w:rPr>
        <w:fldChar w:fldCharType="end"/>
      </w:r>
      <w:r>
        <w:rPr>
          <w:sz w:val="22"/>
        </w:rPr>
        <w:t xml:space="preserve">, </w:t>
      </w:r>
      <w:r>
        <w:rPr>
          <w:sz w:val="22"/>
        </w:rPr>
        <w:fldChar w:fldCharType="begin"/>
      </w:r>
      <w:r>
        <w:rPr>
          <w:sz w:val="22"/>
        </w:rPr>
        <w:instrText xml:space="preserve"> REF _Ref132793926 \r \h </w:instrText>
      </w:r>
      <w:r>
        <w:rPr>
          <w:sz w:val="22"/>
        </w:rPr>
        <w:fldChar w:fldCharType="separate"/>
      </w:r>
      <w:r>
        <w:rPr>
          <w:sz w:val="22"/>
        </w:rPr>
        <w:t>4.11.5</w:t>
      </w:r>
      <w:r>
        <w:rPr>
          <w:sz w:val="22"/>
        </w:rPr>
        <w:fldChar w:fldCharType="end"/>
      </w:r>
      <w:r>
        <w:rPr>
          <w:sz w:val="22"/>
        </w:rPr>
        <w:t xml:space="preserve"> имеются прямые основания для отклонения заявки такого Участника, не относящиеся к случаям, перечисленным в пункте </w:t>
      </w:r>
      <w:r>
        <w:rPr>
          <w:sz w:val="22"/>
        </w:rPr>
        <w:fldChar w:fldCharType="begin"/>
      </w:r>
      <w:r>
        <w:rPr>
          <w:sz w:val="22"/>
        </w:rPr>
        <w:instrText xml:space="preserve"> REF _Ref125365611 \w \h </w:instrText>
      </w:r>
      <w:r>
        <w:rPr>
          <w:sz w:val="22"/>
        </w:rPr>
        <w:fldChar w:fldCharType="separate"/>
      </w:r>
      <w:r>
        <w:rPr>
          <w:sz w:val="22"/>
        </w:rPr>
        <w:t>4.12.1</w:t>
      </w:r>
      <w:r>
        <w:rPr>
          <w:sz w:val="22"/>
        </w:rPr>
        <w:fldChar w:fldCharType="end"/>
      </w:r>
      <w:r>
        <w:rPr>
          <w:sz w:val="22"/>
        </w:rPr>
        <w:t>.</w:t>
      </w:r>
    </w:p>
    <w:p>
      <w:pPr>
        <w:pStyle w:val="Style21"/>
        <w:rPr>
          <w:sz w:val="22"/>
        </w:rPr>
      </w:pPr>
      <w:r>
        <w:rPr>
          <w:sz w:val="22"/>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1"/>
        <w:rPr>
          <w:sz w:val="22"/>
        </w:rPr>
      </w:pPr>
      <w:r>
        <w:rPr>
          <w:sz w:val="22"/>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1"/>
        <w:rPr>
          <w:sz w:val="22"/>
        </w:rPr>
      </w:pPr>
      <w:r>
        <w:rPr>
          <w:sz w:val="22"/>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sz w:val="22"/>
        </w:rPr>
        <w:fldChar w:fldCharType="begin"/>
      </w:r>
      <w:r>
        <w:rPr>
          <w:sz w:val="22"/>
        </w:rPr>
        <w:instrText xml:space="preserve"> REF _Ref125551456 \r \h </w:instrText>
      </w:r>
      <w:r>
        <w:rPr>
          <w:sz w:val="22"/>
        </w:rPr>
        <w:fldChar w:fldCharType="separate"/>
      </w:r>
      <w:r>
        <w:rPr>
          <w:sz w:val="22"/>
        </w:rPr>
        <w:t>4.9.4</w:t>
      </w:r>
      <w:r>
        <w:rPr>
          <w:sz w:val="22"/>
        </w:rPr>
        <w:fldChar w:fldCharType="end"/>
      </w:r>
      <w:r>
        <w:rPr>
          <w:sz w:val="22"/>
        </w:rPr>
        <w:t xml:space="preserve">, </w:t>
      </w:r>
      <w:r>
        <w:rPr>
          <w:sz w:val="22"/>
        </w:rPr>
        <w:fldChar w:fldCharType="begin"/>
      </w:r>
      <w:r>
        <w:rPr>
          <w:sz w:val="22"/>
        </w:rPr>
        <w:instrText xml:space="preserve"> REF _Ref132793926 \r \h </w:instrText>
      </w:r>
      <w:r>
        <w:rPr>
          <w:sz w:val="22"/>
        </w:rPr>
        <w:fldChar w:fldCharType="separate"/>
      </w:r>
      <w:r>
        <w:rPr>
          <w:sz w:val="22"/>
        </w:rPr>
        <w:t>4.11.5</w:t>
      </w:r>
      <w:r>
        <w:rPr>
          <w:sz w:val="22"/>
        </w:rPr>
        <w:fldChar w:fldCharType="end"/>
      </w:r>
      <w:r>
        <w:rPr>
          <w:sz w:val="22"/>
        </w:rPr>
        <w:t>.</w:t>
      </w:r>
    </w:p>
    <w:p>
      <w:pPr>
        <w:pStyle w:val="Style20"/>
        <w:rPr>
          <w:sz w:val="22"/>
        </w:rPr>
      </w:pPr>
      <w:bookmarkStart w:id="167" w:name="__RefHeading___Toc192551_1558056896"/>
      <w:bookmarkStart w:id="168" w:name="_Ref125365335"/>
      <w:bookmarkStart w:id="169" w:name="_Ref125362626"/>
      <w:bookmarkStart w:id="170" w:name="_Toc186224144"/>
      <w:bookmarkStart w:id="171" w:name="_Ref125366534"/>
      <w:bookmarkStart w:id="172" w:name="_Ref125369308"/>
      <w:bookmarkStart w:id="173" w:name="_Ref125369041"/>
      <w:bookmarkStart w:id="174" w:name="_Ref125365519"/>
      <w:bookmarkEnd w:id="167"/>
      <w:r>
        <w:rPr>
          <w:sz w:val="22"/>
        </w:rPr>
        <w:t>Оценка и сопоставление заявок</w:t>
      </w:r>
      <w:bookmarkEnd w:id="168"/>
      <w:bookmarkEnd w:id="169"/>
      <w:bookmarkEnd w:id="170"/>
      <w:bookmarkEnd w:id="171"/>
      <w:bookmarkEnd w:id="172"/>
      <w:bookmarkEnd w:id="173"/>
      <w:bookmarkEnd w:id="174"/>
    </w:p>
    <w:p>
      <w:pPr>
        <w:pStyle w:val="Style21"/>
        <w:rPr/>
      </w:pPr>
      <w:r>
        <w:rPr>
          <w:sz w:val="22"/>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7"/>
            <w:sz w:val="22"/>
          </w:rPr>
          <w:t>Порядком и критериями оценки и сопоставления заявок (Приложение № 8)</w:t>
        </w:r>
      </w:hyperlink>
      <w:r>
        <w:rPr>
          <w:sz w:val="22"/>
        </w:rPr>
        <w:t>, с присвоением каждой заявке итогового балла.</w:t>
      </w:r>
    </w:p>
    <w:p>
      <w:pPr>
        <w:pStyle w:val="Style21"/>
        <w:rPr>
          <w:sz w:val="22"/>
        </w:rPr>
      </w:pPr>
      <w:r>
        <w:rPr>
          <w:sz w:val="22"/>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1"/>
        <w:rPr>
          <w:sz w:val="22"/>
        </w:rPr>
      </w:pPr>
      <w:r>
        <w:rPr>
          <w:sz w:val="22"/>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1"/>
        <w:rPr>
          <w:sz w:val="22"/>
        </w:rPr>
      </w:pPr>
      <w:r>
        <w:rPr>
          <w:sz w:val="22"/>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sz w:val="22"/>
        </w:rPr>
        <w:fldChar w:fldCharType="begin"/>
      </w:r>
      <w:r>
        <w:rPr>
          <w:sz w:val="22"/>
        </w:rPr>
        <w:instrText xml:space="preserve"> REF _Ref132816300 \r \h </w:instrText>
      </w:r>
      <w:r>
        <w:rPr>
          <w:sz w:val="22"/>
        </w:rPr>
        <w:fldChar w:fldCharType="separate"/>
      </w:r>
      <w:r>
        <w:rPr>
          <w:sz w:val="22"/>
        </w:rPr>
        <w:t>4.14</w:t>
      </w:r>
      <w:r>
        <w:rPr>
          <w:sz w:val="22"/>
        </w:rPr>
        <w:fldChar w:fldCharType="end"/>
      </w:r>
      <w:r>
        <w:rPr>
          <w:sz w:val="22"/>
        </w:rPr>
        <w:t>).</w:t>
      </w:r>
    </w:p>
    <w:p>
      <w:pPr>
        <w:pStyle w:val="Style21"/>
        <w:rPr>
          <w:sz w:val="22"/>
        </w:rPr>
      </w:pPr>
      <w:r>
        <w:rPr>
          <w:sz w:val="22"/>
        </w:rPr>
        <w:t>Результаты оценки и сопоставления заявок указываются в итоговом протоколе по результатам закупки.</w:t>
      </w:r>
    </w:p>
    <w:p>
      <w:pPr>
        <w:pStyle w:val="Style20"/>
        <w:rPr>
          <w:sz w:val="22"/>
        </w:rPr>
      </w:pPr>
      <w:bookmarkStart w:id="175" w:name="__RefHeading___Toc192553_1558056896"/>
      <w:bookmarkStart w:id="176" w:name="_Ref130458671"/>
      <w:bookmarkStart w:id="177" w:name="_Ref125369991"/>
      <w:bookmarkStart w:id="178" w:name="_Ref125370507"/>
      <w:bookmarkStart w:id="179" w:name="_Ref125366064"/>
      <w:bookmarkStart w:id="180" w:name="_Toc186224145"/>
      <w:bookmarkStart w:id="181" w:name="_Ref132816300"/>
      <w:bookmarkStart w:id="182" w:name="_Ref130985951"/>
      <w:bookmarkStart w:id="183" w:name="_Ref186181253"/>
      <w:bookmarkEnd w:id="175"/>
      <w:r>
        <w:rPr>
          <w:sz w:val="22"/>
        </w:rPr>
        <w:t>Применение законодательства о национальном режиме</w:t>
      </w:r>
      <w:bookmarkEnd w:id="176"/>
      <w:bookmarkEnd w:id="177"/>
      <w:bookmarkEnd w:id="178"/>
      <w:bookmarkEnd w:id="179"/>
      <w:bookmarkEnd w:id="180"/>
      <w:bookmarkEnd w:id="181"/>
      <w:bookmarkEnd w:id="182"/>
      <w:bookmarkEnd w:id="183"/>
    </w:p>
    <w:p>
      <w:pPr>
        <w:pStyle w:val="Style21"/>
        <w:rPr>
          <w:sz w:val="22"/>
        </w:rPr>
      </w:pPr>
      <w:r>
        <w:rPr>
          <w:sz w:val="22"/>
        </w:rPr>
        <w:t>Настоящий подраздел применяется исходя из информации, установленной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sz w:val="22"/>
        </w:rPr>
        <w:fldChar w:fldCharType="begin"/>
      </w:r>
      <w:r>
        <w:rPr>
          <w:sz w:val="22"/>
        </w:rPr>
        <w:instrText xml:space="preserve"> REF _Ref125362364 \r \h </w:instrText>
      </w:r>
      <w:r>
        <w:rPr>
          <w:sz w:val="22"/>
        </w:rPr>
        <w:fldChar w:fldCharType="separate"/>
      </w:r>
      <w:r>
        <w:rPr>
          <w:sz w:val="22"/>
        </w:rPr>
        <w:t>4.9</w:t>
      </w:r>
      <w:r>
        <w:rPr>
          <w:sz w:val="22"/>
        </w:rPr>
        <w:fldChar w:fldCharType="end"/>
      </w:r>
      <w:r>
        <w:rPr>
          <w:sz w:val="22"/>
        </w:rPr>
        <w:t xml:space="preserve">, </w:t>
      </w:r>
      <w:r>
        <w:rPr>
          <w:sz w:val="22"/>
        </w:rPr>
        <w:fldChar w:fldCharType="begin"/>
      </w:r>
      <w:r>
        <w:rPr>
          <w:sz w:val="22"/>
        </w:rPr>
        <w:instrText xml:space="preserve"> REF _Ref132797154 \r \h </w:instrText>
      </w:r>
      <w:r>
        <w:rPr>
          <w:sz w:val="22"/>
        </w:rPr>
        <w:fldChar w:fldCharType="separate"/>
      </w:r>
      <w:r>
        <w:rPr>
          <w:sz w:val="22"/>
        </w:rPr>
        <w:t>4.11</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sz w:val="22"/>
        </w:rPr>
        <w:fldChar w:fldCharType="begin"/>
      </w:r>
      <w:r>
        <w:rPr>
          <w:sz w:val="22"/>
        </w:rPr>
        <w:instrText xml:space="preserve"> REF _Ref125362364 \r \h </w:instrText>
      </w:r>
      <w:r>
        <w:rPr>
          <w:sz w:val="22"/>
        </w:rPr>
        <w:fldChar w:fldCharType="separate"/>
      </w:r>
      <w:r>
        <w:rPr>
          <w:sz w:val="22"/>
        </w:rPr>
        <w:t>4.9</w:t>
      </w:r>
      <w:r>
        <w:rPr>
          <w:sz w:val="22"/>
        </w:rPr>
        <w:fldChar w:fldCharType="end"/>
      </w:r>
      <w:r>
        <w:rPr>
          <w:sz w:val="22"/>
        </w:rPr>
        <w:t xml:space="preserve">, </w:t>
      </w:r>
      <w:r>
        <w:rPr>
          <w:sz w:val="22"/>
        </w:rPr>
        <w:fldChar w:fldCharType="begin"/>
      </w:r>
      <w:r>
        <w:rPr>
          <w:sz w:val="22"/>
        </w:rPr>
        <w:instrText xml:space="preserve"> REF _Ref132797154 \r \h </w:instrText>
      </w:r>
      <w:r>
        <w:rPr>
          <w:sz w:val="22"/>
        </w:rPr>
        <w:fldChar w:fldCharType="separate"/>
      </w:r>
      <w:r>
        <w:rPr>
          <w:sz w:val="22"/>
        </w:rPr>
        <w:t>4.11</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преимущества российской продукции, то при оценке и сопоставлении заявок, а также их ранжировке (подраздел </w:t>
      </w:r>
      <w:r>
        <w:rPr>
          <w:sz w:val="22"/>
        </w:rPr>
        <w:fldChar w:fldCharType="begin"/>
      </w:r>
      <w:r>
        <w:rPr>
          <w:sz w:val="22"/>
        </w:rPr>
        <w:instrText xml:space="preserve"> REF _Ref125362626 \r \h </w:instrText>
      </w:r>
      <w:r>
        <w:rPr>
          <w:sz w:val="22"/>
        </w:rPr>
        <w:fldChar w:fldCharType="separate"/>
      </w:r>
      <w:r>
        <w:rPr>
          <w:sz w:val="22"/>
        </w:rPr>
        <w:t>4.13</w:t>
      </w:r>
      <w:r>
        <w:rPr>
          <w:sz w:val="22"/>
        </w:rPr>
        <w:fldChar w:fldCharType="end"/>
      </w:r>
      <w:r>
        <w:rPr>
          <w:sz w:val="22"/>
        </w:rPr>
        <w:t>), осуществляется снижение</w:t>
      </w:r>
      <w:r>
        <w:rPr>
          <w:rStyle w:val="FootnoteReference"/>
          <w:sz w:val="22"/>
        </w:rPr>
        <w:footnoteReference w:id="9"/>
      </w:r>
      <w:r>
        <w:rPr>
          <w:sz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1"/>
        <w:rPr/>
      </w:pPr>
      <w:bookmarkStart w:id="184" w:name="__RefHeading___Toc179956_1558056896"/>
      <w:bookmarkEnd w:id="184"/>
      <w:r>
        <w:rPr>
          <w:sz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7"/>
            <w:sz w:val="22"/>
          </w:rPr>
          <w:t>Технических требованиях (Приложение № 1)</w:t>
        </w:r>
      </w:hyperlink>
      <w:r>
        <w:rPr>
          <w:sz w:val="22"/>
        </w:rPr>
        <w:t>.</w:t>
      </w:r>
    </w:p>
    <w:p>
      <w:pPr>
        <w:pStyle w:val="Style20"/>
        <w:rPr>
          <w:sz w:val="22"/>
        </w:rPr>
      </w:pPr>
      <w:bookmarkStart w:id="185" w:name="__RefHeading___Toc192555_1558056896"/>
      <w:bookmarkStart w:id="186" w:name="_Ref125362658"/>
      <w:bookmarkStart w:id="187" w:name="_Toc186224147"/>
      <w:bookmarkStart w:id="188" w:name="_Ref125366091"/>
      <w:bookmarkStart w:id="189" w:name="_Ref125367242"/>
      <w:bookmarkEnd w:id="185"/>
      <w:r>
        <w:rPr>
          <w:sz w:val="22"/>
        </w:rPr>
        <w:t>Подведение итогов закупки (определение Победителя)</w:t>
      </w:r>
      <w:bookmarkEnd w:id="186"/>
      <w:bookmarkEnd w:id="187"/>
      <w:bookmarkEnd w:id="188"/>
      <w:bookmarkEnd w:id="189"/>
    </w:p>
    <w:p>
      <w:pPr>
        <w:pStyle w:val="Style21"/>
        <w:rPr>
          <w:sz w:val="22"/>
        </w:rPr>
      </w:pPr>
      <w:r>
        <w:rPr>
          <w:sz w:val="22"/>
        </w:rPr>
        <w:t>Дата окончания срока подведения итогов закупки указана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1"/>
        <w:rPr>
          <w:sz w:val="22"/>
        </w:rPr>
      </w:pPr>
      <w:r>
        <w:rPr>
          <w:sz w:val="22"/>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1"/>
        <w:rPr>
          <w:sz w:val="22"/>
        </w:rPr>
      </w:pPr>
      <w:r>
        <w:rPr>
          <w:sz w:val="22"/>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1"/>
        <w:keepNext w:val="true"/>
        <w:rPr>
          <w:sz w:val="22"/>
        </w:rPr>
      </w:pPr>
      <w:bookmarkStart w:id="190" w:name="_Ref125365974"/>
      <w:r>
        <w:rPr>
          <w:sz w:val="22"/>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sz w:val="22"/>
        </w:rPr>
        <w:footnoteReference w:id="10"/>
      </w:r>
      <w:r>
        <w:rPr>
          <w:sz w:val="22"/>
        </w:rPr>
        <w:t>:</w:t>
      </w:r>
      <w:bookmarkEnd w:id="190"/>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sz w:val="22"/>
        </w:rPr>
      </w:pPr>
      <w:r>
        <w:rPr>
          <w:sz w:val="22"/>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2"/>
        <w:keepNext w:val="true"/>
        <w:rPr>
          <w:sz w:val="22"/>
        </w:rPr>
      </w:pPr>
      <w:r>
        <w:rPr>
          <w:sz w:val="22"/>
        </w:rPr>
        <w:t>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3"/>
        <w:rPr>
          <w:sz w:val="22"/>
        </w:rPr>
      </w:pPr>
      <w:r>
        <w:rPr>
          <w:sz w:val="22"/>
        </w:rPr>
        <w:t>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такая заявка;</w:t>
      </w:r>
    </w:p>
    <w:p>
      <w:pPr>
        <w:pStyle w:val="Style22"/>
        <w:rPr>
          <w:sz w:val="22"/>
        </w:rPr>
      </w:pPr>
      <w:r>
        <w:rPr>
          <w:sz w:val="22"/>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3"/>
        <w:rPr>
          <w:sz w:val="22"/>
        </w:rPr>
      </w:pPr>
      <w:r>
        <w:rPr>
          <w:sz w:val="22"/>
        </w:rPr>
        <w:t>количества заявок, которые были отклонены;</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такая заявка;</w:t>
      </w:r>
    </w:p>
    <w:p>
      <w:pPr>
        <w:pStyle w:val="Style22"/>
        <w:rPr>
          <w:sz w:val="22"/>
        </w:rPr>
      </w:pPr>
      <w:r>
        <w:rPr>
          <w:sz w:val="22"/>
        </w:rPr>
        <w:t>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2"/>
        <w:rPr>
          <w:sz w:val="22"/>
        </w:rPr>
      </w:pPr>
      <w:r>
        <w:rPr>
          <w:sz w:val="22"/>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2"/>
        <w:rPr>
          <w:sz w:val="22"/>
        </w:rPr>
      </w:pPr>
      <w:r>
        <w:rPr>
          <w:sz w:val="22"/>
        </w:rPr>
        <w:t>наименование Победителя закупки или Единственного участника несостоявшейся закупки, с которым планируется заключить Договор;</w:t>
      </w:r>
    </w:p>
    <w:p>
      <w:pPr>
        <w:pStyle w:val="Style22"/>
        <w:rPr>
          <w:sz w:val="22"/>
        </w:rPr>
      </w:pPr>
      <w:r>
        <w:rPr>
          <w:sz w:val="22"/>
        </w:rPr>
        <w:t>причины, по которым закупка признана несостоявшейся (в случае ее признания таковой),</w:t>
      </w:r>
    </w:p>
    <w:p>
      <w:pPr>
        <w:pStyle w:val="Style25"/>
        <w:ind w:left="1134" w:hanging="0"/>
        <w:rPr>
          <w:sz w:val="22"/>
        </w:rPr>
      </w:pPr>
      <w:r>
        <w:rPr>
          <w:sz w:val="22"/>
        </w:rPr>
        <w:t>после чего Организатор официально размещает его в течение 3 (трех) календарных дней с даты подписания такого протокола.</w:t>
      </w:r>
    </w:p>
    <w:p>
      <w:pPr>
        <w:pStyle w:val="Style21"/>
        <w:rPr>
          <w:sz w:val="22"/>
        </w:rPr>
      </w:pPr>
      <w:r>
        <w:rPr>
          <w:sz w:val="22"/>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1"/>
        <w:rPr>
          <w:sz w:val="22"/>
        </w:rPr>
      </w:pPr>
      <w:r>
        <w:rPr>
          <w:sz w:val="22"/>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1"/>
        <w:rPr>
          <w:sz w:val="22"/>
        </w:rPr>
      </w:pPr>
      <w:bookmarkStart w:id="191" w:name="_Hlk149314796"/>
      <w:r>
        <w:rPr>
          <w:sz w:val="22"/>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sz w:val="22"/>
        </w:rPr>
        <w:fldChar w:fldCharType="begin"/>
      </w:r>
      <w:r>
        <w:rPr>
          <w:sz w:val="22"/>
        </w:rPr>
        <w:instrText xml:space="preserve"> REF _Ref130394205 \r \h </w:instrText>
      </w:r>
      <w:r>
        <w:rPr>
          <w:sz w:val="22"/>
        </w:rPr>
        <w:fldChar w:fldCharType="separate"/>
      </w:r>
      <w:r>
        <w:rPr>
          <w:sz w:val="22"/>
        </w:rPr>
        <w:t>4.4</w:t>
      </w:r>
      <w:r>
        <w:rPr>
          <w:sz w:val="22"/>
        </w:rPr>
        <w:fldChar w:fldCharType="end"/>
      </w:r>
      <w:r>
        <w:rPr>
          <w:sz w:val="22"/>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191"/>
    </w:p>
    <w:p>
      <w:pPr>
        <w:pStyle w:val="Style20"/>
        <w:rPr>
          <w:sz w:val="22"/>
        </w:rPr>
      </w:pPr>
      <w:bookmarkStart w:id="192" w:name="__RefHeading___Toc192557_1558056896"/>
      <w:bookmarkStart w:id="193" w:name="_Ref125365305"/>
      <w:bookmarkStart w:id="194" w:name="_Ref125366796"/>
      <w:bookmarkStart w:id="195" w:name="_Toc186224148"/>
      <w:bookmarkStart w:id="196" w:name="_Ref125364149"/>
      <w:bookmarkStart w:id="197" w:name="_Ref125365570"/>
      <w:bookmarkStart w:id="198" w:name="_Ref125364187"/>
      <w:bookmarkStart w:id="199" w:name="_Ref125366631"/>
      <w:bookmarkEnd w:id="192"/>
      <w:r>
        <w:rPr>
          <w:sz w:val="22"/>
        </w:rPr>
        <w:t>Признание закупки несостоявшейся</w:t>
      </w:r>
      <w:bookmarkEnd w:id="193"/>
      <w:bookmarkEnd w:id="194"/>
      <w:bookmarkEnd w:id="195"/>
      <w:bookmarkEnd w:id="196"/>
      <w:bookmarkEnd w:id="197"/>
      <w:bookmarkEnd w:id="198"/>
      <w:bookmarkEnd w:id="199"/>
    </w:p>
    <w:p>
      <w:pPr>
        <w:pStyle w:val="Style21"/>
        <w:keepNext w:val="true"/>
        <w:rPr>
          <w:sz w:val="22"/>
        </w:rPr>
      </w:pPr>
      <w:r>
        <w:rPr>
          <w:sz w:val="22"/>
        </w:rPr>
        <w:t>Закупка признается несостоявшейся в следующих случаях:</w:t>
      </w:r>
    </w:p>
    <w:p>
      <w:pPr>
        <w:pStyle w:val="Style22"/>
        <w:rPr>
          <w:sz w:val="22"/>
        </w:rPr>
      </w:pPr>
      <w:r>
        <w:rPr>
          <w:sz w:val="22"/>
        </w:rPr>
        <w:t>если по окончанию срока подачи заявок поступило менее 2 (двух) заявок (с учетом возможных отзывов заявок);</w:t>
      </w:r>
    </w:p>
    <w:p>
      <w:pPr>
        <w:pStyle w:val="Style22"/>
        <w:rPr>
          <w:sz w:val="22"/>
        </w:rPr>
      </w:pPr>
      <w:r>
        <w:rPr>
          <w:sz w:val="22"/>
        </w:rPr>
        <w:t>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2"/>
        <w:rPr>
          <w:sz w:val="22"/>
        </w:rPr>
      </w:pPr>
      <w:r>
        <w:rPr>
          <w:sz w:val="22"/>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2"/>
        <w:rPr>
          <w:sz w:val="22"/>
        </w:rPr>
      </w:pPr>
      <w:r>
        <w:rPr>
          <w:sz w:val="22"/>
        </w:rPr>
        <w:t>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1"/>
        <w:rPr>
          <w:sz w:val="22"/>
        </w:rPr>
      </w:pPr>
      <w:r>
        <w:rPr>
          <w:sz w:val="22"/>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1"/>
        <w:keepNext w:val="true"/>
        <w:rPr>
          <w:sz w:val="22"/>
        </w:rPr>
      </w:pPr>
      <w:r>
        <w:rPr>
          <w:sz w:val="22"/>
        </w:rPr>
        <w:t>В случае признания закупки несостоявшейся Заказчик вправе (с учетом условий, предусмотренных Положением о закупке):</w:t>
      </w:r>
    </w:p>
    <w:p>
      <w:pPr>
        <w:pStyle w:val="Style22"/>
        <w:rPr>
          <w:sz w:val="22"/>
        </w:rPr>
      </w:pPr>
      <w:r>
        <w:rPr>
          <w:sz w:val="22"/>
        </w:rPr>
        <w:t>принять решение о проведении повторной закупки (в том числе с возможностью снятия признака закупки только среди субъектов МСП);</w:t>
      </w:r>
    </w:p>
    <w:p>
      <w:pPr>
        <w:pStyle w:val="Style22"/>
        <w:rPr>
          <w:sz w:val="22"/>
        </w:rPr>
      </w:pPr>
      <w:r>
        <w:rPr>
          <w:sz w:val="22"/>
        </w:rPr>
        <w:t>заключить договор с Единственным участником несостоявшейся закупки (раздел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w:t>
      </w:r>
    </w:p>
    <w:p>
      <w:pPr>
        <w:pStyle w:val="Style22"/>
        <w:rPr>
          <w:sz w:val="22"/>
        </w:rPr>
      </w:pPr>
      <w:r>
        <w:rPr>
          <w:sz w:val="22"/>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0"/>
        <w:rPr>
          <w:sz w:val="22"/>
        </w:rPr>
      </w:pPr>
      <w:bookmarkStart w:id="200" w:name="__RefHeading___Toc192559_1558056896"/>
      <w:bookmarkStart w:id="201" w:name="_Ref132816134"/>
      <w:bookmarkStart w:id="202" w:name="_Ref132816141"/>
      <w:bookmarkStart w:id="203" w:name="_Toc186224149"/>
      <w:bookmarkStart w:id="204" w:name="_Ref126141962"/>
      <w:bookmarkEnd w:id="200"/>
      <w:r>
        <w:rPr>
          <w:sz w:val="22"/>
        </w:rPr>
        <w:t>Отказ от проведения закупки</w:t>
      </w:r>
      <w:bookmarkEnd w:id="204"/>
      <w:r>
        <w:rPr>
          <w:sz w:val="22"/>
        </w:rPr>
        <w:t xml:space="preserve"> (отмена закупки)</w:t>
      </w:r>
      <w:bookmarkEnd w:id="201"/>
      <w:bookmarkEnd w:id="202"/>
      <w:bookmarkEnd w:id="203"/>
    </w:p>
    <w:p>
      <w:pPr>
        <w:pStyle w:val="Style21"/>
        <w:rPr>
          <w:sz w:val="22"/>
        </w:rPr>
      </w:pPr>
      <w:r>
        <w:rPr>
          <w:sz w:val="22"/>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1"/>
        <w:rPr>
          <w:sz w:val="22"/>
        </w:rPr>
      </w:pPr>
      <w:r>
        <w:rPr>
          <w:sz w:val="22"/>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1"/>
        <w:rPr>
          <w:sz w:val="22"/>
        </w:rPr>
      </w:pPr>
      <w:r>
        <w:rPr>
          <w:sz w:val="22"/>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0"/>
        <w:rPr>
          <w:sz w:val="22"/>
        </w:rPr>
      </w:pPr>
      <w:bookmarkStart w:id="205" w:name="__RefHeading___Toc192561_1558056896"/>
      <w:bookmarkStart w:id="206" w:name="_Toc186224150"/>
      <w:bookmarkStart w:id="207" w:name="_Ref130455226"/>
      <w:bookmarkEnd w:id="205"/>
      <w:r>
        <w:rPr>
          <w:sz w:val="22"/>
        </w:rPr>
        <w:t>Особенности проведения закупки с необходимостью обеспечения заявки</w:t>
      </w:r>
      <w:bookmarkEnd w:id="206"/>
      <w:bookmarkEnd w:id="207"/>
    </w:p>
    <w:p>
      <w:pPr>
        <w:pStyle w:val="Style21"/>
        <w:rPr>
          <w:sz w:val="22"/>
        </w:rPr>
      </w:pPr>
      <w:r>
        <w:rPr>
          <w:sz w:val="22"/>
        </w:rPr>
        <w:t>Нормы настоящего подраздела применяются,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предусмотрена обязанность Участников предоставить обеспечение заявки на участие в закупке.</w:t>
      </w:r>
    </w:p>
    <w:p>
      <w:pPr>
        <w:pStyle w:val="Style21"/>
        <w:rPr>
          <w:sz w:val="22"/>
        </w:rPr>
      </w:pPr>
      <w:r>
        <w:rPr>
          <w:sz w:val="22"/>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sz w:val="22"/>
        </w:rPr>
      </w:pPr>
      <w:r>
        <w:rPr>
          <w:sz w:val="22"/>
        </w:rPr>
        <w:t>Обязательства Участников, связанные с подачей заявок, обеспечиваются в форме, порядке и размере в соответствии с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Выбор формы (способа) обеспечения из числа предусмотренных осуществляется Участниками самостоятельно.</w:t>
      </w:r>
    </w:p>
    <w:p>
      <w:pPr>
        <w:pStyle w:val="Style21"/>
        <w:rPr>
          <w:sz w:val="22"/>
        </w:rPr>
      </w:pPr>
      <w:r>
        <w:rPr>
          <w:sz w:val="22"/>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sz w:val="22"/>
        </w:rPr>
        <w:footnoteReference w:id="11"/>
      </w:r>
      <w:r>
        <w:rPr>
          <w:sz w:val="22"/>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1"/>
        <w:rPr>
          <w:sz w:val="22"/>
        </w:rPr>
      </w:pPr>
      <w:r>
        <w:rPr>
          <w:sz w:val="22"/>
        </w:rPr>
        <w:t>В течение 1 (одного) часа с момента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1"/>
        <w:rPr>
          <w:sz w:val="22"/>
        </w:rPr>
      </w:pPr>
      <w:r>
        <w:rPr>
          <w:sz w:val="22"/>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1"/>
        <w:rPr>
          <w:sz w:val="22"/>
        </w:rPr>
      </w:pPr>
      <w:r>
        <w:rPr>
          <w:sz w:val="22"/>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1"/>
        <w:keepNext w:val="true"/>
        <w:rPr>
          <w:sz w:val="22"/>
        </w:rPr>
      </w:pPr>
      <w:r>
        <w:rPr>
          <w:sz w:val="22"/>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2"/>
        <w:rPr>
          <w:sz w:val="22"/>
        </w:rPr>
      </w:pPr>
      <w:r>
        <w:rPr>
          <w:sz w:val="22"/>
        </w:rPr>
        <w:t>независимая гарантия должна быть безотзывной и безусловной (гарантия по первому требованию);</w:t>
      </w:r>
    </w:p>
    <w:p>
      <w:pPr>
        <w:pStyle w:val="Style22"/>
        <w:rPr>
          <w:sz w:val="22"/>
        </w:rPr>
      </w:pPr>
      <w:r>
        <w:rPr>
          <w:sz w:val="22"/>
        </w:rPr>
        <w:t>сумма независимой гарантии должна быть выражена в российских рублях и составлять не менее суммы, установленной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2"/>
        <w:rPr>
          <w:sz w:val="22"/>
        </w:rPr>
      </w:pPr>
      <w:r>
        <w:rPr>
          <w:sz w:val="22"/>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sz w:val="22"/>
        </w:rPr>
        <w:fldChar w:fldCharType="begin"/>
      </w:r>
      <w:r>
        <w:rPr>
          <w:sz w:val="22"/>
        </w:rPr>
        <w:instrText xml:space="preserve"> REF _Ref132716380 \w \h </w:instrText>
      </w:r>
      <w:r>
        <w:rPr>
          <w:sz w:val="22"/>
        </w:rPr>
        <w:fldChar w:fldCharType="separate"/>
      </w:r>
      <w:r>
        <w:rPr>
          <w:sz w:val="22"/>
        </w:rPr>
        <w:t>4.18.8л)</w:t>
      </w:r>
      <w:r>
        <w:rPr>
          <w:sz w:val="22"/>
        </w:rPr>
        <w:fldChar w:fldCharType="end"/>
      </w:r>
      <w:r>
        <w:rPr>
          <w:sz w:val="22"/>
        </w:rPr>
        <w:t>);</w:t>
      </w:r>
    </w:p>
    <w:p>
      <w:pPr>
        <w:pStyle w:val="Style22"/>
        <w:rPr>
          <w:sz w:val="22"/>
        </w:rPr>
      </w:pPr>
      <w:r>
        <w:rPr>
          <w:sz w:val="22"/>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2"/>
        <w:rPr>
          <w:sz w:val="22"/>
        </w:rPr>
      </w:pPr>
      <w:r>
        <w:rPr>
          <w:sz w:val="22"/>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2"/>
        <w:rPr>
          <w:sz w:val="22"/>
        </w:rPr>
      </w:pPr>
      <w:r>
        <w:rPr>
          <w:sz w:val="22"/>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2"/>
        <w:rPr>
          <w:sz w:val="22"/>
        </w:rPr>
      </w:pPr>
      <w:r>
        <w:rPr>
          <w:sz w:val="22"/>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2"/>
        <w:rPr>
          <w:sz w:val="22"/>
        </w:rPr>
      </w:pPr>
      <w:r>
        <w:rPr>
          <w:sz w:val="22"/>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sz w:val="22"/>
        </w:rPr>
        <w:fldChar w:fldCharType="begin"/>
      </w:r>
      <w:r>
        <w:rPr>
          <w:sz w:val="22"/>
        </w:rPr>
        <w:instrText xml:space="preserve"> REF _Ref132716182 \r \h </w:instrText>
      </w:r>
      <w:r>
        <w:rPr>
          <w:sz w:val="22"/>
        </w:rPr>
        <w:fldChar w:fldCharType="separate"/>
      </w:r>
      <w:r>
        <w:rPr>
          <w:sz w:val="22"/>
        </w:rPr>
        <w:t>4.18.14</w:t>
      </w:r>
      <w:r>
        <w:rPr>
          <w:sz w:val="22"/>
        </w:rPr>
        <w:fldChar w:fldCharType="end"/>
      </w:r>
      <w:r>
        <w:rPr>
          <w:sz w:val="22"/>
        </w:rPr>
        <w:t>);</w:t>
      </w:r>
    </w:p>
    <w:p>
      <w:pPr>
        <w:pStyle w:val="Style22"/>
        <w:rPr>
          <w:sz w:val="22"/>
        </w:rPr>
      </w:pPr>
      <w:r>
        <w:rPr>
          <w:sz w:val="22"/>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2"/>
        <w:rPr>
          <w:sz w:val="22"/>
        </w:rPr>
      </w:pPr>
      <w:r>
        <w:rPr>
          <w:sz w:val="22"/>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2"/>
        <w:rPr>
          <w:sz w:val="22"/>
        </w:rPr>
      </w:pPr>
      <w:bookmarkStart w:id="208" w:name="_Ref132716380"/>
      <w:r>
        <w:rPr>
          <w:sz w:val="22"/>
        </w:rPr>
        <w:t>независимая гарантия должна быть выдана организацией из числа указанных в части 1 статьи 45 Закона 44-ФЗ;</w:t>
      </w:r>
      <w:bookmarkEnd w:id="208"/>
    </w:p>
    <w:p>
      <w:pPr>
        <w:pStyle w:val="Style22"/>
        <w:rPr>
          <w:sz w:val="22"/>
        </w:rPr>
      </w:pPr>
      <w:r>
        <w:rPr>
          <w:sz w:val="22"/>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2"/>
        <w:rPr>
          <w:sz w:val="22"/>
        </w:rPr>
      </w:pPr>
      <w:r>
        <w:rPr>
          <w:sz w:val="22"/>
        </w:rPr>
        <w:t>информация о независимой гарантии должна быть включена в реестр независимых гарантий, предусмотренный частью 8 статьи </w:t>
      </w:r>
      <w:r>
        <w:rPr>
          <w:sz w:val="22"/>
          <w:lang w:val="en-US"/>
        </w:rPr>
        <w:t>4</w:t>
      </w:r>
      <w:r>
        <w:rPr>
          <w:sz w:val="22"/>
        </w:rPr>
        <w:t>5 Закона 44</w:t>
        <w:noBreakHyphen/>
        <w:t>ФЗ.</w:t>
      </w:r>
    </w:p>
    <w:p>
      <w:pPr>
        <w:pStyle w:val="Style21"/>
        <w:rPr>
          <w:sz w:val="22"/>
        </w:rPr>
      </w:pPr>
      <w:r>
        <w:rPr>
          <w:sz w:val="22"/>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1"/>
        <w:rPr>
          <w:sz w:val="22"/>
        </w:rPr>
      </w:pPr>
      <w:r>
        <w:rPr>
          <w:sz w:val="22"/>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1"/>
        <w:rPr>
          <w:sz w:val="22"/>
        </w:rPr>
      </w:pPr>
      <w:r>
        <w:rPr>
          <w:sz w:val="22"/>
        </w:rPr>
        <w:t>При многолотовой закупке (подраздел </w:t>
      </w:r>
      <w:r>
        <w:rPr>
          <w:sz w:val="22"/>
        </w:rPr>
        <w:fldChar w:fldCharType="begin"/>
      </w:r>
      <w:r>
        <w:rPr>
          <w:sz w:val="22"/>
        </w:rPr>
        <w:instrText xml:space="preserve"> REF _Ref149317133 \n \h </w:instrText>
      </w:r>
      <w:r>
        <w:rPr>
          <w:sz w:val="22"/>
        </w:rPr>
        <w:fldChar w:fldCharType="separate"/>
      </w:r>
      <w:r>
        <w:rPr>
          <w:sz w:val="22"/>
        </w:rPr>
        <w:t>4.19</w:t>
      </w:r>
      <w:r>
        <w:rPr>
          <w:sz w:val="22"/>
        </w:rPr>
        <w:fldChar w:fldCharType="end"/>
      </w:r>
      <w:r>
        <w:rPr>
          <w:sz w:val="22"/>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1"/>
        <w:rPr>
          <w:sz w:val="22"/>
        </w:rPr>
      </w:pPr>
      <w:r>
        <w:rPr>
          <w:sz w:val="22"/>
        </w:rPr>
        <w:t>Подать заявку (принять участие в закупке) могут только Участники, предоставившие надлежащее обеспечение их заявок.</w:t>
      </w:r>
    </w:p>
    <w:p>
      <w:pPr>
        <w:pStyle w:val="Style21"/>
        <w:rPr>
          <w:sz w:val="22"/>
        </w:rPr>
      </w:pPr>
      <w:r>
        <w:rPr>
          <w:sz w:val="22"/>
        </w:rPr>
        <w:t>Требование об обеспечении заявки в равной мере распространяется на всех Участников.</w:t>
      </w:r>
    </w:p>
    <w:p>
      <w:pPr>
        <w:pStyle w:val="Style21"/>
        <w:keepNext w:val="true"/>
        <w:rPr>
          <w:sz w:val="22"/>
        </w:rPr>
      </w:pPr>
      <w:bookmarkStart w:id="209" w:name="_Ref132716182"/>
      <w:r>
        <w:rPr>
          <w:sz w:val="22"/>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09"/>
    </w:p>
    <w:p>
      <w:pPr>
        <w:pStyle w:val="Style22"/>
        <w:rPr/>
      </w:pPr>
      <w:r>
        <w:rPr>
          <w:sz w:val="22"/>
        </w:rPr>
        <w:t>обязательство заключить Договор в установленном Документацией о закупке порядке (раздел </w:t>
      </w:r>
      <w:r>
        <w:rPr>
          <w:sz w:val="22"/>
        </w:rPr>
        <w:fldChar w:fldCharType="begin"/>
      </w:r>
      <w:r>
        <w:rPr>
          <w:sz w:val="22"/>
        </w:rPr>
        <w:instrText xml:space="preserve"> REF _Ref130224037 \r \h </w:instrText>
      </w:r>
      <w:r>
        <w:rPr>
          <w:sz w:val="22"/>
        </w:rPr>
        <w:fldChar w:fldCharType="separate"/>
      </w:r>
      <w:r>
        <w:rPr>
          <w:sz w:val="22"/>
        </w:rPr>
        <w:t>5</w:t>
      </w:r>
      <w:r>
        <w:rPr>
          <w:sz w:val="22"/>
        </w:rPr>
        <w:fldChar w:fldCharType="end"/>
      </w:r>
      <w:r>
        <w:rPr>
          <w:sz w:val="22"/>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7"/>
            <w:sz w:val="22"/>
          </w:rPr>
          <w:t>Приложение № 5</w:t>
        </w:r>
      </w:hyperlink>
      <w:r>
        <w:rPr>
          <w:sz w:val="22"/>
        </w:rPr>
        <w:t>), а также предоставить иные документы в соответствии с условиями подраздела </w:t>
      </w:r>
      <w:r>
        <w:rPr>
          <w:sz w:val="22"/>
        </w:rPr>
        <w:fldChar w:fldCharType="begin"/>
      </w:r>
      <w:r>
        <w:rPr>
          <w:sz w:val="22"/>
        </w:rPr>
        <w:instrText xml:space="preserve"> REF _Ref138341423 \r \h </w:instrText>
      </w:r>
      <w:r>
        <w:rPr>
          <w:sz w:val="22"/>
        </w:rPr>
        <w:fldChar w:fldCharType="separate"/>
      </w:r>
      <w:r>
        <w:rPr>
          <w:sz w:val="22"/>
        </w:rPr>
        <w:t>5.2</w:t>
      </w:r>
      <w:r>
        <w:rPr>
          <w:sz w:val="22"/>
        </w:rPr>
        <w:fldChar w:fldCharType="end"/>
      </w:r>
      <w:r>
        <w:rPr>
          <w:sz w:val="22"/>
        </w:rPr>
        <w:t>;</w:t>
      </w:r>
    </w:p>
    <w:p>
      <w:pPr>
        <w:pStyle w:val="Style22"/>
        <w:rPr/>
      </w:pPr>
      <w:r>
        <w:rPr>
          <w:sz w:val="22"/>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7"/>
            <w:sz w:val="22"/>
          </w:rPr>
          <w:t>Проект договора (Приложение № 2)</w:t>
        </w:r>
      </w:hyperlink>
      <w:r>
        <w:rPr>
          <w:sz w:val="22"/>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7"/>
            <w:sz w:val="22"/>
          </w:rPr>
          <w:t>Проектом договора</w:t>
        </w:r>
      </w:hyperlink>
      <w:r>
        <w:rPr>
          <w:sz w:val="22"/>
        </w:rPr>
        <w:t>).</w:t>
      </w:r>
    </w:p>
    <w:p>
      <w:pPr>
        <w:pStyle w:val="Style21"/>
        <w:rPr>
          <w:sz w:val="22"/>
        </w:rPr>
      </w:pPr>
      <w:r>
        <w:rPr>
          <w:sz w:val="22"/>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keepNext w:val="true"/>
        <w:rPr>
          <w:sz w:val="22"/>
        </w:rPr>
      </w:pPr>
      <w:r>
        <w:rPr>
          <w:sz w:val="22"/>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2"/>
        <w:rPr>
          <w:sz w:val="22"/>
        </w:rPr>
      </w:pPr>
      <w:r>
        <w:rPr>
          <w:sz w:val="22"/>
        </w:rPr>
        <w:t>принятия решения об отказе от проведения закупки – всем Участникам, подавшим заявки к моменту принятия такого решения;</w:t>
      </w:r>
    </w:p>
    <w:p>
      <w:pPr>
        <w:pStyle w:val="Style22"/>
        <w:rPr>
          <w:sz w:val="22"/>
        </w:rPr>
      </w:pPr>
      <w:r>
        <w:rPr>
          <w:sz w:val="22"/>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2"/>
        <w:rPr>
          <w:sz w:val="22"/>
        </w:rPr>
      </w:pPr>
      <w:r>
        <w:rPr>
          <w:sz w:val="22"/>
        </w:rPr>
        <w:t>официального размещения итогового протокола по результатам закупки – всем Участникам, кроме Победителя;</w:t>
      </w:r>
    </w:p>
    <w:p>
      <w:pPr>
        <w:pStyle w:val="Style22"/>
        <w:rPr>
          <w:sz w:val="22"/>
        </w:rPr>
      </w:pPr>
      <w:r>
        <w:rPr>
          <w:sz w:val="22"/>
        </w:rPr>
        <w:t>заключения Договора по результатам закупки – Победителю, с которым заключен Договор;</w:t>
      </w:r>
    </w:p>
    <w:p>
      <w:pPr>
        <w:pStyle w:val="Style22"/>
        <w:rPr>
          <w:sz w:val="22"/>
        </w:rPr>
      </w:pPr>
      <w:r>
        <w:rPr>
          <w:sz w:val="22"/>
        </w:rPr>
        <w:t>признания закупки несостоявшейся – Участнику, которому обеспечение не было возвращено по иным основаниям.</w:t>
      </w:r>
    </w:p>
    <w:p>
      <w:pPr>
        <w:pStyle w:val="Style21"/>
        <w:rPr>
          <w:sz w:val="22"/>
        </w:rPr>
      </w:pPr>
      <w:r>
        <w:rPr>
          <w:sz w:val="22"/>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sz w:val="22"/>
        </w:rPr>
        <w:fldChar w:fldCharType="begin"/>
      </w:r>
      <w:r>
        <w:rPr>
          <w:sz w:val="22"/>
        </w:rPr>
        <w:instrText xml:space="preserve"> REF _Ref125363536 \r \h </w:instrText>
      </w:r>
      <w:r>
        <w:rPr>
          <w:sz w:val="22"/>
        </w:rPr>
        <w:fldChar w:fldCharType="separate"/>
      </w:r>
      <w:r>
        <w:rPr>
          <w:sz w:val="22"/>
        </w:rPr>
        <w:t>2.3</w:t>
      </w:r>
      <w:r>
        <w:rPr>
          <w:sz w:val="22"/>
        </w:rPr>
        <w:fldChar w:fldCharType="end"/>
      </w:r>
      <w:r>
        <w:rPr>
          <w:sz w:val="22"/>
        </w:rPr>
        <w:t>) – на время рассмотрения жалобы.</w:t>
      </w:r>
    </w:p>
    <w:p>
      <w:pPr>
        <w:pStyle w:val="Style20"/>
        <w:rPr>
          <w:sz w:val="22"/>
        </w:rPr>
      </w:pPr>
      <w:bookmarkStart w:id="210" w:name="__RefHeading___Toc192563_1558056896"/>
      <w:bookmarkStart w:id="211" w:name="_Ref149317133"/>
      <w:bookmarkStart w:id="212" w:name="_Toc186224151"/>
      <w:bookmarkStart w:id="213" w:name="_Ref130225422"/>
      <w:bookmarkEnd w:id="210"/>
      <w:r>
        <w:rPr>
          <w:sz w:val="22"/>
        </w:rPr>
        <w:t>Особенности проведения многолотовой закупки</w:t>
      </w:r>
      <w:bookmarkEnd w:id="211"/>
      <w:bookmarkEnd w:id="212"/>
      <w:bookmarkEnd w:id="213"/>
    </w:p>
    <w:p>
      <w:pPr>
        <w:pStyle w:val="Style21"/>
        <w:rPr>
          <w:sz w:val="22"/>
        </w:rPr>
      </w:pPr>
      <w:r>
        <w:rPr>
          <w:sz w:val="22"/>
        </w:rPr>
        <w:t>Нормы настоящего подраздела применяются,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предусмотрено проведение многолотовой закупки.</w:t>
      </w:r>
    </w:p>
    <w:p>
      <w:pPr>
        <w:pStyle w:val="Style21"/>
        <w:rPr>
          <w:sz w:val="22"/>
        </w:rPr>
      </w:pPr>
      <w:r>
        <w:rPr>
          <w:sz w:val="22"/>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sz w:val="22"/>
        </w:rPr>
      </w:pPr>
      <w:r>
        <w:rPr>
          <w:sz w:val="22"/>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sz w:val="22"/>
          <w:lang w:val="en-US"/>
        </w:rPr>
        <w:t> </w:t>
      </w:r>
      <w:r>
        <w:rPr>
          <w:sz w:val="22"/>
        </w:rPr>
        <w:t>указан номер конкретного лота, относятся ко всем лотам одновременно.</w:t>
      </w:r>
    </w:p>
    <w:p>
      <w:pPr>
        <w:pStyle w:val="Style21"/>
        <w:rPr>
          <w:sz w:val="22"/>
        </w:rPr>
      </w:pPr>
      <w:r>
        <w:rPr>
          <w:sz w:val="22"/>
        </w:rPr>
        <w:t>Участник может подать одну заявку / одно окончательное предложение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 одному окончательному предложению на каждый лот, не считается подачей второй заявки / окончательного предложения на закупку.</w:t>
      </w:r>
    </w:p>
    <w:p>
      <w:pPr>
        <w:pStyle w:val="Style21"/>
        <w:keepNext w:val="true"/>
        <w:rPr>
          <w:sz w:val="22"/>
        </w:rPr>
      </w:pPr>
      <w:r>
        <w:rPr>
          <w:sz w:val="22"/>
        </w:rPr>
        <w:t>В случае подачи заявки / окончательного предложения на несколько лотов дополнительно должны быть соблюдены следующие требования:</w:t>
      </w:r>
    </w:p>
    <w:p>
      <w:pPr>
        <w:pStyle w:val="Style22"/>
        <w:rPr/>
      </w:pPr>
      <w:r>
        <w:rPr>
          <w:sz w:val="22"/>
        </w:rPr>
        <w:t>Письмо о подаче оферты (форма 2) (</w:t>
      </w:r>
      <w:hyperlink w:anchor="Прил04_ФормыЗаявки">
        <w:r>
          <w:rPr>
            <w:rStyle w:val="Style7"/>
            <w:sz w:val="22"/>
          </w:rPr>
          <w:t>Приложение № 4</w:t>
        </w:r>
      </w:hyperlink>
      <w:r>
        <w:rPr>
          <w:sz w:val="22"/>
        </w:rPr>
        <w:t>) должно содержать указание номера и названия каждого лота;</w:t>
      </w:r>
    </w:p>
    <w:p>
      <w:pPr>
        <w:pStyle w:val="Style22"/>
        <w:rPr/>
      </w:pPr>
      <w:r>
        <w:rPr>
          <w:sz w:val="22"/>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7"/>
            <w:sz w:val="22"/>
          </w:rPr>
          <w:t>Приложение № 4</w:t>
        </w:r>
      </w:hyperlink>
      <w:r>
        <w:rPr>
          <w:sz w:val="22"/>
        </w:rPr>
        <w:t>, должны быть подготовлены отдельно по каждому из лотов с указанием номера и названия лота.</w:t>
      </w:r>
    </w:p>
    <w:p>
      <w:pPr>
        <w:pStyle w:val="Style21"/>
        <w:rPr>
          <w:sz w:val="22"/>
        </w:rPr>
      </w:pPr>
      <w:r>
        <w:rPr>
          <w:sz w:val="22"/>
        </w:rPr>
        <w:t>Решения, принимаемые в ходе процедуры закупки, в том числе решения в рамках рассмотрения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8"/>
        <w:keepNext w:val="true"/>
        <w:rPr/>
      </w:pPr>
      <w:r>
        <w:rPr/>
      </w:r>
    </w:p>
    <w:p>
      <w:pPr>
        <w:pStyle w:val="Style19"/>
        <w:rPr>
          <w:sz w:val="22"/>
        </w:rPr>
      </w:pPr>
      <w:bookmarkStart w:id="214" w:name="__RefHeading___Toc192565_1558056896"/>
      <w:bookmarkStart w:id="215" w:name="_Toc186224153"/>
      <w:bookmarkStart w:id="216" w:name="_Ref126142429"/>
      <w:bookmarkStart w:id="217" w:name="_Ref130224037"/>
      <w:bookmarkStart w:id="218" w:name="_Ref125367083"/>
      <w:bookmarkStart w:id="219" w:name="_Ref125366769"/>
      <w:bookmarkStart w:id="220" w:name="_Ref125367087"/>
      <w:bookmarkStart w:id="221" w:name="_Ref125361212"/>
      <w:bookmarkStart w:id="222" w:name="_Ref125363439"/>
      <w:bookmarkStart w:id="223" w:name="_Ref125362671"/>
      <w:bookmarkEnd w:id="214"/>
      <w:r>
        <w:rPr>
          <w:sz w:val="22"/>
        </w:rPr>
        <w:t>Порядок заключения Договора</w:t>
      </w:r>
      <w:bookmarkEnd w:id="215"/>
      <w:bookmarkEnd w:id="216"/>
      <w:bookmarkEnd w:id="217"/>
      <w:bookmarkEnd w:id="218"/>
      <w:bookmarkEnd w:id="219"/>
      <w:bookmarkEnd w:id="220"/>
      <w:bookmarkEnd w:id="221"/>
      <w:bookmarkEnd w:id="222"/>
      <w:bookmarkEnd w:id="223"/>
    </w:p>
    <w:p>
      <w:pPr>
        <w:pStyle w:val="Style20"/>
        <w:rPr>
          <w:sz w:val="22"/>
        </w:rPr>
      </w:pPr>
      <w:bookmarkStart w:id="224" w:name="__RefHeading___Toc192567_1558056896"/>
      <w:bookmarkStart w:id="225" w:name="_Toc186224154"/>
      <w:bookmarkEnd w:id="224"/>
      <w:r>
        <w:rPr>
          <w:sz w:val="22"/>
        </w:rPr>
        <w:t>Общие положения</w:t>
      </w:r>
      <w:bookmarkEnd w:id="225"/>
    </w:p>
    <w:p>
      <w:pPr>
        <w:pStyle w:val="Style21"/>
        <w:rPr>
          <w:sz w:val="22"/>
        </w:rPr>
      </w:pPr>
      <w:r>
        <w:rPr>
          <w:sz w:val="22"/>
        </w:rPr>
        <w:t>Нормы настоящего раздела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0"/>
        <w:rPr>
          <w:sz w:val="22"/>
        </w:rPr>
      </w:pPr>
      <w:bookmarkStart w:id="226" w:name="__RefHeading___Toc192569_1558056896"/>
      <w:bookmarkStart w:id="227" w:name="_Ref138341423"/>
      <w:bookmarkStart w:id="228" w:name="_Toc186224155"/>
      <w:bookmarkStart w:id="229" w:name="_Ref125366947"/>
      <w:bookmarkStart w:id="230" w:name="_Ref125368755"/>
      <w:bookmarkEnd w:id="226"/>
      <w:r>
        <w:rPr>
          <w:sz w:val="22"/>
        </w:rPr>
        <w:t>Заключение Договора</w:t>
      </w:r>
      <w:bookmarkEnd w:id="227"/>
      <w:bookmarkEnd w:id="228"/>
      <w:bookmarkEnd w:id="229"/>
      <w:bookmarkEnd w:id="230"/>
    </w:p>
    <w:p>
      <w:pPr>
        <w:pStyle w:val="Style21"/>
        <w:rPr>
          <w:sz w:val="22"/>
        </w:rPr>
      </w:pPr>
      <w:bookmarkStart w:id="231" w:name="_Ref130293821"/>
      <w:bookmarkStart w:id="232" w:name="_Ref125362935"/>
      <w:r>
        <w:rPr>
          <w:sz w:val="22"/>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31"/>
      <w:bookmarkEnd w:id="232"/>
    </w:p>
    <w:p>
      <w:pPr>
        <w:pStyle w:val="Style21"/>
        <w:rPr>
          <w:sz w:val="22"/>
        </w:rPr>
      </w:pPr>
      <w:r>
        <w:rPr>
          <w:sz w:val="22"/>
        </w:rPr>
        <w:t>Договор не может быть заключен, если это запрещено законодательством о национальном режиме в случаях, установленных в подразделе </w:t>
      </w:r>
      <w:r>
        <w:rPr>
          <w:sz w:val="22"/>
        </w:rPr>
        <w:fldChar w:fldCharType="begin"/>
      </w:r>
      <w:r>
        <w:rPr>
          <w:sz w:val="22"/>
        </w:rPr>
        <w:instrText xml:space="preserve"> REF _Ref186181253 \r \h </w:instrText>
      </w:r>
      <w:r>
        <w:rPr>
          <w:sz w:val="22"/>
        </w:rPr>
        <w:fldChar w:fldCharType="separate"/>
      </w:r>
      <w:r>
        <w:rPr>
          <w:sz w:val="22"/>
        </w:rPr>
        <w:t>4.14</w:t>
      </w:r>
      <w:r>
        <w:rPr>
          <w:sz w:val="22"/>
        </w:rPr>
        <w:fldChar w:fldCharType="end"/>
      </w:r>
      <w:r>
        <w:rPr>
          <w:sz w:val="22"/>
        </w:rPr>
        <w:t>.</w:t>
      </w:r>
    </w:p>
    <w:p>
      <w:pPr>
        <w:pStyle w:val="Style21"/>
        <w:rPr/>
      </w:pPr>
      <w:bookmarkStart w:id="233" w:name="_Ref125363464"/>
      <w:r>
        <w:rPr>
          <w:sz w:val="22"/>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7"/>
            <w:sz w:val="22"/>
          </w:rPr>
          <w:t>Приложением № 5</w:t>
        </w:r>
      </w:hyperlink>
      <w:r>
        <w:rPr>
          <w:sz w:val="22"/>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33"/>
    </w:p>
    <w:p>
      <w:pPr>
        <w:pStyle w:val="Style21"/>
        <w:rPr/>
      </w:pPr>
      <w:r>
        <w:rPr>
          <w:sz w:val="22"/>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sz w:val="22"/>
          <w:lang w:val="en-US"/>
        </w:rPr>
        <w:t>pdf</w:t>
      </w:r>
      <w:r>
        <w:rPr>
          <w:sz w:val="22"/>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7"/>
            <w:sz w:val="22"/>
          </w:rPr>
          <w:t>Приложением № 5</w:t>
        </w:r>
      </w:hyperlink>
      <w:r>
        <w:rPr>
          <w:sz w:val="22"/>
        </w:rPr>
        <w:t>.</w:t>
      </w:r>
    </w:p>
    <w:p>
      <w:pPr>
        <w:pStyle w:val="Style21"/>
        <w:keepNext w:val="true"/>
        <w:rPr/>
      </w:pPr>
      <w:bookmarkStart w:id="234" w:name="_Ref125551072"/>
      <w:r>
        <w:rPr>
          <w:sz w:val="22"/>
        </w:rPr>
        <w:t>Перед заключением Договора Победитель обязан предоставить Заказчику, не позднее сроков, установленных в пункте </w:t>
      </w:r>
      <w:r>
        <w:rPr>
          <w:sz w:val="22"/>
        </w:rPr>
        <w:fldChar w:fldCharType="begin"/>
      </w:r>
      <w:r>
        <w:rPr>
          <w:sz w:val="22"/>
        </w:rPr>
        <w:instrText xml:space="preserve"> REF _Ref130293821 \w \h </w:instrText>
      </w:r>
      <w:r>
        <w:rPr>
          <w:sz w:val="22"/>
        </w:rPr>
        <w:fldChar w:fldCharType="separate"/>
      </w:r>
      <w:r>
        <w:rPr>
          <w:sz w:val="22"/>
        </w:rPr>
        <w:t>5.2.1</w:t>
      </w:r>
      <w:r>
        <w:rPr>
          <w:sz w:val="22"/>
        </w:rPr>
        <w:fldChar w:fldCharType="end"/>
      </w:r>
      <w:r>
        <w:rPr>
          <w:sz w:val="22"/>
        </w:rPr>
        <w:t>, в целях подтверждения своего соответствия обязательному требованию к Участникам, указанному в пункте </w:t>
      </w:r>
      <w:r>
        <w:rPr>
          <w:sz w:val="22"/>
        </w:rPr>
        <w:fldChar w:fldCharType="begin"/>
      </w:r>
      <w:r>
        <w:rPr>
          <w:sz w:val="22"/>
        </w:rPr>
        <w:instrText xml:space="preserve"> REF _Ref125552433 \w \h </w:instrText>
      </w:r>
      <w:r>
        <w:rPr>
          <w:sz w:val="22"/>
        </w:rPr>
        <w:fldChar w:fldCharType="separate"/>
      </w:r>
      <w:r>
        <w:rPr>
          <w:sz w:val="22"/>
        </w:rPr>
        <w:t>1</w:t>
      </w:r>
      <w:r>
        <w:rPr>
          <w:sz w:val="22"/>
        </w:rPr>
        <w:fldChar w:fldCharType="end"/>
      </w:r>
      <w:r>
        <w:rPr>
          <w:sz w:val="22"/>
        </w:rPr>
        <w:t xml:space="preserve"> подраздела </w:t>
      </w:r>
      <w:r>
        <w:rPr>
          <w:sz w:val="22"/>
        </w:rPr>
        <w:fldChar w:fldCharType="begin"/>
      </w:r>
      <w:r>
        <w:rPr>
          <w:sz w:val="22"/>
        </w:rPr>
        <w:instrText xml:space="preserve"> REF _Ref125361435 \w \h </w:instrText>
      </w:r>
      <w:r>
        <w:rPr>
          <w:sz w:val="22"/>
        </w:rPr>
        <w:fldChar w:fldCharType="separate"/>
      </w:r>
      <w:r>
        <w:rPr>
          <w:sz w:val="22"/>
        </w:rPr>
        <w:t>8.2</w:t>
      </w:r>
      <w:r>
        <w:rPr>
          <w:sz w:val="22"/>
        </w:rPr>
        <w:fldChar w:fldCharType="end"/>
      </w:r>
      <w:r>
        <w:rPr>
          <w:sz w:val="22"/>
        </w:rPr>
        <w:t xml:space="preserve"> (</w:t>
      </w:r>
      <w:hyperlink w:anchor="Прил03_ТребованияУчастникам">
        <w:r>
          <w:rPr>
            <w:rStyle w:val="Style7"/>
            <w:sz w:val="22"/>
          </w:rPr>
          <w:t>Приложение № 3</w:t>
        </w:r>
      </w:hyperlink>
      <w:r>
        <w:rPr>
          <w:sz w:val="22"/>
        </w:rPr>
        <w:t xml:space="preserve">), следующие документы (скан-копии в формате </w:t>
      </w:r>
      <w:r>
        <w:rPr>
          <w:sz w:val="22"/>
          <w:lang w:val="en-US"/>
        </w:rPr>
        <w:t>pdf</w:t>
      </w:r>
      <w:r>
        <w:rPr>
          <w:sz w:val="22"/>
        </w:rPr>
        <w:t>):</w:t>
      </w:r>
      <w:bookmarkEnd w:id="234"/>
    </w:p>
    <w:p>
      <w:pPr>
        <w:pStyle w:val="Style22"/>
        <w:keepNext w:val="true"/>
        <w:rPr>
          <w:sz w:val="22"/>
        </w:rPr>
      </w:pPr>
      <w:r>
        <w:rPr>
          <w:sz w:val="22"/>
        </w:rPr>
        <w:t>для юридического лица:</w:t>
      </w:r>
    </w:p>
    <w:p>
      <w:pPr>
        <w:pStyle w:val="Style23"/>
        <w:rPr>
          <w:sz w:val="22"/>
        </w:rPr>
      </w:pPr>
      <w:r>
        <w:rPr>
          <w:sz w:val="22"/>
        </w:rPr>
        <w:t>копия устава в действующей редакции с отметкой ИФНС либо копия нотариально заверенного устава (с отметкой нотариуса);</w:t>
      </w:r>
    </w:p>
    <w:p>
      <w:pPr>
        <w:pStyle w:val="Style23"/>
        <w:rPr>
          <w:sz w:val="22"/>
        </w:rPr>
      </w:pPr>
      <w:bookmarkStart w:id="235" w:name="_Ref125638686"/>
      <w:r>
        <w:rPr>
          <w:sz w:val="22"/>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35"/>
    </w:p>
    <w:p>
      <w:pPr>
        <w:pStyle w:val="Style23"/>
        <w:rPr>
          <w:sz w:val="22"/>
        </w:rPr>
      </w:pPr>
      <w:r>
        <w:rPr>
          <w:sz w:val="22"/>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2"/>
        <w:rPr>
          <w:sz w:val="22"/>
        </w:rPr>
      </w:pPr>
      <w:r>
        <w:rPr>
          <w:sz w:val="22"/>
        </w:rPr>
        <w:t>для лица, зарегистрированного вне Российской Федерации: выписка из торгового реестра страны регистрации иностранного Участника;</w:t>
      </w:r>
    </w:p>
    <w:p>
      <w:pPr>
        <w:pStyle w:val="Style22"/>
        <w:rPr>
          <w:sz w:val="22"/>
        </w:rPr>
      </w:pPr>
      <w:r>
        <w:rPr>
          <w:sz w:val="22"/>
        </w:rPr>
        <w:t>для физического лица: нотариально заверенная копия всех страниц документа, удостоверяющего личность (паспорта);</w:t>
      </w:r>
    </w:p>
    <w:p>
      <w:pPr>
        <w:pStyle w:val="Style21"/>
        <w:rPr>
          <w:sz w:val="22"/>
        </w:rPr>
      </w:pPr>
      <w:r>
        <w:rPr>
          <w:sz w:val="22"/>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1"/>
        <w:rPr>
          <w:sz w:val="22"/>
        </w:rPr>
      </w:pPr>
      <w:r>
        <w:rPr>
          <w:sz w:val="22"/>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1"/>
        <w:keepNext w:val="true"/>
        <w:rPr>
          <w:sz w:val="22"/>
        </w:rPr>
      </w:pPr>
      <w:bookmarkStart w:id="236" w:name="_Ref132288402"/>
      <w:r>
        <w:rPr>
          <w:sz w:val="22"/>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36"/>
    </w:p>
    <w:p>
      <w:pPr>
        <w:pStyle w:val="Style22"/>
        <w:rPr>
          <w:sz w:val="22"/>
        </w:rPr>
      </w:pPr>
      <w:r>
        <w:rPr>
          <w:sz w:val="22"/>
        </w:rPr>
        <w:t>итоговый протокол по результатам закупки;</w:t>
      </w:r>
    </w:p>
    <w:p>
      <w:pPr>
        <w:pStyle w:val="Style22"/>
        <w:rPr>
          <w:sz w:val="22"/>
        </w:rPr>
      </w:pPr>
      <w:r>
        <w:rPr>
          <w:sz w:val="22"/>
        </w:rPr>
        <w:t>Извещение и Документация о закупке со всеми изменениями;</w:t>
      </w:r>
    </w:p>
    <w:p>
      <w:pPr>
        <w:pStyle w:val="Style22"/>
        <w:rPr>
          <w:sz w:val="22"/>
        </w:rPr>
      </w:pPr>
      <w:r>
        <w:rPr>
          <w:sz w:val="22"/>
        </w:rPr>
        <w:t>заявка Победителя со всеми дополнениями и разъяснениями.</w:t>
      </w:r>
    </w:p>
    <w:p>
      <w:pPr>
        <w:pStyle w:val="Style21"/>
        <w:rPr>
          <w:sz w:val="22"/>
        </w:rPr>
      </w:pPr>
      <w:r>
        <w:rPr>
          <w:sz w:val="22"/>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1"/>
        <w:rPr>
          <w:sz w:val="22"/>
        </w:rPr>
      </w:pPr>
      <w:r>
        <w:rPr>
          <w:sz w:val="22"/>
        </w:rPr>
        <w:t>В течение установленного в пункте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1"/>
        <w:rPr>
          <w:sz w:val="22"/>
        </w:rPr>
      </w:pPr>
      <w:bookmarkStart w:id="237" w:name="_Ref49437111"/>
      <w:r>
        <w:rPr>
          <w:sz w:val="22"/>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37"/>
    </w:p>
    <w:p>
      <w:pPr>
        <w:pStyle w:val="Style21"/>
        <w:rPr>
          <w:sz w:val="22"/>
        </w:rPr>
      </w:pPr>
      <w:bookmarkStart w:id="238" w:name="_Ref125368506"/>
      <w:r>
        <w:rPr>
          <w:sz w:val="22"/>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39" w:name="_Hlk132806825"/>
      <w:r>
        <w:rPr>
          <w:sz w:val="22"/>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39"/>
      <w:r>
        <w:rPr>
          <w:sz w:val="22"/>
        </w:rPr>
        <w:t>.</w:t>
      </w:r>
      <w:bookmarkEnd w:id="238"/>
    </w:p>
    <w:p>
      <w:pPr>
        <w:pStyle w:val="Style21"/>
        <w:rPr>
          <w:sz w:val="22"/>
        </w:rPr>
      </w:pPr>
      <w:r>
        <w:rPr>
          <w:sz w:val="22"/>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0"/>
        <w:rPr>
          <w:sz w:val="22"/>
        </w:rPr>
      </w:pPr>
      <w:bookmarkStart w:id="240" w:name="__RefHeading___Toc192571_1558056896"/>
      <w:bookmarkStart w:id="241" w:name="_Ref125367068"/>
      <w:bookmarkStart w:id="242" w:name="_Toc186224156"/>
      <w:bookmarkEnd w:id="240"/>
      <w:r>
        <w:rPr>
          <w:sz w:val="22"/>
        </w:rPr>
        <w:t>Уклонение Победителя от заключения Договора</w:t>
      </w:r>
      <w:bookmarkEnd w:id="241"/>
      <w:bookmarkEnd w:id="242"/>
    </w:p>
    <w:p>
      <w:pPr>
        <w:pStyle w:val="Style21"/>
        <w:keepNext w:val="true"/>
        <w:rPr>
          <w:sz w:val="22"/>
        </w:rPr>
      </w:pPr>
      <w:r>
        <w:rPr>
          <w:sz w:val="22"/>
        </w:rPr>
        <w:t>Если Победитель закупки:</w:t>
      </w:r>
    </w:p>
    <w:p>
      <w:pPr>
        <w:pStyle w:val="Style22"/>
        <w:rPr>
          <w:sz w:val="22"/>
        </w:rPr>
      </w:pPr>
      <w:r>
        <w:rPr>
          <w:sz w:val="22"/>
        </w:rPr>
        <w:t>не подпишет Договор в установленные Документацией о закупке сроки (пункт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w:t>
      </w:r>
    </w:p>
    <w:p>
      <w:pPr>
        <w:pStyle w:val="Style22"/>
        <w:rPr>
          <w:sz w:val="22"/>
        </w:rPr>
      </w:pPr>
      <w:r>
        <w:rPr>
          <w:sz w:val="22"/>
        </w:rPr>
        <w:t>откажется от подписания Договора на условиях, определяемых в соответствии с пунктом </w:t>
      </w:r>
      <w:r>
        <w:rPr>
          <w:sz w:val="22"/>
        </w:rPr>
        <w:fldChar w:fldCharType="begin"/>
      </w:r>
      <w:r>
        <w:rPr>
          <w:sz w:val="22"/>
        </w:rPr>
        <w:instrText xml:space="preserve"> REF _Ref132288402 \r \h </w:instrText>
      </w:r>
      <w:r>
        <w:rPr>
          <w:sz w:val="22"/>
        </w:rPr>
        <w:fldChar w:fldCharType="separate"/>
      </w:r>
      <w:r>
        <w:rPr>
          <w:sz w:val="22"/>
        </w:rPr>
        <w:t>5.2.8</w:t>
      </w:r>
      <w:r>
        <w:rPr>
          <w:sz w:val="22"/>
        </w:rPr>
        <w:fldChar w:fldCharType="end"/>
      </w:r>
      <w:r>
        <w:rPr>
          <w:sz w:val="22"/>
        </w:rPr>
        <w:t>;</w:t>
      </w:r>
    </w:p>
    <w:p>
      <w:pPr>
        <w:pStyle w:val="Style22"/>
        <w:rPr/>
      </w:pPr>
      <w:r>
        <w:rPr>
          <w:sz w:val="22"/>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7"/>
            <w:sz w:val="22"/>
          </w:rPr>
          <w:t>Приложение № 5</w:t>
        </w:r>
      </w:hyperlink>
      <w:r>
        <w:rPr>
          <w:sz w:val="22"/>
        </w:rPr>
        <w:t>), с приложением подтверждающих документов;</w:t>
      </w:r>
    </w:p>
    <w:p>
      <w:pPr>
        <w:pStyle w:val="Style22"/>
        <w:rPr/>
      </w:pPr>
      <w:r>
        <w:rPr>
          <w:sz w:val="22"/>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7"/>
            <w:sz w:val="22"/>
          </w:rPr>
          <w:t>Приложением № 5</w:t>
        </w:r>
      </w:hyperlink>
      <w:r>
        <w:rPr>
          <w:sz w:val="22"/>
        </w:rPr>
        <w:t>;</w:t>
      </w:r>
    </w:p>
    <w:p>
      <w:pPr>
        <w:pStyle w:val="Style22"/>
        <w:rPr/>
      </w:pPr>
      <w:r>
        <w:rPr>
          <w:sz w:val="22"/>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7"/>
            <w:sz w:val="22"/>
          </w:rPr>
          <w:t>Приложения № 1 – Технические требования</w:t>
        </w:r>
      </w:hyperlink>
      <w:r>
        <w:rPr>
          <w:sz w:val="22"/>
        </w:rPr>
        <w:t xml:space="preserve"> (в случае установления таковых);</w:t>
      </w:r>
    </w:p>
    <w:p>
      <w:pPr>
        <w:pStyle w:val="Style22"/>
        <w:rPr>
          <w:sz w:val="22"/>
        </w:rPr>
      </w:pPr>
      <w:r>
        <w:rPr>
          <w:sz w:val="22"/>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2"/>
        <w:rPr>
          <w:sz w:val="22"/>
        </w:rPr>
      </w:pPr>
      <w:r>
        <w:rPr>
          <w:sz w:val="22"/>
        </w:rPr>
        <w:t>не выполнит другие условия, прямо предусмотренные Документацией о закупке,</w:t>
      </w:r>
    </w:p>
    <w:p>
      <w:pPr>
        <w:pStyle w:val="Style25"/>
        <w:ind w:left="1134" w:hanging="0"/>
        <w:rPr>
          <w:sz w:val="22"/>
        </w:rPr>
      </w:pPr>
      <w:r>
        <w:rPr>
          <w:sz w:val="22"/>
        </w:rPr>
        <w:t>то он (по истечению установленных в подразделе </w:t>
      </w:r>
      <w:r>
        <w:rPr>
          <w:sz w:val="22"/>
        </w:rPr>
        <w:fldChar w:fldCharType="begin"/>
      </w:r>
      <w:r>
        <w:rPr>
          <w:sz w:val="22"/>
        </w:rPr>
        <w:instrText xml:space="preserve"> REF _Ref138341423 \r \h </w:instrText>
      </w:r>
      <w:r>
        <w:rPr>
          <w:sz w:val="22"/>
        </w:rPr>
        <w:fldChar w:fldCharType="separate"/>
      </w:r>
      <w:r>
        <w:rPr>
          <w:sz w:val="22"/>
        </w:rPr>
        <w:t>5.2</w:t>
      </w:r>
      <w:r>
        <w:rPr>
          <w:sz w:val="22"/>
        </w:rPr>
        <w:fldChar w:fldCharType="end"/>
      </w:r>
      <w:r>
        <w:rPr>
          <w:sz w:val="22"/>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19"/>
        <w:rPr>
          <w:sz w:val="22"/>
        </w:rPr>
      </w:pPr>
      <w:bookmarkStart w:id="243" w:name="__RefHeading___Toc192573_1558056896"/>
      <w:bookmarkStart w:id="244" w:name="_Ref125363752"/>
      <w:bookmarkStart w:id="245" w:name="_Ref125364088"/>
      <w:bookmarkStart w:id="246" w:name="Прил01_ТехТребования"/>
      <w:bookmarkStart w:id="247" w:name="_Ref125370843"/>
      <w:bookmarkStart w:id="248" w:name="_Ref125370750"/>
      <w:bookmarkStart w:id="249" w:name="_Ref125363600"/>
      <w:bookmarkStart w:id="250" w:name="_Ref125370741"/>
      <w:bookmarkStart w:id="251" w:name="_Ref125363034"/>
      <w:bookmarkStart w:id="252" w:name="_Ref125363023"/>
      <w:bookmarkStart w:id="253" w:name="_Ref125363016"/>
      <w:bookmarkStart w:id="254" w:name="_Ref125370746"/>
      <w:bookmarkStart w:id="255" w:name="_Toc186224157"/>
      <w:bookmarkStart w:id="256" w:name="_Ref125364201"/>
      <w:bookmarkStart w:id="257" w:name="_Ref125370732"/>
      <w:bookmarkEnd w:id="243"/>
      <w:r>
        <w:rPr>
          <w:sz w:val="22"/>
        </w:rPr>
        <w:t>Приложение № 1 – Технические требования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pStyle w:val="Style20"/>
        <w:rPr>
          <w:sz w:val="22"/>
        </w:rPr>
      </w:pPr>
      <w:bookmarkStart w:id="258" w:name="__RefHeading___Toc192575_1558056896"/>
      <w:bookmarkStart w:id="259" w:name="_Toc186224158"/>
      <w:bookmarkEnd w:id="258"/>
      <w:r>
        <w:rPr>
          <w:sz w:val="22"/>
        </w:rPr>
        <w:t>Пояснения к Техническим требованиям</w:t>
      </w:r>
      <w:bookmarkEnd w:id="259"/>
    </w:p>
    <w:p>
      <w:pPr>
        <w:pStyle w:val="Style21"/>
        <w:rPr>
          <w:sz w:val="22"/>
        </w:rPr>
      </w:pPr>
      <w:r>
        <w:rPr>
          <w:sz w:val="22"/>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19"/>
        <w:rPr>
          <w:sz w:val="22"/>
        </w:rPr>
      </w:pPr>
      <w:bookmarkStart w:id="260" w:name="__RefHeading___Toc192577_1558056896"/>
      <w:bookmarkStart w:id="261" w:name="_Ref125364081"/>
      <w:bookmarkStart w:id="262" w:name="Прил02_ПроектДоговора"/>
      <w:bookmarkStart w:id="263" w:name="_Ref125370754"/>
      <w:bookmarkStart w:id="264" w:name="_Ref125364206"/>
      <w:bookmarkStart w:id="265" w:name="_Ref125363759"/>
      <w:bookmarkStart w:id="266" w:name="_Ref125363605"/>
      <w:bookmarkStart w:id="267" w:name="_Ref125363040"/>
      <w:bookmarkStart w:id="268" w:name="_Toc186224159"/>
      <w:bookmarkStart w:id="269" w:name="_Ref125361746"/>
      <w:bookmarkEnd w:id="260"/>
      <w:r>
        <w:rPr>
          <w:sz w:val="22"/>
        </w:rPr>
        <w:t>Приложение № 2 – Проект договора</w:t>
      </w:r>
      <w:bookmarkEnd w:id="261"/>
      <w:bookmarkEnd w:id="262"/>
      <w:bookmarkEnd w:id="263"/>
      <w:bookmarkEnd w:id="264"/>
      <w:bookmarkEnd w:id="265"/>
      <w:bookmarkEnd w:id="266"/>
      <w:bookmarkEnd w:id="267"/>
      <w:bookmarkEnd w:id="268"/>
      <w:bookmarkEnd w:id="269"/>
    </w:p>
    <w:p>
      <w:pPr>
        <w:pStyle w:val="Style20"/>
        <w:rPr>
          <w:sz w:val="22"/>
        </w:rPr>
      </w:pPr>
      <w:bookmarkStart w:id="270" w:name="__RefHeading___Toc192579_1558056896"/>
      <w:bookmarkStart w:id="271" w:name="_Toc186224160"/>
      <w:bookmarkEnd w:id="270"/>
      <w:r>
        <w:rPr>
          <w:sz w:val="22"/>
        </w:rPr>
        <w:t>Пояснения к Проекту договора</w:t>
      </w:r>
      <w:bookmarkEnd w:id="271"/>
    </w:p>
    <w:p>
      <w:pPr>
        <w:pStyle w:val="Style21"/>
        <w:rPr>
          <w:sz w:val="22"/>
        </w:rPr>
      </w:pPr>
      <w:r>
        <w:rPr>
          <w:sz w:val="22"/>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1"/>
        <w:rPr>
          <w:sz w:val="22"/>
        </w:rPr>
      </w:pPr>
      <w:r>
        <w:rPr>
          <w:sz w:val="22"/>
        </w:rPr>
        <w:t>Все положения Проекта договора являются существенными условиями для Заказчика, за исключением пунктов договора, указанных в подразделе </w:t>
      </w:r>
      <w:r>
        <w:rPr>
          <w:sz w:val="22"/>
        </w:rPr>
        <w:fldChar w:fldCharType="begin"/>
      </w:r>
      <w:r>
        <w:rPr>
          <w:sz w:val="22"/>
        </w:rPr>
        <w:instrText xml:space="preserve"> REF _Ref132876309 \r \h </w:instrText>
      </w:r>
      <w:r>
        <w:rPr>
          <w:sz w:val="22"/>
        </w:rPr>
        <w:fldChar w:fldCharType="separate"/>
      </w:r>
      <w:r>
        <w:rPr>
          <w:sz w:val="22"/>
        </w:rPr>
        <w:t>1.2</w:t>
      </w:r>
      <w:r>
        <w:rPr>
          <w:sz w:val="22"/>
        </w:rPr>
        <w:fldChar w:fldCharType="end"/>
      </w:r>
      <w:r>
        <w:rPr>
          <w:sz w:val="22"/>
        </w:rPr>
        <w:t xml:space="preserve"> как «Некритичные пункты Проекта договора».</w:t>
      </w:r>
    </w:p>
    <w:p>
      <w:pPr>
        <w:pStyle w:val="Style21"/>
        <w:rPr>
          <w:sz w:val="22"/>
        </w:rPr>
      </w:pPr>
      <w:r>
        <w:rPr>
          <w:sz w:val="22"/>
        </w:rPr>
        <w:t>В соответствии с пунктом </w:t>
      </w:r>
      <w:r>
        <w:rPr>
          <w:sz w:val="22"/>
        </w:rPr>
        <w:fldChar w:fldCharType="begin"/>
      </w:r>
      <w:r>
        <w:rPr>
          <w:sz w:val="22"/>
        </w:rPr>
        <w:instrText xml:space="preserve"> REF _Ref49437111 \r \h </w:instrText>
      </w:r>
      <w:r>
        <w:rPr>
          <w:sz w:val="22"/>
        </w:rPr>
        <w:fldChar w:fldCharType="separate"/>
      </w:r>
      <w:r>
        <w:rPr>
          <w:sz w:val="22"/>
        </w:rPr>
        <w:t>5.2.11</w:t>
      </w:r>
      <w:r>
        <w:rPr>
          <w:sz w:val="22"/>
        </w:rPr>
        <w:fldChar w:fldCharType="end"/>
      </w:r>
      <w:r>
        <w:rPr>
          <w:sz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1"/>
        <w:rPr>
          <w:sz w:val="22"/>
        </w:rPr>
      </w:pPr>
      <w:r>
        <w:rPr>
          <w:sz w:val="22"/>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72" w:name="_MON_1736255517"/>
      <w:bookmarkEnd w:id="272"/>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5"/>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9pt;height:48.95pt;mso-wrap-distance-right:0pt" filled="f" o:ole="">
            <v:imagedata r:id="rId13" o:title=""/>
          </v:shape>
          <o:OLEObject Type="Embed" ProgID="Word.Document.12" ShapeID="ole_rId12" DrawAspect="Icon" ObjectID="_1947797032" r:id="rId12"/>
        </w:object>
      </w:r>
    </w:p>
    <w:p>
      <w:pPr>
        <w:pStyle w:val="Style19"/>
        <w:rPr>
          <w:sz w:val="22"/>
        </w:rPr>
      </w:pPr>
      <w:bookmarkStart w:id="273" w:name="__RefHeading___Toc192581_1558056896"/>
      <w:bookmarkStart w:id="274" w:name="Прил03_ТребованияУчастникам"/>
      <w:bookmarkStart w:id="275" w:name="_Ref125365476"/>
      <w:bookmarkStart w:id="276" w:name="_Ref125370013"/>
      <w:bookmarkStart w:id="277" w:name="_Ref125361494"/>
      <w:bookmarkStart w:id="278" w:name="_Ref125361908"/>
      <w:bookmarkStart w:id="279" w:name="_Toc186224161"/>
      <w:bookmarkEnd w:id="273"/>
      <w:r>
        <w:rPr>
          <w:sz w:val="22"/>
        </w:rPr>
        <w:t>Приложение № 3 – Требования к Участникам</w:t>
      </w:r>
      <w:bookmarkEnd w:id="274"/>
      <w:bookmarkEnd w:id="275"/>
      <w:bookmarkEnd w:id="276"/>
      <w:bookmarkEnd w:id="277"/>
      <w:bookmarkEnd w:id="278"/>
      <w:bookmarkEnd w:id="279"/>
    </w:p>
    <w:p>
      <w:pPr>
        <w:pStyle w:val="Style20"/>
        <w:rPr>
          <w:sz w:val="22"/>
        </w:rPr>
      </w:pPr>
      <w:bookmarkStart w:id="280" w:name="__RefHeading___Toc192583_1558056896"/>
      <w:bookmarkStart w:id="281" w:name="_Toc186224162"/>
      <w:bookmarkEnd w:id="280"/>
      <w:r>
        <w:rPr>
          <w:sz w:val="22"/>
        </w:rPr>
        <w:t>Пояснения к требованиям к Участникам</w:t>
      </w:r>
      <w:bookmarkEnd w:id="281"/>
    </w:p>
    <w:p>
      <w:pPr>
        <w:pStyle w:val="Style21"/>
        <w:rPr>
          <w:sz w:val="22"/>
        </w:rPr>
      </w:pPr>
      <w:bookmarkStart w:id="282" w:name="_Hlk125628168"/>
      <w:r>
        <w:rPr>
          <w:sz w:val="22"/>
        </w:rPr>
        <w:t>Чтобы претендовать на победу в закупке и получение права заключить Договор с Заказчиком, Участник самостоятельно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82"/>
    </w:p>
    <w:p>
      <w:pPr>
        <w:pStyle w:val="Style20"/>
        <w:spacing w:before="360" w:after="120"/>
        <w:rPr>
          <w:sz w:val="22"/>
        </w:rPr>
      </w:pPr>
      <w:bookmarkStart w:id="283" w:name="__RefHeading___Toc192585_1558056896"/>
      <w:bookmarkStart w:id="284" w:name="_Ref125361926"/>
      <w:bookmarkStart w:id="285" w:name="_Ref125361832"/>
      <w:bookmarkStart w:id="286" w:name="_Toc186224163"/>
      <w:bookmarkStart w:id="287" w:name="_Ref125370071"/>
      <w:bookmarkStart w:id="288" w:name="_Ref125370064"/>
      <w:bookmarkStart w:id="289" w:name="_Ref125370058"/>
      <w:bookmarkStart w:id="290" w:name="_Ref125368812"/>
      <w:bookmarkStart w:id="291" w:name="_Ref125361846"/>
      <w:bookmarkStart w:id="292" w:name="_Ref125361617"/>
      <w:bookmarkStart w:id="293" w:name="_Ref125361590"/>
      <w:bookmarkStart w:id="294" w:name="_Ref125361435"/>
      <w:bookmarkStart w:id="295" w:name="_Ref125366879"/>
      <w:bookmarkStart w:id="296" w:name="_Ref125368895"/>
      <w:bookmarkStart w:id="297" w:name="_Ref125369088"/>
      <w:bookmarkEnd w:id="283"/>
      <w:r>
        <w:rPr>
          <w:sz w:val="22"/>
        </w:rPr>
        <w:t>Обязательные требования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298" w:name="_Ref125552433"/>
            <w:bookmarkStart w:id="299" w:name="_Ref125552433"/>
            <w:bookmarkEnd w:id="299"/>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5"/>
              <w:widowControl w:val="false"/>
              <w:numPr>
                <w:ilvl w:val="0"/>
                <w:numId w:val="13"/>
              </w:numPr>
              <w:suppressAutoHyphens w:val="true"/>
              <w:spacing w:before="60" w:after="60"/>
              <w:ind w:left="284" w:hanging="284"/>
              <w:rPr>
                <w:rFonts w:eastAsia="Calibri"/>
                <w:sz w:val="22"/>
              </w:rPr>
            </w:pPr>
            <w:r>
              <w:rPr>
                <w:rFonts w:eastAsia="Calibri" w:cs=""/>
                <w:kern w:val="0"/>
                <w:sz w:val="22"/>
                <w:szCs w:val="22"/>
                <w:lang w:val="ru-RU" w:eastAsia="en-US" w:bidi="ar-SA"/>
              </w:rPr>
              <w:t>В отношении гражданской правоспособности:</w:t>
            </w:r>
          </w:p>
          <w:p>
            <w:pPr>
              <w:pStyle w:val="Style25"/>
              <w:widowControl w:val="false"/>
              <w:numPr>
                <w:ilvl w:val="0"/>
                <w:numId w:val="14"/>
              </w:numPr>
              <w:suppressAutoHyphens w:val="true"/>
              <w:spacing w:before="60" w:after="60"/>
              <w:ind w:left="568" w:hanging="284"/>
              <w:rPr>
                <w:rFonts w:eastAsia="Calibri"/>
                <w:sz w:val="22"/>
              </w:rPr>
            </w:pPr>
            <w:r>
              <w:rPr>
                <w:rFonts w:eastAsia="Calibri" w:cs=""/>
                <w:kern w:val="0"/>
                <w:sz w:val="22"/>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5"/>
              <w:widowControl w:val="false"/>
              <w:numPr>
                <w:ilvl w:val="0"/>
                <w:numId w:val="13"/>
              </w:numPr>
              <w:suppressAutoHyphens w:val="true"/>
              <w:spacing w:before="60" w:after="60"/>
              <w:ind w:left="284" w:hanging="284"/>
              <w:rPr>
                <w:rFonts w:eastAsia="Calibri"/>
                <w:sz w:val="22"/>
              </w:rPr>
            </w:pPr>
            <w:r>
              <w:rPr>
                <w:rFonts w:eastAsia="Calibri" w:cs=""/>
                <w:kern w:val="0"/>
                <w:sz w:val="22"/>
                <w:szCs w:val="22"/>
                <w:lang w:val="ru-RU" w:eastAsia="en-US" w:bidi="ar-SA"/>
              </w:rPr>
              <w:t>В отношении аккредитации:</w:t>
            </w:r>
          </w:p>
          <w:p>
            <w:pPr>
              <w:pStyle w:val="Style25"/>
              <w:widowControl w:val="false"/>
              <w:numPr>
                <w:ilvl w:val="0"/>
                <w:numId w:val="14"/>
              </w:numPr>
              <w:suppressAutoHyphens w:val="true"/>
              <w:spacing w:before="60" w:after="60"/>
              <w:ind w:left="568" w:hanging="284"/>
              <w:rPr>
                <w:rFonts w:eastAsia="Calibri"/>
                <w:sz w:val="22"/>
              </w:rPr>
            </w:pPr>
            <w:r>
              <w:rPr>
                <w:rFonts w:eastAsia="Calibri" w:cs=""/>
                <w:kern w:val="0"/>
                <w:sz w:val="22"/>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7"/>
                  <w:rFonts w:eastAsia="Calibri" w:cs=""/>
                  <w:kern w:val="0"/>
                  <w:sz w:val="22"/>
                  <w:szCs w:val="22"/>
                  <w:lang w:val="ru-RU" w:eastAsia="en-US" w:bidi="ar-SA"/>
                </w:rPr>
                <w:t>Приложение № 10</w:t>
              </w:r>
            </w:hyperlink>
            <w:r>
              <w:rPr>
                <w:rFonts w:eastAsia="Calibri" w:cs=""/>
                <w:kern w:val="0"/>
                <w:sz w:val="22"/>
                <w:szCs w:val="22"/>
                <w:lang w:val="ru-RU" w:eastAsia="en-US" w:bidi="ar-SA"/>
              </w:rPr>
              <w:t>);</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7"/>
                  <w:rFonts w:eastAsia="Calibri" w:cs=""/>
                  <w:kern w:val="0"/>
                  <w:sz w:val="22"/>
                  <w:szCs w:val="22"/>
                  <w:lang w:val="ru-RU" w:eastAsia="en-US" w:bidi="ar-SA"/>
                </w:rPr>
                <w:t>Приложение № 10</w:t>
              </w:r>
            </w:hyperlink>
            <w:r>
              <w:rPr>
                <w:rFonts w:eastAsia="Calibri" w:cs=""/>
                <w:kern w:val="0"/>
                <w:sz w:val="22"/>
                <w:szCs w:val="22"/>
                <w:lang w:val="ru-RU" w:eastAsia="en-US" w:bidi="ar-SA"/>
              </w:rPr>
              <w:t>).</w:t>
            </w:r>
          </w:p>
          <w:p>
            <w:pPr>
              <w:pStyle w:val="Style25"/>
              <w:widowControl w:val="false"/>
              <w:suppressAutoHyphens w:val="true"/>
              <w:spacing w:before="60" w:after="60"/>
              <w:ind w:left="284" w:hanging="0"/>
              <w:rPr>
                <w:rFonts w:eastAsia="Calibri"/>
                <w:sz w:val="22"/>
              </w:rPr>
            </w:pPr>
            <w:r>
              <w:rPr>
                <w:rFonts w:eastAsia="Calibri" w:cs=""/>
                <w:kern w:val="0"/>
                <w:sz w:val="22"/>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0" w:name="_Ref132893662"/>
            <w:bookmarkStart w:id="301" w:name="_Ref132893662"/>
            <w:bookmarkEnd w:id="301"/>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2" w:name="_Ref139029906"/>
            <w:bookmarkStart w:id="303" w:name="_Ref139029906"/>
            <w:bookmarkEnd w:id="303"/>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2"/>
                <w:szCs w:val="22"/>
                <w:lang w:val="ru-RU" w:eastAsia="en-US" w:bidi="ar-SA"/>
              </w:rPr>
              <w:footnoteReference w:id="12"/>
            </w:r>
            <w:r>
              <w:rPr>
                <w:rFonts w:eastAsia="Calibri" w:cs=""/>
                <w:kern w:val="0"/>
                <w:sz w:val="22"/>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2"/>
                <w:szCs w:val="22"/>
                <w:lang w:val="ru-RU" w:eastAsia="en-US" w:bidi="ar-SA"/>
              </w:rPr>
              <w:footnoteReference w:id="13"/>
            </w:r>
            <w:r>
              <w:rPr>
                <w:rFonts w:eastAsia="Calibri" w:cs=""/>
                <w:kern w:val="0"/>
                <w:sz w:val="22"/>
                <w:szCs w:val="22"/>
                <w:lang w:val="ru-RU" w:eastAsia="en-US" w:bidi="ar-SA"/>
              </w:rPr>
              <w:t>:</w:t>
            </w:r>
          </w:p>
        </w:tc>
        <w:tc>
          <w:tcPr>
            <w:tcW w:w="8327"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Предоставление документов не требуется.</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4" w:name="_Ref186181914"/>
            <w:bookmarkStart w:id="305" w:name="_Ref186181914"/>
            <w:bookmarkEnd w:id="305"/>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Если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6" w:name="_Ref186181918"/>
            <w:bookmarkStart w:id="307" w:name="_Ref186181918"/>
            <w:bookmarkEnd w:id="307"/>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Если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0"/>
        <w:spacing w:before="360" w:after="120"/>
        <w:rPr>
          <w:rFonts w:eastAsia="Calibri" w:cs="" w:cstheme="minorBidi" w:eastAsiaTheme="minorHAnsi"/>
          <w:highlight w:val="none"/>
          <w:shd w:fill="FFFFFF" w:val="clear"/>
        </w:rPr>
      </w:pPr>
      <w:bookmarkStart w:id="308" w:name="__RefHeading___Toc192587_1558056896"/>
      <w:bookmarkStart w:id="309" w:name="_Ref125709888"/>
      <w:bookmarkStart w:id="310" w:name="_Ref125367539"/>
      <w:bookmarkStart w:id="311" w:name="_Ref125709250"/>
      <w:bookmarkStart w:id="312" w:name="_Ref125369099"/>
      <w:bookmarkStart w:id="313" w:name="_Ref125370079"/>
      <w:bookmarkStart w:id="314" w:name="_Ref125709153"/>
      <w:bookmarkStart w:id="315" w:name="_Ref125709401"/>
      <w:bookmarkStart w:id="316" w:name="_Toc186224164"/>
      <w:bookmarkStart w:id="317" w:name="_Ref125368901"/>
      <w:bookmarkStart w:id="318" w:name="_Ref125368916"/>
      <w:bookmarkStart w:id="319" w:name="_Ref125368818"/>
      <w:bookmarkStart w:id="320" w:name="_Ref125361937"/>
      <w:bookmarkStart w:id="321" w:name="_Ref125361869"/>
      <w:bookmarkStart w:id="322" w:name="_Ref125361671"/>
      <w:bookmarkStart w:id="323" w:name="_Ref125361633"/>
      <w:bookmarkStart w:id="324" w:name="_Ref125361442"/>
      <w:bookmarkStart w:id="325" w:name="_Ref125367521"/>
      <w:bookmarkStart w:id="326" w:name="_Ref125365459"/>
      <w:bookmarkEnd w:id="308"/>
      <w:r>
        <w:rPr>
          <w:rFonts w:eastAsia="Calibri" w:cs="" w:cstheme="minorBidi" w:eastAsiaTheme="minorHAnsi"/>
          <w:sz w:val="22"/>
          <w:shd w:fill="FFFFFF" w:val="clear"/>
        </w:rPr>
        <w:t>Специальные требования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3"/>
              </w:numPr>
              <w:suppressAutoHyphens w:val="true"/>
              <w:spacing w:before="60" w:after="60"/>
              <w:ind w:left="284" w:hanging="0"/>
              <w:jc w:val="center"/>
              <w:rPr>
                <w:rFonts w:eastAsia="Calibri"/>
                <w:sz w:val="22"/>
              </w:rPr>
            </w:pPr>
            <w:r>
              <w:rPr>
                <w:rFonts w:eastAsia="Calibri"/>
                <w:sz w:val="22"/>
              </w:rPr>
            </w:r>
          </w:p>
        </w:tc>
        <w:tc>
          <w:tcPr>
            <w:tcW w:w="5671" w:type="dxa"/>
            <w:tcBorders>
              <w:right w:val="nil"/>
            </w:tcBorders>
          </w:tcPr>
          <w:p>
            <w:pPr>
              <w:pStyle w:val="Normal"/>
              <w:widowControl w:val="false"/>
              <w:tabs>
                <w:tab w:val="clear" w:pos="720"/>
                <w:tab w:val="left" w:pos="426" w:leader="none"/>
              </w:tabs>
              <w:spacing w:before="120" w:after="120"/>
              <w:jc w:val="both"/>
              <w:rPr>
                <w:rFonts w:eastAsia="Calibri"/>
                <w:i/>
                <w:i/>
                <w:sz w:val="22"/>
                <w:szCs w:val="22"/>
              </w:rPr>
            </w:pPr>
            <w:r>
              <w:rPr>
                <w:rFonts w:eastAsia="Calibri"/>
                <w:i/>
                <w:sz w:val="22"/>
                <w:szCs w:val="22"/>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ListParagraph"/>
              <w:widowControl w:val="false"/>
              <w:numPr>
                <w:ilvl w:val="0"/>
                <w:numId w:val="3"/>
              </w:numPr>
              <w:tabs>
                <w:tab w:val="clear" w:pos="720"/>
                <w:tab w:val="left" w:pos="426" w:leader="none"/>
              </w:tabs>
              <w:spacing w:before="60" w:after="60"/>
              <w:ind w:left="380" w:hanging="380"/>
              <w:contextualSpacing/>
              <w:jc w:val="both"/>
              <w:rPr>
                <w:i/>
                <w:i/>
                <w:sz w:val="22"/>
                <w:szCs w:val="22"/>
              </w:rPr>
            </w:pPr>
            <w:r>
              <w:rPr>
                <w:i/>
                <w:sz w:val="22"/>
                <w:szCs w:val="22"/>
              </w:rPr>
              <w:t>осуществляющих строительство</w:t>
            </w:r>
            <w:r>
              <w:rPr>
                <w:i/>
                <w:sz w:val="22"/>
                <w:szCs w:val="22"/>
                <w:vertAlign w:val="superscript"/>
              </w:rPr>
              <w:t>1</w:t>
            </w:r>
            <w:r>
              <w:rPr>
                <w:i/>
                <w:sz w:val="22"/>
                <w:szCs w:val="22"/>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pPr>
              <w:pStyle w:val="Normal"/>
              <w:widowControl w:val="false"/>
              <w:tabs>
                <w:tab w:val="clear" w:pos="720"/>
                <w:tab w:val="left" w:pos="426" w:leader="none"/>
              </w:tabs>
              <w:spacing w:before="120" w:after="120"/>
              <w:jc w:val="both"/>
              <w:rPr>
                <w:i/>
                <w:i/>
                <w:sz w:val="22"/>
                <w:szCs w:val="22"/>
              </w:rPr>
            </w:pPr>
            <w:r>
              <w:rPr>
                <w:rFonts w:eastAsia="Calibri"/>
                <w:i/>
                <w:sz w:val="22"/>
                <w:szCs w:val="22"/>
              </w:rPr>
              <w:t xml:space="preserve">и иметь право выполнять работы в отношении объектов капитального строительства, кроме </w:t>
            </w:r>
            <w:r>
              <w:rPr>
                <w:i/>
                <w:sz w:val="22"/>
                <w:szCs w:val="22"/>
              </w:rPr>
              <w:t>особо опасных, технически сложных и уникальных объектов капитального строительства и объектов использования атомной энергии) *.</w:t>
            </w:r>
          </w:p>
          <w:p>
            <w:pPr>
              <w:pStyle w:val="Normal"/>
              <w:widowControl w:val="false"/>
              <w:tabs>
                <w:tab w:val="clear" w:pos="720"/>
                <w:tab w:val="left" w:pos="426" w:leader="none"/>
              </w:tabs>
              <w:spacing w:before="120" w:after="120"/>
              <w:jc w:val="both"/>
              <w:rPr>
                <w:i/>
                <w:i/>
                <w:sz w:val="22"/>
                <w:szCs w:val="22"/>
              </w:rPr>
            </w:pPr>
            <w:r>
              <w:rPr>
                <w:i/>
                <w:sz w:val="22"/>
                <w:szCs w:val="22"/>
              </w:rPr>
              <w:t>При этом:</w:t>
            </w:r>
          </w:p>
          <w:p>
            <w:pPr>
              <w:pStyle w:val="Normal"/>
              <w:widowControl w:val="false"/>
              <w:tabs>
                <w:tab w:val="clear" w:pos="720"/>
                <w:tab w:val="left" w:pos="426" w:leader="none"/>
              </w:tabs>
              <w:spacing w:before="120" w:after="120"/>
              <w:jc w:val="both"/>
              <w:rPr>
                <w:i/>
                <w:i/>
                <w:sz w:val="22"/>
                <w:szCs w:val="22"/>
              </w:rPr>
            </w:pPr>
            <w:r>
              <w:rPr>
                <w:i/>
                <w:sz w:val="22"/>
                <w:szCs w:val="22"/>
                <w:u w:val="single"/>
              </w:rPr>
              <w:t>в отношении выполнения строительных работ:</w:t>
            </w:r>
          </w:p>
          <w:p>
            <w:pPr>
              <w:pStyle w:val="ListParagraph"/>
              <w:widowControl w:val="false"/>
              <w:numPr>
                <w:ilvl w:val="0"/>
                <w:numId w:val="3"/>
              </w:numPr>
              <w:tabs>
                <w:tab w:val="clear" w:pos="720"/>
                <w:tab w:val="left" w:pos="426" w:leader="none"/>
              </w:tabs>
              <w:spacing w:before="60" w:after="60"/>
              <w:ind w:left="380" w:hanging="380"/>
              <w:contextualSpacing/>
              <w:jc w:val="both"/>
              <w:rPr>
                <w:i/>
                <w:i/>
                <w:sz w:val="22"/>
                <w:szCs w:val="22"/>
              </w:rPr>
            </w:pPr>
            <w:r>
              <w:rPr>
                <w:rFonts w:eastAsia="Times New Roman"/>
                <w:i/>
                <w:sz w:val="22"/>
                <w:szCs w:val="22"/>
              </w:rPr>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pPr>
              <w:pStyle w:val="ListParagraph"/>
              <w:widowControl w:val="false"/>
              <w:numPr>
                <w:ilvl w:val="0"/>
                <w:numId w:val="3"/>
              </w:numPr>
              <w:tabs>
                <w:tab w:val="clear" w:pos="720"/>
                <w:tab w:val="left" w:pos="426" w:leader="none"/>
              </w:tabs>
              <w:spacing w:before="60" w:after="60"/>
              <w:ind w:left="380" w:hanging="380"/>
              <w:contextualSpacing/>
              <w:jc w:val="both"/>
              <w:rPr>
                <w:i/>
                <w:i/>
                <w:sz w:val="22"/>
                <w:szCs w:val="22"/>
              </w:rPr>
            </w:pPr>
            <w:r>
              <w:rPr>
                <w:i/>
                <w:sz w:val="22"/>
                <w:szCs w:val="22"/>
              </w:rPr>
              <w:t>уровень</w:t>
            </w:r>
            <w:r>
              <w:rPr>
                <w:rFonts w:eastAsia="Times New Roman"/>
                <w:i/>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w:t>
            </w:r>
            <w:r>
              <w:rPr>
                <w:i/>
                <w:sz w:val="22"/>
                <w:szCs w:val="22"/>
              </w:rPr>
              <w:t>а также (в случае их наличия в Технических требованиях</w:t>
            </w:r>
            <w:r>
              <w:rPr>
                <w:rFonts w:eastAsia="Cambria"/>
                <w:i/>
                <w:sz w:val="22"/>
                <w:szCs w:val="22"/>
              </w:rPr>
              <w:t>) поставки оборудования и материально-технических ресурсов.</w:t>
            </w:r>
          </w:p>
          <w:p>
            <w:pPr>
              <w:pStyle w:val="ListParagraph"/>
              <w:widowControl w:val="false"/>
              <w:tabs>
                <w:tab w:val="clear" w:pos="720"/>
                <w:tab w:val="left" w:pos="322" w:leader="none"/>
              </w:tabs>
              <w:spacing w:before="20" w:after="20"/>
              <w:ind w:left="463" w:hanging="463"/>
              <w:contextualSpacing/>
              <w:jc w:val="both"/>
              <w:rPr>
                <w:rStyle w:val="Style12"/>
                <w:b w:val="false"/>
                <w:sz w:val="20"/>
                <w:szCs w:val="20"/>
                <w:shd w:fill="auto" w:val="clear"/>
              </w:rPr>
            </w:pPr>
            <w:r>
              <w:rPr>
                <w:rFonts w:eastAsia="Times New Roman"/>
                <w:i/>
                <w:sz w:val="20"/>
                <w:szCs w:val="20"/>
              </w:rPr>
              <w:t xml:space="preserve">1 </w:t>
            </w:r>
            <w:r>
              <w:rPr>
                <w:i/>
                <w:sz w:val="20"/>
                <w:szCs w:val="20"/>
              </w:rPr>
              <w:t>–</w:t>
            </w:r>
            <w:r>
              <w:rPr>
                <w:rFonts w:eastAsia="Times New Roman"/>
                <w:i/>
                <w:sz w:val="20"/>
                <w:szCs w:val="20"/>
              </w:rPr>
              <w:t xml:space="preserve"> Не требуется членство в СРО в области строительства Участникам закупки:</w:t>
            </w:r>
          </w:p>
          <w:p>
            <w:pPr>
              <w:pStyle w:val="ListParagraph"/>
              <w:widowControl w:val="false"/>
              <w:numPr>
                <w:ilvl w:val="0"/>
                <w:numId w:val="4"/>
              </w:numPr>
              <w:tabs>
                <w:tab w:val="clear" w:pos="720"/>
                <w:tab w:val="left" w:pos="142" w:leader="none"/>
              </w:tabs>
              <w:spacing w:before="20" w:after="20"/>
              <w:ind w:left="720" w:hanging="257"/>
              <w:contextualSpacing/>
              <w:jc w:val="both"/>
              <w:rPr>
                <w:rFonts w:eastAsia="Times New Roman"/>
                <w:i/>
                <w:i/>
                <w:sz w:val="20"/>
                <w:szCs w:val="20"/>
              </w:rPr>
            </w:pPr>
            <w:r>
              <w:rPr>
                <w:rFonts w:eastAsia="Times New Roman"/>
                <w:i/>
                <w:sz w:val="20"/>
                <w:szCs w:val="20"/>
              </w:rPr>
              <w:t>перечисленным в ч. 2.2 ст. 52 ГрК РФ;</w:t>
            </w:r>
          </w:p>
          <w:p>
            <w:pPr>
              <w:pStyle w:val="ListParagraph"/>
              <w:widowControl w:val="false"/>
              <w:numPr>
                <w:ilvl w:val="0"/>
                <w:numId w:val="4"/>
              </w:numPr>
              <w:tabs>
                <w:tab w:val="clear" w:pos="720"/>
                <w:tab w:val="left" w:pos="142" w:leader="none"/>
              </w:tabs>
              <w:spacing w:before="20" w:after="20"/>
              <w:ind w:left="720" w:hanging="257"/>
              <w:contextualSpacing/>
              <w:jc w:val="both"/>
              <w:rPr>
                <w:i/>
                <w:i/>
                <w:iCs/>
                <w:sz w:val="22"/>
                <w:szCs w:val="22"/>
              </w:rPr>
            </w:pPr>
            <w:r>
              <w:rPr>
                <w:rFonts w:eastAsia="Times New Roman"/>
                <w:i/>
                <w:sz w:val="20"/>
                <w:szCs w:val="20"/>
              </w:rPr>
              <w:t>предложивших</w:t>
            </w:r>
            <w:r>
              <w:rPr>
                <w:i/>
                <w:sz w:val="20"/>
                <w:szCs w:val="20"/>
              </w:rPr>
              <w:t xml:space="preserve"> цену договора, не превышающую 10 млн. руб., в соответствии с ч. 2.1 ст. 52 ГрК РФ;</w:t>
            </w:r>
          </w:p>
          <w:p>
            <w:pPr>
              <w:pStyle w:val="Normal"/>
              <w:widowControl w:val="false"/>
              <w:tabs>
                <w:tab w:val="clear" w:pos="720"/>
                <w:tab w:val="left" w:pos="142" w:leader="none"/>
              </w:tabs>
              <w:spacing w:before="20" w:after="20"/>
              <w:ind w:left="463" w:hanging="425"/>
              <w:jc w:val="both"/>
              <w:rPr>
                <w:rFonts w:eastAsia="Calibri"/>
                <w:i/>
                <w:i/>
                <w:iCs/>
                <w:sz w:val="22"/>
                <w:szCs w:val="22"/>
              </w:rPr>
            </w:pPr>
            <w:r>
              <w:rPr>
                <w:rFonts w:eastAsia="Calibri" w:cs=""/>
                <w:i/>
                <w:iCs/>
                <w:kern w:val="0"/>
                <w:sz w:val="20"/>
                <w:szCs w:val="20"/>
                <w:lang w:val="en-US" w:eastAsia="en-US" w:bidi="ar-SA"/>
              </w:rPr>
              <w:t>2 – Не требуется членство в СРО в области архитектурно-строительного проектирования Участникам закупки, перечисленным в ч. 4.1 ст. 48 ГрК РФ.</w:t>
            </w:r>
          </w:p>
        </w:tc>
        <w:tc>
          <w:tcPr>
            <w:tcW w:w="8327" w:type="dxa"/>
            <w:tcBorders/>
          </w:tcPr>
          <w:p>
            <w:pPr>
              <w:pStyle w:val="Normal"/>
              <w:widowControl w:val="false"/>
              <w:tabs>
                <w:tab w:val="clear" w:pos="720"/>
                <w:tab w:val="left" w:pos="426" w:leader="none"/>
              </w:tabs>
              <w:spacing w:before="60" w:after="0"/>
              <w:jc w:val="both"/>
              <w:rPr>
                <w:rFonts w:eastAsia="Calibri"/>
                <w:i/>
                <w:i/>
                <w:sz w:val="22"/>
                <w:szCs w:val="22"/>
                <w:shd w:fill="auto" w:val="clear"/>
              </w:rPr>
            </w:pPr>
            <w:r>
              <w:rPr>
                <w:rFonts w:eastAsia="Calibri"/>
                <w:i/>
                <w:sz w:val="22"/>
                <w:szCs w:val="22"/>
                <w:shd w:fill="auto" w:val="clear"/>
              </w:rPr>
              <w:t>Предоставление документов не требуется.</w:t>
            </w:r>
          </w:p>
          <w:p>
            <w:pPr>
              <w:pStyle w:val="Normal"/>
              <w:widowControl w:val="false"/>
              <w:tabs>
                <w:tab w:val="clear" w:pos="720"/>
                <w:tab w:val="left" w:pos="426" w:leader="none"/>
              </w:tabs>
              <w:spacing w:before="60" w:after="0"/>
              <w:jc w:val="both"/>
              <w:rPr>
                <w:rFonts w:eastAsia="Calibri"/>
                <w:i/>
                <w:i/>
                <w:iCs/>
                <w:sz w:val="22"/>
                <w:szCs w:val="22"/>
                <w:shd w:fill="auto" w:val="clear"/>
              </w:rPr>
            </w:pPr>
            <w:r>
              <w:rPr>
                <w:rFonts w:eastAsia="Calibri"/>
                <w:i/>
                <w:iCs/>
                <w:sz w:val="22"/>
                <w:szCs w:val="22"/>
                <w:shd w:fill="auto" w:val="clear"/>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numPr>
                <w:ilvl w:val="0"/>
                <w:numId w:val="3"/>
              </w:numPr>
              <w:tabs>
                <w:tab w:val="clear" w:pos="720"/>
                <w:tab w:val="left" w:pos="320" w:leader="none"/>
              </w:tabs>
              <w:spacing w:before="60" w:after="0"/>
              <w:ind w:left="320" w:hanging="313"/>
              <w:jc w:val="both"/>
              <w:rPr>
                <w:b w:val="false"/>
                <w:iCs/>
                <w:sz w:val="22"/>
                <w:szCs w:val="22"/>
              </w:rPr>
            </w:pPr>
            <w:r>
              <w:rPr>
                <w:rStyle w:val="Style12"/>
                <w:rFonts w:eastAsia="Calibri" w:cs=""/>
                <w:b w:val="false"/>
                <w:i/>
                <w:iCs/>
                <w:color w:val="00000A"/>
                <w:kern w:val="0"/>
                <w:sz w:val="22"/>
                <w:szCs w:val="22"/>
                <w:shd w:fill="auto" w:val="clear"/>
                <w:lang w:val="en-US" w:eastAsia="en-US" w:bidi="ar-SA"/>
              </w:rPr>
              <w:t>Национальное объединение строителей НОСТРОЙ - сервис «Единый реестр членов СРО» (</w:t>
            </w:r>
            <w:hyperlink r:id="rId18">
              <w:r>
                <w:rPr>
                  <w:rFonts w:eastAsia="Calibri" w:cs=""/>
                  <w:b w:val="false"/>
                  <w:i/>
                  <w:iCs/>
                  <w:color w:val="00000A"/>
                  <w:kern w:val="0"/>
                  <w:sz w:val="22"/>
                  <w:szCs w:val="22"/>
                  <w:shd w:fill="auto" w:val="clear"/>
                  <w:lang w:val="en-US" w:eastAsia="en-US" w:bidi="ar-SA"/>
                </w:rPr>
                <w:t>https://reestr.nostroy.ru/sro/all/member/list)</w:t>
              </w:r>
            </w:hyperlink>
            <w:r>
              <w:rPr>
                <w:rStyle w:val="Style12"/>
                <w:rFonts w:eastAsia="Calibri" w:cs=""/>
                <w:b w:val="false"/>
                <w:i/>
                <w:iCs/>
                <w:color w:val="00000A"/>
                <w:kern w:val="0"/>
                <w:sz w:val="22"/>
                <w:szCs w:val="22"/>
                <w:shd w:fill="auto" w:val="clear"/>
                <w:lang w:val="en-US" w:eastAsia="en-US" w:bidi="ar-SA"/>
              </w:rPr>
              <w:t>; строительство, реконструкция, капитальный ремонт объектов капитального строительства</w:t>
            </w:r>
          </w:p>
        </w:tc>
      </w:tr>
    </w:tbl>
    <w:p>
      <w:pPr>
        <w:pStyle w:val="Style20"/>
        <w:spacing w:before="360" w:after="120"/>
        <w:rPr>
          <w:sz w:val="22"/>
        </w:rPr>
      </w:pPr>
      <w:bookmarkStart w:id="327" w:name="__RefHeading___Toc192589_1558056896"/>
      <w:bookmarkStart w:id="328" w:name="_Ref125370180"/>
      <w:bookmarkStart w:id="329" w:name="_Ref125709777"/>
      <w:bookmarkStart w:id="330" w:name="_Toc186224166"/>
      <w:bookmarkStart w:id="331" w:name="_Ref125709973"/>
      <w:bookmarkStart w:id="332" w:name="_Ref125370173"/>
      <w:bookmarkStart w:id="333" w:name="_Ref125369117"/>
      <w:bookmarkStart w:id="334" w:name="_Ref125362031"/>
      <w:bookmarkStart w:id="335" w:name="_Ref125361823"/>
      <w:bookmarkStart w:id="336" w:name="_Ref125370209"/>
      <w:bookmarkEnd w:id="327"/>
      <w:r>
        <w:rPr>
          <w:sz w:val="22"/>
        </w:rPr>
        <w:t>Дополнительные требования к Генеральным подрядчикам</w:t>
      </w:r>
      <w:bookmarkStart w:id="337" w:name="Прил04_ФормыЗаявки"/>
      <w:bookmarkStart w:id="338" w:name="__RefHeading___Toc192593_1558056896"/>
      <w:bookmarkEnd w:id="328"/>
      <w:bookmarkEnd w:id="329"/>
      <w:bookmarkEnd w:id="330"/>
      <w:bookmarkEnd w:id="331"/>
      <w:bookmarkEnd w:id="332"/>
      <w:bookmarkEnd w:id="333"/>
      <w:bookmarkEnd w:id="334"/>
      <w:bookmarkEnd w:id="335"/>
      <w:bookmarkEnd w:id="336"/>
      <w:bookmarkEnd w:id="337"/>
      <w:bookmarkEnd w:id="338"/>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Генеральному подрядчику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sz w:val="22"/>
              </w:rPr>
            </w:pPr>
            <w:r>
              <w:rPr>
                <w:rFonts w:eastAsia="Calibri"/>
                <w:sz w:val="22"/>
              </w:rPr>
            </w:r>
            <w:bookmarkStart w:id="339" w:name="_Ref125370187"/>
            <w:bookmarkStart w:id="340" w:name="_Ref125370187"/>
            <w:bookmarkEnd w:id="340"/>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Техническое предложение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содержащие План распределения объемов поставки продукции;</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sz w:val="22"/>
              </w:rPr>
            </w:pPr>
            <w:r>
              <w:rPr>
                <w:rFonts w:eastAsia="Calibri"/>
                <w:sz w:val="22"/>
              </w:rPr>
            </w:r>
            <w:bookmarkStart w:id="341" w:name="_Ref125370193"/>
            <w:bookmarkStart w:id="342" w:name="_Ref125370193"/>
            <w:bookmarkEnd w:id="342"/>
          </w:p>
        </w:tc>
        <w:tc>
          <w:tcPr>
            <w:tcW w:w="5671" w:type="dxa"/>
            <w:tcBorders/>
          </w:tcPr>
          <w:p>
            <w:pPr>
              <w:pStyle w:val="Style25"/>
              <w:widowControl w:val="false"/>
              <w:suppressAutoHyphens w:val="true"/>
              <w:spacing w:before="60" w:after="60"/>
              <w:rPr/>
            </w:pPr>
            <w:r>
              <w:rPr>
                <w:rFonts w:eastAsia="Calibri" w:cs=""/>
                <w:kern w:val="0"/>
                <w:sz w:val="22"/>
                <w:szCs w:val="22"/>
                <w:lang w:val="ru-RU" w:eastAsia="en-US" w:bidi="ar-SA"/>
              </w:rPr>
              <w:t>Соответствие каждого субподрядчика установленным требованиям (с учетом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_Ref125368863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r>
            <w:r>
              <w:rPr>
                <w:sz w:val="22"/>
                <w:kern w:val="0"/>
                <w:szCs w:val="22"/>
                <w:rFonts w:eastAsia="Calibri" w:cs=""/>
                <w:lang w:val="ru-RU" w:eastAsia="en-US" w:bidi="ar-SA"/>
              </w:rPr>
              <w:fldChar w:fldCharType="end"/>
            </w:r>
            <w:r>
              <w:rPr>
                <w:rFonts w:eastAsia="Calibri" w:cs=""/>
                <w:kern w:val="0"/>
                <w:sz w:val="22"/>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tc>
        <w:tc>
          <w:tcPr>
            <w:tcW w:w="8327"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Сведения и документы, аналогичные установленным в подразделах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t> –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_Ref125361442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sectPr>
          <w:headerReference w:type="default" r:id="rId23"/>
          <w:headerReference w:type="first" r:id="rId24"/>
          <w:footerReference w:type="default" r:id="rId25"/>
          <w:footerReference w:type="first" r:id="rId2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19"/>
        <w:rPr>
          <w:sz w:val="22"/>
        </w:rPr>
      </w:pPr>
      <w:bookmarkStart w:id="343" w:name="_Toc186224167"/>
      <w:r>
        <w:rPr>
          <w:sz w:val="22"/>
        </w:rPr>
        <w:t>Приложение № 4 – Образцы форм</w:t>
      </w:r>
      <w:bookmarkEnd w:id="343"/>
      <w:r>
        <w:rPr>
          <w:sz w:val="22"/>
        </w:rPr>
        <w:t xml:space="preserve"> документов, включаемых в состав заявки</w:t>
      </w:r>
    </w:p>
    <w:p>
      <w:pPr>
        <w:pStyle w:val="Style20"/>
        <w:rPr>
          <w:sz w:val="22"/>
        </w:rPr>
      </w:pPr>
      <w:bookmarkStart w:id="344" w:name="__RefHeading___Toc192595_1558056896"/>
      <w:bookmarkStart w:id="345" w:name="_Toc186224168"/>
      <w:bookmarkEnd w:id="344"/>
      <w:r>
        <w:rPr>
          <w:sz w:val="22"/>
        </w:rPr>
        <w:t>Пояснения к Образцам форм документов, включаемых в состав заявки</w:t>
      </w:r>
      <w:bookmarkEnd w:id="345"/>
    </w:p>
    <w:p>
      <w:pPr>
        <w:pStyle w:val="Style21"/>
        <w:rPr>
          <w:sz w:val="22"/>
        </w:rPr>
      </w:pPr>
      <w:r>
        <w:rPr>
          <w:sz w:val="22"/>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19"/>
        <w:rPr>
          <w:sz w:val="22"/>
        </w:rPr>
      </w:pPr>
      <w:bookmarkStart w:id="346" w:name="__RefHeading___Toc192597_1558056896"/>
      <w:bookmarkStart w:id="347" w:name="_Toc186224169"/>
      <w:bookmarkStart w:id="348" w:name="Прил05_ФормыПобедителя"/>
      <w:bookmarkEnd w:id="346"/>
      <w:bookmarkEnd w:id="348"/>
      <w:r>
        <w:rPr>
          <w:sz w:val="22"/>
        </w:rPr>
        <w:t>Приложение № 5 – Образцы форм документов, предоставляемых Победителем</w:t>
      </w:r>
      <w:bookmarkEnd w:id="347"/>
    </w:p>
    <w:p>
      <w:pPr>
        <w:pStyle w:val="Style20"/>
        <w:rPr>
          <w:sz w:val="22"/>
        </w:rPr>
      </w:pPr>
      <w:bookmarkStart w:id="349" w:name="__RefHeading___Toc192599_1558056896"/>
      <w:bookmarkStart w:id="350" w:name="_Toc186224170"/>
      <w:bookmarkEnd w:id="349"/>
      <w:r>
        <w:rPr>
          <w:sz w:val="22"/>
        </w:rPr>
        <w:t>Пояснения к Образцам форм документов, предоставляемых Победителем</w:t>
      </w:r>
      <w:bookmarkEnd w:id="350"/>
    </w:p>
    <w:p>
      <w:pPr>
        <w:pStyle w:val="Style21"/>
        <w:rPr>
          <w:sz w:val="22"/>
        </w:rPr>
      </w:pPr>
      <w:r>
        <w:rPr>
          <w:sz w:val="22"/>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sz w:val="22"/>
        </w:rPr>
        <w:fldChar w:fldCharType="begin"/>
      </w:r>
      <w:r>
        <w:rPr>
          <w:sz w:val="22"/>
        </w:rPr>
        <w:instrText xml:space="preserve"> REF _Ref130395470 \r \h </w:instrText>
      </w:r>
      <w:r>
        <w:rPr>
          <w:sz w:val="22"/>
        </w:rPr>
        <w:fldChar w:fldCharType="separate"/>
      </w:r>
      <w:r>
        <w:rPr>
          <w:sz w:val="22"/>
        </w:rPr>
        <w:t>10.2</w:t>
      </w:r>
      <w:r>
        <w:rPr>
          <w:sz w:val="22"/>
        </w:rPr>
        <w:fldChar w:fldCharType="end"/>
      </w:r>
      <w:r>
        <w:rPr>
          <w:sz w:val="22"/>
        </w:rPr>
        <w:t xml:space="preserve">, </w:t>
      </w:r>
      <w:r>
        <w:rPr>
          <w:sz w:val="22"/>
        </w:rPr>
        <w:fldChar w:fldCharType="begin"/>
      </w:r>
      <w:r>
        <w:rPr>
          <w:sz w:val="22"/>
        </w:rPr>
        <w:instrText xml:space="preserve"> REF _Ref130395475 \r \h </w:instrText>
      </w:r>
      <w:r>
        <w:rPr>
          <w:sz w:val="22"/>
        </w:rPr>
        <w:fldChar w:fldCharType="separate"/>
      </w:r>
      <w:r>
        <w:rPr>
          <w:sz w:val="22"/>
        </w:rPr>
        <w:t>10.3</w:t>
      </w:r>
      <w:r>
        <w:rPr>
          <w:sz w:val="22"/>
        </w:rPr>
        <w:fldChar w:fldCharType="end"/>
      </w:r>
      <w:r>
        <w:rPr>
          <w:sz w:val="22"/>
        </w:rPr>
        <w:t>.</w:t>
      </w:r>
    </w:p>
    <w:p>
      <w:pPr>
        <w:pStyle w:val="Style20"/>
        <w:rPr>
          <w:sz w:val="22"/>
        </w:rPr>
      </w:pPr>
      <w:bookmarkStart w:id="351" w:name="__RefHeading___Toc192601_1558056896"/>
      <w:bookmarkStart w:id="352" w:name="_Ref130395470"/>
      <w:bookmarkStart w:id="353" w:name="_Toc186224171"/>
      <w:bookmarkEnd w:id="351"/>
      <w:r>
        <w:rPr>
          <w:sz w:val="22"/>
        </w:rPr>
        <w:t>Форма справки «Сведения о цепочке собственников, включая бенефициаров (в том числе конечных)»</w:t>
      </w:r>
      <w:bookmarkEnd w:id="352"/>
      <w:bookmarkEnd w:id="353"/>
    </w:p>
    <w:p>
      <w:pPr>
        <w:pStyle w:val="Style21"/>
        <w:rPr>
          <w:sz w:val="22"/>
        </w:rPr>
      </w:pPr>
      <w:r>
        <w:rPr>
          <w:sz w:val="22"/>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1"/>
        <w:rPr>
          <w:sz w:val="22"/>
        </w:rPr>
      </w:pPr>
      <w:r>
        <w:rPr>
          <w:sz w:val="22"/>
        </w:rPr>
        <w:t xml:space="preserve">Форма справки «Сведения о цепочке собственников, включая бенефициаров (в том числе конечных)» </w:t>
      </w:r>
      <w:r>
        <w:rPr>
          <w:sz w:val="22"/>
          <w:lang w:val="en-US"/>
        </w:rPr>
        <w:t>c</w:t>
      </w:r>
      <w:r>
        <w:rPr>
          <w:sz w:val="22"/>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sz w:val="22"/>
          <w:lang w:val="en-US"/>
        </w:rPr>
        <w:t>Microsoft</w:t>
      </w:r>
      <w:r>
        <w:rPr>
          <w:sz w:val="22"/>
        </w:rPr>
        <w:t xml:space="preserve"> </w:t>
      </w:r>
      <w:r>
        <w:rPr>
          <w:sz w:val="22"/>
          <w:lang w:val="en-US"/>
        </w:rPr>
        <w:t>Word</w:t>
      </w:r>
      <w:r>
        <w:rPr>
          <w:sz w:val="22"/>
        </w:rPr>
        <w:t>:</w:t>
      </w:r>
      <w:bookmarkStart w:id="354" w:name="_MON_1741074142"/>
      <w:bookmarkEnd w:id="354"/>
    </w:p>
    <w:p>
      <w:pPr>
        <w:pStyle w:val="Style25"/>
        <w:jc w:val="center"/>
        <w:rPr>
          <w:sz w:val="22"/>
        </w:rPr>
      </w:pPr>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9pt;height:48.95pt;mso-wrap-distance-right:0pt" filled="f" o:ole="">
            <v:imagedata r:id="rId28" o:title=""/>
          </v:shape>
          <o:OLEObject Type="Embed" ProgID="Word.Document.12" ShapeID="ole_rId27" DrawAspect="Icon" ObjectID="_1017897857" r:id="rId27"/>
        </w:object>
      </w:r>
    </w:p>
    <w:p>
      <w:pPr>
        <w:pStyle w:val="Style20"/>
        <w:rPr>
          <w:sz w:val="22"/>
        </w:rPr>
      </w:pPr>
      <w:bookmarkStart w:id="355" w:name="__RefHeading___Toc192603_1558056896"/>
      <w:bookmarkStart w:id="356" w:name="_Ref130395475"/>
      <w:bookmarkStart w:id="357" w:name="_Toc186224172"/>
      <w:bookmarkEnd w:id="355"/>
      <w:r>
        <w:rPr>
          <w:sz w:val="22"/>
        </w:rPr>
        <w:t>Форма «Заверение об обстоятельствах»</w:t>
      </w:r>
      <w:bookmarkEnd w:id="356"/>
      <w:bookmarkEnd w:id="357"/>
    </w:p>
    <w:p>
      <w:pPr>
        <w:pStyle w:val="Style21"/>
        <w:rPr>
          <w:sz w:val="22"/>
        </w:rPr>
      </w:pPr>
      <w:r>
        <w:rPr>
          <w:sz w:val="22"/>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sz w:val="22"/>
          <w:lang w:val="en-US"/>
        </w:rPr>
        <w:t> </w:t>
      </w:r>
      <w:r>
        <w:rPr>
          <w:sz w:val="22"/>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sz w:val="22"/>
          <w:lang w:val="en-US"/>
        </w:rPr>
        <w:t> </w:t>
      </w:r>
      <w:r>
        <w:rPr>
          <w:sz w:val="22"/>
        </w:rPr>
        <w:t>(трех) рабочих дней с даты официального размещения Организатором итогового протокола по результатам закупки.</w:t>
      </w:r>
    </w:p>
    <w:p>
      <w:pPr>
        <w:pStyle w:val="Style21"/>
        <w:rPr>
          <w:sz w:val="22"/>
        </w:rPr>
      </w:pPr>
      <w:r>
        <w:rPr>
          <w:sz w:val="22"/>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1"/>
        <w:rPr>
          <w:sz w:val="22"/>
        </w:rPr>
      </w:pPr>
      <w:r>
        <w:rPr>
          <w:sz w:val="22"/>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1"/>
        <w:keepNext w:val="true"/>
        <w:rPr>
          <w:sz w:val="22"/>
        </w:rPr>
      </w:pPr>
      <w:r>
        <w:rPr>
          <w:sz w:val="22"/>
        </w:rPr>
        <w:t xml:space="preserve">Форма «Заверение об обстоятельствах» приведена в отдельном файле в формате </w:t>
      </w:r>
      <w:r>
        <w:rPr>
          <w:sz w:val="22"/>
          <w:lang w:val="en-US"/>
        </w:rPr>
        <w:t>Microsoft</w:t>
      </w:r>
      <w:r>
        <w:rPr>
          <w:sz w:val="22"/>
        </w:rPr>
        <w:t xml:space="preserve"> </w:t>
      </w:r>
      <w:r>
        <w:rPr>
          <w:sz w:val="22"/>
          <w:lang w:val="en-US"/>
        </w:rPr>
        <w:t>Word</w:t>
      </w:r>
      <w:r>
        <w:rPr>
          <w:sz w:val="22"/>
        </w:rPr>
        <w:t>:</w:t>
      </w:r>
      <w:bookmarkStart w:id="358" w:name="_MON_1741074184"/>
      <w:bookmarkEnd w:id="358"/>
    </w:p>
    <w:p>
      <w:pPr>
        <w:pStyle w:val="Style25"/>
        <w:spacing w:before="120" w:after="120"/>
        <w:jc w:val="center"/>
        <w:rPr>
          <w:sz w:val="22"/>
        </w:rPr>
      </w:pPr>
      <w:r>
        <w:rPr/>
        <w:object>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78.9pt;height:48.95pt;mso-wrap-distance-right:0pt;mso-wrap-distance-bottom:6pt" filled="f" o:ole="">
            <v:imagedata r:id="rId30" o:title=""/>
          </v:shape>
          <o:OLEObject Type="Embed" ProgID="Word.Document.12" ShapeID="ole_rId29" DrawAspect="Icon" ObjectID="_1911169987" r:id="rId29"/>
        </w:object>
      </w:r>
    </w:p>
    <w:p>
      <w:pPr>
        <w:pStyle w:val="Style19"/>
        <w:rPr>
          <w:sz w:val="22"/>
        </w:rPr>
      </w:pPr>
      <w:bookmarkStart w:id="359" w:name="__RefHeading___Toc192605_1558056896"/>
      <w:bookmarkStart w:id="360" w:name="_Ref125362900"/>
      <w:bookmarkStart w:id="361" w:name="_Toc186224173"/>
      <w:bookmarkStart w:id="362" w:name="_Ref125362865"/>
      <w:bookmarkStart w:id="363" w:name="Прил06_СоставЗаявки"/>
      <w:bookmarkEnd w:id="359"/>
      <w:bookmarkEnd w:id="363"/>
      <w:r>
        <w:rPr>
          <w:sz w:val="22"/>
        </w:rPr>
        <w:t>Приложение № 6 – Состав заявки</w:t>
      </w:r>
      <w:bookmarkEnd w:id="360"/>
      <w:bookmarkEnd w:id="361"/>
      <w:bookmarkEnd w:id="362"/>
    </w:p>
    <w:p>
      <w:pPr>
        <w:pStyle w:val="Style20"/>
        <w:rPr>
          <w:sz w:val="22"/>
        </w:rPr>
      </w:pPr>
      <w:bookmarkStart w:id="364" w:name="__RefHeading___Toc192607_1558056896"/>
      <w:bookmarkStart w:id="365" w:name="_Toc186224174"/>
      <w:bookmarkEnd w:id="364"/>
      <w:r>
        <w:rPr>
          <w:sz w:val="22"/>
        </w:rPr>
        <w:t>Состав заявки</w:t>
      </w:r>
      <w:bookmarkEnd w:id="365"/>
    </w:p>
    <w:p>
      <w:pPr>
        <w:pStyle w:val="Style21"/>
        <w:spacing w:before="120" w:after="120"/>
        <w:rPr/>
      </w:pPr>
      <w:r>
        <w:rPr>
          <w:sz w:val="22"/>
        </w:rPr>
        <w:t xml:space="preserve">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7"/>
            <w:sz w:val="22"/>
          </w:rPr>
          <w:t>Приложении № 4</w:t>
        </w:r>
      </w:hyperlink>
      <w:r>
        <w:rPr>
          <w:sz w:val="22"/>
        </w:rPr>
        <w:t>):</w:t>
      </w:r>
    </w:p>
    <w:tbl>
      <w:tblPr>
        <w:tblStyle w:val="afff3"/>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807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 документа</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Первая часть заявки (первая часть заявки, содержащиеся в окончательном предложении):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2"/>
                <w:szCs w:val="22"/>
                <w:lang w:val="ru-RU" w:eastAsia="en-US" w:bidi="ar-SA"/>
              </w:rPr>
              <w:t>(без указания указание сведений, позволяющих каким-либо образом идентифицировать генеральный подрядчик или привлекаемого им субподрядчика / соисполнителя)</w:t>
            </w:r>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 xml:space="preserve">Календарный график (форма 5); </w:t>
            </w:r>
            <w:r>
              <w:rPr>
                <w:rFonts w:eastAsia="Calibri" w:cs=""/>
                <w:kern w:val="0"/>
                <w:sz w:val="22"/>
                <w:szCs w:val="22"/>
                <w:shd w:fill="FFFF00" w:val="clear"/>
                <w:lang w:val="ru-RU" w:eastAsia="en-US" w:bidi="ar-SA"/>
              </w:rPr>
              <w:t>в рамках данной процедуры предоставление Календарного графика не требуется;</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2"/>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2"/>
                <w:szCs w:val="22"/>
                <w:lang w:val="ru-RU" w:eastAsia="en-US" w:bidi="ar-SA"/>
              </w:rPr>
              <w:t>;</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Вторая часть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Письмо о подаче оферты (форма 2);</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Анкета Участника (форма 6);</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_Ref125709153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_Ref125361702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3.2</w:t>
            </w:r>
            <w:r>
              <w:rPr>
                <w:sz w:val="22"/>
                <w:kern w:val="0"/>
                <w:szCs w:val="22"/>
                <w:rFonts w:eastAsia="Calibri" w:cs=""/>
                <w:lang w:val="ru-RU" w:eastAsia="en-US" w:bidi="ar-SA"/>
              </w:rPr>
              <w:fldChar w:fldCharType="end"/>
            </w:r>
            <w:r>
              <w:rPr>
                <w:rFonts w:eastAsia="Calibri" w:cs=""/>
                <w:kern w:val="0"/>
                <w:sz w:val="22"/>
                <w:szCs w:val="22"/>
                <w:lang w:val="ru-RU" w:eastAsia="en-US" w:bidi="ar-SA"/>
              </w:rPr>
              <w:t>), а именно:</w:t>
            </w:r>
          </w:p>
          <w:p>
            <w:pPr>
              <w:pStyle w:val="Style25"/>
              <w:widowControl w:val="false"/>
              <w:numPr>
                <w:ilvl w:val="0"/>
                <w:numId w:val="8"/>
              </w:numPr>
              <w:suppressAutoHyphens w:val="true"/>
              <w:spacing w:before="60" w:after="60"/>
              <w:ind w:left="284" w:hanging="284"/>
              <w:rPr/>
            </w:pPr>
            <w:r>
              <w:rPr>
                <w:rFonts w:eastAsia="Calibri" w:cs=""/>
                <w:kern w:val="0"/>
                <w:sz w:val="22"/>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numPr>
                <w:ilvl w:val="0"/>
                <w:numId w:val="8"/>
              </w:numPr>
              <w:suppressAutoHyphens w:val="true"/>
              <w:spacing w:before="60" w:after="60"/>
              <w:ind w:left="284" w:hanging="284"/>
              <w:rPr/>
            </w:pPr>
            <w:r>
              <w:rPr>
                <w:rFonts w:eastAsia="Calibri" w:cs=""/>
                <w:kern w:val="0"/>
                <w:sz w:val="22"/>
                <w:szCs w:val="22"/>
                <w:lang w:val="ru-RU" w:eastAsia="en-US" w:bidi="ar-SA"/>
              </w:rPr>
              <w:t>прочие документы, определенные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66" w:name="_Ref132888537"/>
            <w:bookmarkStart w:id="367" w:name="_Ref132888537"/>
            <w:bookmarkEnd w:id="367"/>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68" w:name="_Ref130389408"/>
            <w:bookmarkStart w:id="369" w:name="_Ref130389408"/>
            <w:bookmarkEnd w:id="369"/>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70" w:name="_Ref130389413"/>
            <w:bookmarkStart w:id="371" w:name="_Ref130389413"/>
            <w:bookmarkEnd w:id="371"/>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72" w:name="_Ref130389419"/>
            <w:bookmarkStart w:id="373" w:name="_Ref130389419"/>
            <w:bookmarkEnd w:id="373"/>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xml:space="preserve"> – предоставляются, если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xml:space="preserve"> было установлено соответствующее требование;</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Ценовое предложение:</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7"/>
                  <w:rFonts w:eastAsia="Calibri" w:cs=""/>
                  <w:kern w:val="0"/>
                  <w:sz w:val="22"/>
                  <w:szCs w:val="22"/>
                  <w:lang w:val="ru-RU" w:eastAsia="en-US" w:bidi="ar-SA"/>
                </w:rPr>
                <w:t>Техническими требованиями (Приложение № 1)</w:t>
              </w:r>
            </w:hyperlink>
            <w:r>
              <w:rPr>
                <w:rFonts w:eastAsia="Calibri" w:cs=""/>
                <w:kern w:val="0"/>
                <w:sz w:val="22"/>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31"/>
          <w:headerReference w:type="first" r:id="rId32"/>
          <w:footerReference w:type="default" r:id="rId33"/>
          <w:footerReference w:type="first" r:id="rId34"/>
          <w:footnotePr>
            <w:numFmt w:val="decimal"/>
          </w:footnotePr>
          <w:type w:val="nextPage"/>
          <w:pgSz w:w="11906" w:h="16838"/>
          <w:pgMar w:left="851" w:right="851" w:gutter="0" w:header="567" w:top="1134" w:footer="567" w:bottom="850"/>
          <w:pgNumType w:fmt="decimal"/>
          <w:formProt w:val="false"/>
          <w:textDirection w:val="lrTb"/>
          <w:docGrid w:type="default" w:linePitch="360" w:charSpace="0"/>
        </w:sectPr>
        <w:pStyle w:val="Style21"/>
        <w:rPr/>
      </w:pPr>
      <w:r>
        <w:rPr>
          <w:rStyle w:val="Style4"/>
          <w:i w:val="false"/>
          <w:iCs w:val="false"/>
          <w:sz w:val="22"/>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19"/>
        <w:rPr>
          <w:sz w:val="22"/>
        </w:rPr>
      </w:pPr>
      <w:bookmarkStart w:id="374" w:name="__RefHeading___Toc192609_1558056896"/>
      <w:bookmarkStart w:id="375" w:name="_Toc186224175"/>
      <w:bookmarkStart w:id="376" w:name="_Ref125365264"/>
      <w:bookmarkStart w:id="377" w:name="Прил07_ОтборочныеКритерии"/>
      <w:bookmarkEnd w:id="374"/>
      <w:bookmarkEnd w:id="377"/>
      <w:r>
        <w:rPr>
          <w:sz w:val="22"/>
        </w:rPr>
        <w:t>Приложение № 7 – Отборочные критерии рассмотрения заявок</w:t>
      </w:r>
      <w:bookmarkEnd w:id="375"/>
      <w:bookmarkEnd w:id="376"/>
    </w:p>
    <w:p>
      <w:pPr>
        <w:pStyle w:val="Style20"/>
        <w:spacing w:before="360" w:after="120"/>
        <w:rPr/>
      </w:pPr>
      <w:bookmarkStart w:id="378" w:name="__RefHeading___Toc192611_1558056896"/>
      <w:bookmarkStart w:id="379" w:name="_Toc186224176"/>
      <w:bookmarkEnd w:id="378"/>
      <w:r>
        <w:rPr>
          <w:rStyle w:val="Style4"/>
          <w:i w:val="false"/>
          <w:iCs w:val="false"/>
          <w:sz w:val="22"/>
          <w:shd w:fill="auto" w:val="clear"/>
        </w:rPr>
        <w:t>Отборочные критерии рассмотрения первых частей заявок (первых частей заявок, содержащихся в окончательных предложениях)</w:t>
      </w:r>
      <w:bookmarkEnd w:id="379"/>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584"/>
        <w:gridCol w:w="2040"/>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584"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040"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996"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и правильность оформления первой части заявки, в том числе:</w:t>
            </w:r>
          </w:p>
        </w:tc>
        <w:tc>
          <w:tcPr>
            <w:tcW w:w="2040"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правильность их оформления (в т.ч. в части языка заявки)</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040"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первой части заявки сведений об Участнике и (или) о его ценовом предложении</w:t>
            </w:r>
          </w:p>
        </w:tc>
        <w:tc>
          <w:tcPr>
            <w:tcW w:w="2040"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0996" w:type="dxa"/>
            <w:gridSpan w:val="2"/>
            <w:tcBorders/>
          </w:tcPr>
          <w:p>
            <w:pPr>
              <w:pStyle w:val="Style25"/>
              <w:keepNext w:val="true"/>
              <w:widowControl w:val="false"/>
              <w:suppressAutoHyphens w:val="true"/>
              <w:spacing w:before="60" w:after="60"/>
              <w:rPr/>
            </w:pPr>
            <w:r>
              <w:rPr>
                <w:rFonts w:eastAsia="Calibri" w:cs=""/>
                <w:b/>
                <w:bCs/>
                <w:kern w:val="0"/>
                <w:sz w:val="22"/>
                <w:szCs w:val="22"/>
                <w:lang w:val="ru-RU" w:eastAsia="en-US" w:bidi="ar-SA"/>
              </w:rPr>
              <w:t xml:space="preserve">Соответствие Технического предложения Участника </w:t>
            </w:r>
            <w:hyperlink w:anchor="Прил01_ТехТребования">
              <w:r>
                <w:rPr>
                  <w:rStyle w:val="Style7"/>
                  <w:rFonts w:eastAsia="Calibri" w:cs=""/>
                  <w:b/>
                  <w:bCs/>
                  <w:kern w:val="0"/>
                  <w:sz w:val="22"/>
                  <w:szCs w:val="22"/>
                  <w:lang w:val="ru-RU" w:eastAsia="en-US" w:bidi="ar-SA"/>
                </w:rPr>
                <w:t>Техническим требованиям (Приложение № 1)</w:t>
              </w:r>
            </w:hyperlink>
            <w:r>
              <w:rPr>
                <w:rFonts w:eastAsia="Calibri" w:cs=""/>
                <w:b/>
                <w:bCs/>
                <w:kern w:val="0"/>
                <w:sz w:val="22"/>
                <w:szCs w:val="22"/>
                <w:lang w:val="ru-RU" w:eastAsia="en-US" w:bidi="ar-SA"/>
              </w:rPr>
              <w:t>, в том числе:</w:t>
            </w:r>
          </w:p>
        </w:tc>
        <w:tc>
          <w:tcPr>
            <w:tcW w:w="2040"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_Ref125362364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4.9</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_Ref125362364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4.9</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xml:space="preserve"> и (или) в </w:t>
            </w:r>
            <w:hyperlink w:anchor="Прил02_ПроектДоговора">
              <w:r>
                <w:rPr>
                  <w:rStyle w:val="Style7"/>
                  <w:rFonts w:eastAsia="Calibri" w:cs=""/>
                  <w:kern w:val="0"/>
                  <w:sz w:val="22"/>
                  <w:szCs w:val="22"/>
                  <w:lang w:val="ru-RU" w:eastAsia="en-US" w:bidi="ar-SA"/>
                </w:rPr>
                <w:t>Проекте договора (Приложение № 2)</w:t>
              </w:r>
            </w:hyperlink>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r>
              <w:rPr>
                <w:rFonts w:eastAsia="Calibri" w:cs=""/>
                <w:kern w:val="0"/>
                <w:sz w:val="22"/>
                <w:szCs w:val="22"/>
                <w:lang w:val="ru-RU" w:eastAsia="en-US" w:bidi="ar-SA"/>
              </w:rPr>
              <w:t>,</w:t>
              <w:br/>
            </w:r>
            <w:hyperlink w:anchor="Прил02_ПроектДоговора">
              <w:r>
                <w:rPr>
                  <w:rStyle w:val="Style7"/>
                  <w:rFonts w:eastAsia="Calibri" w:cs=""/>
                  <w:kern w:val="0"/>
                  <w:sz w:val="22"/>
                  <w:szCs w:val="22"/>
                  <w:lang w:val="ru-RU" w:eastAsia="en-US" w:bidi="ar-SA"/>
                </w:rPr>
                <w:t>Приложение № 2</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xml:space="preserve"> и (или) в </w:t>
            </w:r>
            <w:hyperlink w:anchor="Прил02_ПроектДоговора">
              <w:r>
                <w:rPr>
                  <w:rStyle w:val="Style7"/>
                  <w:rFonts w:eastAsia="Calibri" w:cs=""/>
                  <w:kern w:val="0"/>
                  <w:sz w:val="22"/>
                  <w:szCs w:val="22"/>
                  <w:lang w:val="ru-RU" w:eastAsia="en-US" w:bidi="ar-SA"/>
                </w:rPr>
                <w:t>Проекте договора (Приложение № 2)</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r>
              <w:rPr>
                <w:rFonts w:eastAsia="Calibri" w:cs=""/>
                <w:kern w:val="0"/>
                <w:sz w:val="22"/>
                <w:szCs w:val="22"/>
                <w:lang w:val="ru-RU" w:eastAsia="en-US" w:bidi="ar-SA"/>
              </w:rPr>
              <w:t>,</w:t>
              <w:br/>
            </w:r>
            <w:hyperlink w:anchor="Прил02_ПроектДоговора">
              <w:r>
                <w:rPr>
                  <w:rStyle w:val="Style7"/>
                  <w:rFonts w:eastAsia="Calibri" w:cs=""/>
                  <w:kern w:val="0"/>
                  <w:sz w:val="22"/>
                  <w:szCs w:val="22"/>
                  <w:lang w:val="ru-RU" w:eastAsia="en-US" w:bidi="ar-SA"/>
                </w:rPr>
                <w:t>Приложение № 2</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с предоставлением требуемых подтверждающих документов</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bl>
    <w:p>
      <w:pPr>
        <w:pStyle w:val="Style20"/>
        <w:spacing w:before="360" w:after="120"/>
        <w:rPr/>
      </w:pPr>
      <w:bookmarkStart w:id="380" w:name="__RefHeading___Toc192613_1558056896"/>
      <w:bookmarkStart w:id="381" w:name="_Toc186224178"/>
      <w:bookmarkStart w:id="382" w:name="_Hlk132891087"/>
      <w:bookmarkEnd w:id="380"/>
      <w:r>
        <w:rPr>
          <w:rStyle w:val="Style4"/>
          <w:i w:val="false"/>
          <w:iCs w:val="false"/>
          <w:sz w:val="22"/>
          <w:shd w:fill="auto" w:val="clear"/>
        </w:rPr>
        <w:t>Отборочные критерии рассмотрения вторых частей заявок</w:t>
      </w:r>
      <w:bookmarkEnd w:id="381"/>
      <w:bookmarkEnd w:id="382"/>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и правильность оформления второй части заявки,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br/>
              <w:t>Юр</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bookmarkStart w:id="383" w:name="_Ref132890414"/>
            <w:bookmarkStart w:id="384" w:name="_Ref132890414"/>
            <w:bookmarkEnd w:id="384"/>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_Ref130455226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4.18</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 в части наличия сведений в реестре,</w:t>
            </w:r>
          </w:p>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Фин – в части соответствия</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br/>
              <w:t>Юр</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Письма о подаче оферты:</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Участника установленным требованиям Документации о закупке,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_Ref125552433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_Ref138341423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5.2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Юр</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_Ref132893662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3 обязательных требований к Участникам</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_Ref186181914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_Ref186181918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5</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специальным требованиям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_Ref125361442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Генерального подрядчика установленным в отношении его требованиям: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_Ref125359973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1.2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_Ref125361702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3.2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 и заявка подана от его лица)</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1"/>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numPr>
                <w:ilvl w:val="0"/>
                <w:numId w:val="8"/>
              </w:numPr>
              <w:suppressAutoHyphens w:val="true"/>
              <w:spacing w:before="60" w:after="60"/>
              <w:ind w:left="284" w:hanging="284"/>
              <w:rPr>
                <w:rFonts w:eastAsia="Calibri"/>
                <w:sz w:val="22"/>
              </w:rPr>
            </w:pPr>
            <w:r>
              <w:rPr>
                <w:rFonts w:eastAsia="Calibri" w:cs=""/>
                <w:kern w:val="0"/>
                <w:sz w:val="22"/>
                <w:szCs w:val="22"/>
                <w:lang w:val="ru-RU" w:eastAsia="en-US" w:bidi="ar-SA"/>
              </w:rPr>
              <w:t>в части требований пунктов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_Ref125370187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1"/>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numPr>
                <w:ilvl w:val="0"/>
                <w:numId w:val="8"/>
              </w:numPr>
              <w:suppressAutoHyphens w:val="true"/>
              <w:spacing w:before="60" w:after="60"/>
              <w:ind w:left="284" w:hanging="284"/>
              <w:rPr>
                <w:rFonts w:eastAsia="Calibri"/>
                <w:sz w:val="22"/>
              </w:rPr>
            </w:pPr>
            <w:r>
              <w:rPr>
                <w:rFonts w:eastAsia="Calibri" w:cs=""/>
                <w:kern w:val="0"/>
                <w:sz w:val="22"/>
                <w:szCs w:val="22"/>
                <w:lang w:val="ru-RU" w:eastAsia="en-US" w:bidi="ar-SA"/>
              </w:rPr>
              <w:t>в части требований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_Ref125370193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r>
          </w:p>
        </w:tc>
      </w:tr>
      <w:tr>
        <w:trPr/>
        <w:tc>
          <w:tcPr>
            <w:tcW w:w="10715" w:type="dxa"/>
            <w:gridSpan w:val="2"/>
            <w:tcBorders/>
          </w:tcPr>
          <w:p>
            <w:pPr>
              <w:pStyle w:val="Style25"/>
              <w:keepNext w:val="true"/>
              <w:widowControl w:val="false"/>
              <w:suppressAutoHyphens w:val="true"/>
              <w:spacing w:before="60" w:after="60"/>
              <w:rPr/>
            </w:pPr>
            <w:r>
              <w:rPr>
                <w:rFonts w:eastAsia="Calibri" w:cs=""/>
                <w:b/>
                <w:bCs/>
                <w:kern w:val="0"/>
                <w:sz w:val="22"/>
                <w:szCs w:val="22"/>
                <w:lang w:val="ru-RU" w:eastAsia="en-US" w:bidi="ar-SA"/>
              </w:rPr>
              <w:t xml:space="preserve">Соответствие Технического предложения Участника </w:t>
            </w:r>
            <w:hyperlink w:anchor="Прил01_ТехТребования">
              <w:r>
                <w:rPr>
                  <w:rStyle w:val="Style7"/>
                  <w:rFonts w:eastAsia="Calibri" w:cs=""/>
                  <w:b/>
                  <w:bCs/>
                  <w:kern w:val="0"/>
                  <w:sz w:val="22"/>
                  <w:szCs w:val="22"/>
                  <w:lang w:val="ru-RU" w:eastAsia="en-US" w:bidi="ar-SA"/>
                </w:rPr>
                <w:t>Техническим требованиям (Приложение № 1)</w:t>
              </w:r>
            </w:hyperlink>
            <w:r>
              <w:rPr>
                <w:rFonts w:eastAsia="Calibri" w:cs=""/>
                <w:b/>
                <w:bCs/>
                <w:kern w:val="0"/>
                <w:sz w:val="22"/>
                <w:szCs w:val="22"/>
                <w:lang w:val="ru-RU" w:eastAsia="en-US" w:bidi="ar-SA"/>
              </w:rPr>
              <w:t>, в том числе:</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с пр</w:t>
            </w:r>
            <w:bookmarkStart w:id="385" w:name="_GoBack"/>
            <w:bookmarkEnd w:id="385"/>
            <w:r>
              <w:rPr>
                <w:rFonts w:eastAsia="Calibri" w:cs=""/>
                <w:kern w:val="0"/>
                <w:sz w:val="22"/>
                <w:szCs w:val="22"/>
                <w:lang w:val="ru-RU" w:eastAsia="en-US" w:bidi="ar-SA"/>
              </w:rPr>
              <w:t>едоставлением требуемых подтверждающих документов</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321"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bl>
    <w:p>
      <w:pPr>
        <w:pStyle w:val="Style20"/>
        <w:spacing w:before="360" w:after="120"/>
        <w:rPr/>
      </w:pPr>
      <w:bookmarkStart w:id="386" w:name="__RefHeading___Toc192615_1558056896"/>
      <w:bookmarkStart w:id="387" w:name="_Toc186224179"/>
      <w:bookmarkEnd w:id="386"/>
      <w:r>
        <w:rPr>
          <w:rStyle w:val="Style4"/>
          <w:i w:val="false"/>
          <w:iCs w:val="false"/>
          <w:sz w:val="22"/>
          <w:shd w:fill="auto" w:val="clear"/>
        </w:rPr>
        <w:t>Отборочные критерии рассмотрения ценовых предложений (дополнительных ценовых предложений)</w:t>
      </w:r>
      <w:bookmarkEnd w:id="387"/>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содержание и правильность оформления ценового предложения,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ценового предложения по составу требованиям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r>
          </w:p>
          <w:p>
            <w:pPr>
              <w:pStyle w:val="Style25"/>
              <w:widowControl w:val="false"/>
              <w:suppressAutoHyphens w:val="true"/>
              <w:spacing w:before="60" w:after="60"/>
              <w:jc w:val="center"/>
              <w:rPr/>
            </w:pP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p>
            <w:pPr>
              <w:pStyle w:val="Style25"/>
              <w:widowControl w:val="false"/>
              <w:suppressAutoHyphens w:val="true"/>
              <w:spacing w:before="60" w:after="60"/>
              <w:jc w:val="center"/>
              <w:rPr>
                <w:rFonts w:eastAsia="Calibri"/>
                <w:sz w:val="22"/>
              </w:rPr>
            </w:pPr>
            <w:r>
              <w:rPr>
                <w:rFonts w:eastAsia="Calibri"/>
                <w:sz w:val="22"/>
              </w:rPr>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Коммерческого предложения Участника требованиям Документации о закупке, в том числе:</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Коммерческого предложения</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412" w:type="dxa"/>
            <w:tcBorders/>
          </w:tcPr>
          <w:p>
            <w:pPr>
              <w:pStyle w:val="Style25"/>
              <w:widowControl w:val="false"/>
              <w:numPr>
                <w:ilvl w:val="0"/>
                <w:numId w:val="11"/>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Соответствие подтверждающей документации, прилагаемой к</w:t>
            </w:r>
            <w:r>
              <w:rPr>
                <w:rFonts w:eastAsia="Calibri" w:cs=""/>
                <w:kern w:val="0"/>
                <w:sz w:val="22"/>
                <w:szCs w:val="22"/>
                <w:lang w:val="en-US" w:eastAsia="en-US" w:bidi="ar-SA"/>
              </w:rPr>
              <w:t> </w:t>
            </w:r>
            <w:r>
              <w:rPr>
                <w:rFonts w:eastAsia="Calibri" w:cs=""/>
                <w:kern w:val="0"/>
                <w:sz w:val="22"/>
                <w:szCs w:val="22"/>
                <w:lang w:val="ru-RU" w:eastAsia="en-US" w:bidi="ar-SA"/>
              </w:rPr>
              <w:t>Коммерческому приложению (форма 3)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xml:space="preserve">) требованиям, указанным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pPr>
            <w:r>
              <w:rPr>
                <w:rFonts w:eastAsia="Calibri" w:cs=""/>
                <w:i/>
                <w:iCs/>
                <w:kern w:val="0"/>
                <w:sz w:val="22"/>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7"/>
                  <w:rFonts w:eastAsia="Calibri" w:cs=""/>
                  <w:i/>
                  <w:iCs/>
                  <w:kern w:val="0"/>
                  <w:sz w:val="22"/>
                  <w:szCs w:val="22"/>
                  <w:lang w:val="ru-RU" w:eastAsia="en-US" w:bidi="ar-SA"/>
                </w:rPr>
                <w:t>Технических требованиях (Приложение № 1)</w:t>
              </w:r>
            </w:hyperlink>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bl>
    <w:p>
      <w:pPr>
        <w:pStyle w:val="Style20"/>
        <w:rPr/>
      </w:pPr>
      <w:bookmarkStart w:id="388" w:name="__RefHeading___Toc192617_1558056896"/>
      <w:bookmarkStart w:id="389" w:name="_Toc186224180"/>
      <w:bookmarkEnd w:id="388"/>
      <w:r>
        <w:rPr>
          <w:rStyle w:val="Style4"/>
          <w:i w:val="false"/>
          <w:iCs w:val="false"/>
          <w:sz w:val="22"/>
          <w:shd w:fill="auto" w:val="clear"/>
        </w:rPr>
        <w:t>Дополнительные критерии проверки заявок на соответствие условиям Документации о закупке</w:t>
      </w:r>
      <w:bookmarkEnd w:id="389"/>
    </w:p>
    <w:p>
      <w:pPr>
        <w:pStyle w:val="Style25"/>
        <w:keepNext w:val="true"/>
        <w:spacing w:before="120" w:after="120"/>
        <w:rPr>
          <w:sz w:val="22"/>
        </w:rPr>
      </w:pPr>
      <w:r>
        <w:rPr>
          <w:sz w:val="22"/>
        </w:rPr>
        <w:t>Несоответствие одному или всем дополнительным критериям не является основанием для отклонения заявки.</w:t>
      </w:r>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412" w:type="dxa"/>
            <w:tcBorders/>
          </w:tcPr>
          <w:p>
            <w:pPr>
              <w:pStyle w:val="Style25"/>
              <w:widowControl w:val="false"/>
              <w:numPr>
                <w:ilvl w:val="0"/>
                <w:numId w:val="12"/>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Наличие в заявке в форме Коммерческого предложения информации о стране происхождения товара</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_Ref132816300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4.14</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bl>
    <w:p>
      <w:pPr>
        <w:pStyle w:val="Style25"/>
        <w:keepNext w:val="true"/>
        <w:tabs>
          <w:tab w:val="clear" w:pos="720"/>
          <w:tab w:val="left" w:pos="851" w:leader="none"/>
        </w:tabs>
        <w:spacing w:before="240" w:after="0"/>
        <w:rPr>
          <w:sz w:val="22"/>
        </w:rPr>
      </w:pPr>
      <w:r>
        <w:rPr>
          <w:b/>
          <w:bCs/>
          <w:sz w:val="22"/>
        </w:rPr>
        <w:t>* Направления оценки заявок:</w:t>
      </w:r>
    </w:p>
    <w:p>
      <w:pPr>
        <w:pStyle w:val="Style25"/>
        <w:tabs>
          <w:tab w:val="clear" w:pos="720"/>
          <w:tab w:val="left" w:pos="1134" w:leader="none"/>
        </w:tabs>
        <w:ind w:left="1701" w:hanging="1701"/>
        <w:rPr>
          <w:sz w:val="22"/>
        </w:rPr>
      </w:pPr>
      <w:r>
        <w:rPr>
          <w:b/>
          <w:bCs/>
          <w:sz w:val="22"/>
        </w:rPr>
        <w:t>Орг</w:t>
      </w:r>
      <w:r>
        <w:rPr>
          <w:sz w:val="22"/>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sz w:val="22"/>
        </w:rPr>
        <w:t>(последние применяется только в случае установления соответствующих требований)</w:t>
      </w:r>
      <w:r>
        <w:rPr>
          <w:sz w:val="22"/>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5"/>
        <w:tabs>
          <w:tab w:val="clear" w:pos="720"/>
          <w:tab w:val="left" w:pos="1134" w:leader="none"/>
        </w:tabs>
        <w:ind w:left="1701" w:hanging="1701"/>
        <w:rPr>
          <w:sz w:val="22"/>
        </w:rPr>
      </w:pPr>
      <w:r>
        <w:rPr>
          <w:b/>
          <w:bCs/>
          <w:sz w:val="22"/>
        </w:rPr>
        <w:t>Тех</w:t>
      </w:r>
      <w:r>
        <w:rPr>
          <w:sz w:val="22"/>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5"/>
        <w:tabs>
          <w:tab w:val="clear" w:pos="720"/>
          <w:tab w:val="left" w:pos="1134" w:leader="none"/>
        </w:tabs>
        <w:ind w:left="1701" w:hanging="1701"/>
        <w:rPr>
          <w:sz w:val="22"/>
        </w:rPr>
      </w:pPr>
      <w:r>
        <w:rPr>
          <w:b/>
          <w:bCs/>
          <w:sz w:val="22"/>
        </w:rPr>
        <w:t>Юр</w:t>
      </w:r>
      <w:r>
        <w:rPr>
          <w:sz w:val="22"/>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5"/>
        <w:keepNext w:val="true"/>
        <w:tabs>
          <w:tab w:val="clear" w:pos="720"/>
          <w:tab w:val="left" w:pos="1134" w:leader="none"/>
        </w:tabs>
        <w:ind w:left="1701" w:hanging="1701"/>
        <w:rPr>
          <w:sz w:val="22"/>
        </w:rPr>
      </w:pPr>
      <w:r>
        <w:rPr>
          <w:b/>
          <w:bCs/>
          <w:sz w:val="22"/>
        </w:rPr>
        <w:t>Цена</w:t>
      </w:r>
      <w:r>
        <w:rPr>
          <w:sz w:val="22"/>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5"/>
        <w:tabs>
          <w:tab w:val="clear" w:pos="720"/>
          <w:tab w:val="left" w:pos="1134" w:leader="none"/>
        </w:tabs>
        <w:ind w:left="1701" w:hanging="1701"/>
        <w:rPr>
          <w:sz w:val="22"/>
        </w:rPr>
      </w:pPr>
      <w:r>
        <w:rPr>
          <w:b/>
          <w:bCs/>
          <w:sz w:val="22"/>
        </w:rPr>
        <w:t>Фин</w:t>
      </w:r>
      <w:r>
        <w:rPr>
          <w:sz w:val="22"/>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sz w:val="22"/>
        </w:rPr>
        <w:t>(финансовая экспертиза проводится по инициативе эксперта по направлениям Орг, в случае наличия в заявке независимой гарантии)</w:t>
      </w:r>
      <w:r>
        <w:rPr>
          <w:sz w:val="22"/>
        </w:rPr>
        <w:t>.</w:t>
      </w:r>
    </w:p>
    <w:p>
      <w:pPr>
        <w:sectPr>
          <w:headerReference w:type="default" r:id="rId35"/>
          <w:headerReference w:type="first" r:id="rId36"/>
          <w:footerReference w:type="default" r:id="rId37"/>
          <w:footerReference w:type="first" r:id="rId38"/>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5"/>
        <w:rPr>
          <w:sz w:val="22"/>
        </w:rPr>
      </w:pPr>
      <w:r>
        <w:rPr>
          <w:sz w:val="22"/>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19"/>
        <w:shd w:val="clear" w:fill="FFFFFF"/>
        <w:rPr>
          <w:rFonts w:eastAsia="Calibri" w:cs="" w:cstheme="minorBidi" w:eastAsiaTheme="minorHAnsi"/>
          <w:highlight w:val="none"/>
          <w:shd w:fill="FFFFFF" w:val="clear"/>
        </w:rPr>
      </w:pPr>
      <w:bookmarkStart w:id="390" w:name="__RefHeading___Toc192619_1558056896"/>
      <w:bookmarkStart w:id="391" w:name="_Ref125368150"/>
      <w:bookmarkStart w:id="392" w:name="_Ref125368184"/>
      <w:bookmarkStart w:id="393" w:name="_Ref125368172"/>
      <w:bookmarkStart w:id="394" w:name="_Ref125368283"/>
      <w:bookmarkStart w:id="395" w:name="_Ref125368291"/>
      <w:bookmarkStart w:id="396" w:name="_Ref125368302"/>
      <w:bookmarkStart w:id="397" w:name="_Ref125368313"/>
      <w:bookmarkStart w:id="398" w:name="_Ref125369021"/>
      <w:bookmarkStart w:id="399" w:name="_Ref125369438"/>
      <w:bookmarkStart w:id="400" w:name="_Ref125368140"/>
      <w:bookmarkStart w:id="401" w:name="_Ref125366285"/>
      <w:bookmarkStart w:id="402" w:name="_Ref125366280"/>
      <w:bookmarkStart w:id="403" w:name="_Ref125366013"/>
      <w:bookmarkStart w:id="404" w:name="_Ref125368331"/>
      <w:bookmarkStart w:id="405" w:name="_Ref125361951"/>
      <w:bookmarkStart w:id="406" w:name="_Ref125361648"/>
      <w:bookmarkStart w:id="407" w:name="_Ref125368165"/>
      <w:bookmarkStart w:id="408" w:name="_Toc186224181"/>
      <w:bookmarkStart w:id="409" w:name="Прил08_ПорядокОценки"/>
      <w:bookmarkEnd w:id="390"/>
      <w:bookmarkEnd w:id="409"/>
      <w:r>
        <w:rPr>
          <w:rFonts w:eastAsia="Calibri" w:cs="" w:cstheme="minorBidi" w:eastAsiaTheme="minorHAnsi"/>
          <w:shd w:fill="FFFFFF" w:val="clear"/>
        </w:rPr>
        <w:t>Приложение № 8 – Порядок и критерии оценки и сопоставления заявок</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Style20"/>
        <w:rPr/>
      </w:pPr>
      <w:bookmarkStart w:id="410" w:name="__RefHeading___Toc192621_1558056896"/>
      <w:bookmarkStart w:id="411" w:name="_Toc186224182"/>
      <w:bookmarkEnd w:id="410"/>
      <w:r>
        <w:rPr/>
        <w:t>Порядок и критерии оценки и сопоставления заявок</w:t>
      </w:r>
      <w:bookmarkEnd w:id="411"/>
    </w:p>
    <w:p>
      <w:pPr>
        <w:pStyle w:val="Style21"/>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269" w:type="dxa"/>
        <w:jc w:val="left"/>
        <w:tblInd w:w="902" w:type="dxa"/>
        <w:tblLayout w:type="fixed"/>
        <w:tblCellMar>
          <w:top w:w="55" w:type="dxa"/>
          <w:left w:w="57" w:type="dxa"/>
          <w:bottom w:w="55" w:type="dxa"/>
          <w:right w:w="57" w:type="dxa"/>
        </w:tblCellMar>
        <w:tblLook w:val="04a0" w:noVBand="1" w:noHBand="0" w:lastColumn="0" w:firstColumn="1" w:lastRow="0" w:firstRow="1"/>
      </w:tblPr>
      <w:tblGrid>
        <w:gridCol w:w="787"/>
        <w:gridCol w:w="2240"/>
        <w:gridCol w:w="1594"/>
        <w:gridCol w:w="1558"/>
        <w:gridCol w:w="1482"/>
        <w:gridCol w:w="2033"/>
        <w:gridCol w:w="4574"/>
      </w:tblGrid>
      <w:tr>
        <w:trPr/>
        <w:tc>
          <w:tcPr>
            <w:tcW w:w="787"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pPr>
            <w:r>
              <w:rPr>
                <w:rFonts w:eastAsia="Calibri"/>
                <w:b/>
                <w:sz w:val="20"/>
                <w:szCs w:val="20"/>
              </w:rPr>
              <w:t>Номер критерия оценки в</w:t>
            </w:r>
            <w:r>
              <w:rPr>
                <w:rFonts w:eastAsia="Calibri"/>
                <w:b/>
                <w:sz w:val="20"/>
                <w:szCs w:val="20"/>
                <w:lang w:val="en-US"/>
              </w:rPr>
              <w:t> </w:t>
            </w:r>
            <w:r>
              <w:rPr>
                <w:rFonts w:eastAsia="Calibri"/>
                <w:b/>
                <w:sz w:val="20"/>
                <w:szCs w:val="20"/>
              </w:rPr>
              <w:t>структуре</w:t>
            </w:r>
          </w:p>
        </w:tc>
        <w:tc>
          <w:tcPr>
            <w:tcW w:w="2240"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Вид критерия оценки / направление оценки заявок</w:t>
            </w:r>
          </w:p>
        </w:tc>
        <w:tc>
          <w:tcPr>
            <w:tcW w:w="3152" w:type="dxa"/>
            <w:gridSpan w:val="2"/>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Наименование критерия оценки</w:t>
            </w:r>
          </w:p>
        </w:tc>
        <w:tc>
          <w:tcPr>
            <w:tcW w:w="1482"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Значимость</w:t>
              <w:br/>
              <w:t>критерия оценки</w:t>
            </w:r>
          </w:p>
        </w:tc>
        <w:tc>
          <w:tcPr>
            <w:tcW w:w="2033"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Содержание частного критерия оценки</w:t>
            </w:r>
          </w:p>
        </w:tc>
        <w:tc>
          <w:tcPr>
            <w:tcW w:w="4574" w:type="dxa"/>
            <w:vMerge w:val="restart"/>
            <w:tcBorders>
              <w:top w:val="single" w:sz="4" w:space="0" w:color="000000"/>
              <w:left w:val="single" w:sz="4" w:space="0" w:color="000000"/>
              <w:bottom w:val="single" w:sz="4" w:space="0" w:color="000000"/>
              <w:right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Расчет оценки предпочтительности заявки</w:t>
            </w:r>
          </w:p>
        </w:tc>
      </w:tr>
      <w:tr>
        <w:trPr/>
        <w:tc>
          <w:tcPr>
            <w:tcW w:w="787"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2240"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1594" w:type="dxa"/>
            <w:tcBorders>
              <w:left w:val="single" w:sz="4" w:space="0" w:color="000000"/>
              <w:bottom w:val="single" w:sz="4" w:space="0" w:color="000000"/>
            </w:tcBorders>
          </w:tcPr>
          <w:p>
            <w:pPr>
              <w:pStyle w:val="Style25"/>
              <w:widowControl w:val="false"/>
              <w:spacing w:before="120" w:after="0"/>
              <w:jc w:val="center"/>
              <w:rPr>
                <w:rFonts w:eastAsia="Calibri"/>
                <w:b/>
                <w:bCs/>
                <w:sz w:val="20"/>
                <w:szCs w:val="20"/>
              </w:rPr>
            </w:pPr>
            <w:r>
              <w:rPr>
                <w:rFonts w:eastAsia="Calibri"/>
                <w:b/>
                <w:bCs/>
                <w:sz w:val="20"/>
                <w:szCs w:val="20"/>
              </w:rPr>
              <w:t>критерий оценки первого уровня</w:t>
            </w:r>
          </w:p>
        </w:tc>
        <w:tc>
          <w:tcPr>
            <w:tcW w:w="1558" w:type="dxa"/>
            <w:tcBorders>
              <w:left w:val="single" w:sz="4" w:space="0" w:color="000000"/>
              <w:bottom w:val="single" w:sz="4" w:space="0" w:color="000000"/>
            </w:tcBorders>
          </w:tcPr>
          <w:p>
            <w:pPr>
              <w:pStyle w:val="Style25"/>
              <w:widowControl w:val="false"/>
              <w:spacing w:before="120" w:after="0"/>
              <w:jc w:val="center"/>
              <w:rPr>
                <w:rFonts w:eastAsia="Calibri"/>
                <w:b/>
                <w:bCs/>
                <w:sz w:val="20"/>
                <w:szCs w:val="20"/>
              </w:rPr>
            </w:pPr>
            <w:r>
              <w:rPr>
                <w:rFonts w:eastAsia="Calibri"/>
                <w:b/>
                <w:bCs/>
                <w:sz w:val="20"/>
                <w:szCs w:val="20"/>
              </w:rPr>
              <w:t>критерий оценки второго уровня</w:t>
            </w:r>
          </w:p>
        </w:tc>
        <w:tc>
          <w:tcPr>
            <w:tcW w:w="1482"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2033"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4574" w:type="dxa"/>
            <w:vMerge w:val="continue"/>
            <w:tcBorders>
              <w:left w:val="single" w:sz="4" w:space="0" w:color="000000"/>
              <w:bottom w:val="single" w:sz="4" w:space="0" w:color="000000"/>
              <w:right w:val="single" w:sz="4" w:space="0" w:color="000000"/>
            </w:tcBorders>
          </w:tcPr>
          <w:p>
            <w:pPr>
              <w:pStyle w:val="Style25"/>
              <w:widowControl w:val="false"/>
              <w:spacing w:before="40" w:after="40"/>
              <w:jc w:val="center"/>
              <w:rPr>
                <w:sz w:val="18"/>
                <w:szCs w:val="18"/>
              </w:rPr>
            </w:pPr>
            <w:r>
              <w:rPr>
                <w:sz w:val="18"/>
                <w:szCs w:val="18"/>
              </w:rPr>
            </w:r>
          </w:p>
        </w:tc>
      </w:tr>
      <w:tr>
        <w:trPr/>
        <w:tc>
          <w:tcPr>
            <w:tcW w:w="787" w:type="dxa"/>
            <w:tcBorders>
              <w:left w:val="single" w:sz="4" w:space="0" w:color="000000"/>
              <w:bottom w:val="single" w:sz="4" w:space="0" w:color="000000"/>
            </w:tcBorders>
          </w:tcPr>
          <w:p>
            <w:pPr>
              <w:pStyle w:val="Normal"/>
              <w:widowControl w:val="false"/>
              <w:spacing w:before="120" w:after="0"/>
              <w:rPr>
                <w:rFonts w:eastAsia="Calibri"/>
                <w:i/>
                <w:i/>
                <w:iCs/>
                <w:sz w:val="20"/>
                <w:szCs w:val="20"/>
              </w:rPr>
            </w:pPr>
            <w:r>
              <w:rPr>
                <w:rFonts w:eastAsia="Calibri"/>
                <w:i/>
                <w:iCs/>
                <w:sz w:val="20"/>
                <w:szCs w:val="20"/>
              </w:rPr>
              <w:t>1.</w:t>
            </w:r>
          </w:p>
        </w:tc>
        <w:tc>
          <w:tcPr>
            <w:tcW w:w="2240" w:type="dxa"/>
            <w:tcBorders>
              <w:left w:val="single" w:sz="4" w:space="0" w:color="000000"/>
              <w:bottom w:val="single" w:sz="4" w:space="0" w:color="000000"/>
            </w:tcBorders>
          </w:tcPr>
          <w:p>
            <w:pPr>
              <w:pStyle w:val="Normal"/>
              <w:widowControl w:val="false"/>
              <w:spacing w:before="120" w:after="0"/>
              <w:rPr/>
            </w:pPr>
            <w:r>
              <w:rPr>
                <w:rFonts w:eastAsia="Calibri"/>
                <w:i/>
                <w:sz w:val="20"/>
                <w:szCs w:val="20"/>
              </w:rPr>
              <w:t>Ценовой (стоимостный) частный критерий оценки первого уровня»/</w:t>
            </w:r>
            <w:r>
              <w:rPr>
                <w:rStyle w:val="Annotationreference"/>
                <w:rFonts w:eastAsia="Calibri" w:cs="Mangal"/>
                <w:i/>
              </w:rPr>
              <w:t>ЦЕНА</w:t>
            </w:r>
          </w:p>
        </w:tc>
        <w:tc>
          <w:tcPr>
            <w:tcW w:w="1594" w:type="dxa"/>
            <w:tcBorders>
              <w:left w:val="single" w:sz="4" w:space="0" w:color="000000"/>
              <w:bottom w:val="single" w:sz="4" w:space="0" w:color="000000"/>
            </w:tcBorders>
          </w:tcPr>
          <w:p>
            <w:pPr>
              <w:pStyle w:val="Style25"/>
              <w:widowControl w:val="false"/>
              <w:spacing w:before="120" w:after="0"/>
              <w:jc w:val="center"/>
              <w:rPr/>
            </w:pPr>
            <w:r>
              <w:rPr>
                <w:rStyle w:val="Style4"/>
                <w:rFonts w:eastAsia="Calibri" w:ascii="Liberation Serif" w:hAnsi="Liberation Serif"/>
                <w:sz w:val="20"/>
                <w:szCs w:val="20"/>
                <w:shd w:fill="auto" w:val="clear"/>
              </w:rPr>
              <w:t>Цена договора</w:t>
            </w:r>
            <w:r>
              <w:rPr>
                <w:rStyle w:val="Annotationreference"/>
                <w:rFonts w:cs="Mangal"/>
              </w:rPr>
              <w:t xml:space="preserve"> </w:t>
            </w:r>
            <w:r>
              <w:rPr>
                <w:rStyle w:val="Annotationreference"/>
                <w:rFonts w:cs="Mangal" w:ascii="Liberation Serif" w:hAnsi="Liberation Serif"/>
                <w:i/>
                <w:iCs/>
                <w:sz w:val="20"/>
                <w:szCs w:val="20"/>
              </w:rPr>
              <w:t>(заявки)</w:t>
            </w:r>
          </w:p>
        </w:tc>
        <w:tc>
          <w:tcPr>
            <w:tcW w:w="1558" w:type="dxa"/>
            <w:tcBorders>
              <w:left w:val="single" w:sz="4" w:space="0" w:color="000000"/>
              <w:bottom w:val="single" w:sz="4" w:space="0" w:color="000000"/>
            </w:tcBorders>
          </w:tcPr>
          <w:p>
            <w:pPr>
              <w:pStyle w:val="Style25"/>
              <w:widowControl w:val="false"/>
              <w:spacing w:before="120" w:after="0"/>
              <w:jc w:val="center"/>
              <w:rPr/>
            </w:pPr>
            <w:r>
              <w:rPr>
                <w:rStyle w:val="Style4"/>
                <w:rFonts w:eastAsia="Calibri"/>
                <w:sz w:val="20"/>
                <w:szCs w:val="20"/>
                <w:shd w:fill="auto" w:val="clear"/>
              </w:rPr>
              <w:t>отсутствует</w:t>
            </w:r>
          </w:p>
        </w:tc>
        <w:tc>
          <w:tcPr>
            <w:tcW w:w="1482" w:type="dxa"/>
            <w:tcBorders>
              <w:left w:val="single" w:sz="4" w:space="0" w:color="000000"/>
              <w:bottom w:val="single" w:sz="4" w:space="0" w:color="000000"/>
            </w:tcBorders>
          </w:tcPr>
          <w:p>
            <w:pPr>
              <w:pStyle w:val="Normal"/>
              <w:widowControl w:val="false"/>
              <w:spacing w:before="40" w:after="40"/>
              <w:jc w:val="center"/>
              <w:rPr>
                <w:sz w:val="18"/>
                <w:szCs w:val="18"/>
              </w:rPr>
            </w:pPr>
            <w:r>
              <w:rPr>
                <w:sz w:val="18"/>
                <w:szCs w:val="18"/>
              </w:rPr>
              <w:t>85%</w:t>
              <w:br/>
              <w:t>(В</w:t>
            </w:r>
            <w:r>
              <w:rPr>
                <w:sz w:val="18"/>
                <w:szCs w:val="18"/>
                <w:vertAlign w:val="subscript"/>
              </w:rPr>
              <w:t>1</w:t>
            </w:r>
            <w:r>
              <w:rPr>
                <w:sz w:val="18"/>
                <w:szCs w:val="18"/>
              </w:rPr>
              <w:t xml:space="preserve"> = 0,85)</w:t>
            </w:r>
          </w:p>
          <w:p>
            <w:pPr>
              <w:pStyle w:val="Style25"/>
              <w:widowControl w:val="false"/>
              <w:spacing w:before="40" w:after="40"/>
              <w:jc w:val="center"/>
              <w:rPr/>
            </w:pPr>
            <w:r>
              <w:rPr>
                <w:rStyle w:val="Style4"/>
                <w:rFonts w:eastAsia="Calibri"/>
                <w:kern w:val="0"/>
                <w:sz w:val="18"/>
                <w:szCs w:val="18"/>
                <w:shd w:fill="auto" w:val="clear"/>
                <w:lang w:eastAsia="en-US" w:bidi="ar-SA"/>
              </w:rPr>
              <w:t xml:space="preserve">где </w:t>
            </w:r>
            <w:r>
              <w:rPr/>
            </w:r>
            <m:oMath xmlns:m="http://schemas.openxmlformats.org/officeDocument/2006/math">
              <m:sSub>
                <m:e>
                  <m:r>
                    <w:rPr>
                      <w:rFonts w:ascii="Cambria Math" w:hAnsi="Cambria Math"/>
                    </w:rPr>
                    <m:t xml:space="preserve">В</m:t>
                  </m:r>
                </m:e>
                <m:sub>
                  <m:r>
                    <w:rPr>
                      <w:rFonts w:ascii="Cambria Math" w:hAnsi="Cambria Math"/>
                    </w:rPr>
                    <m:t xml:space="preserve">i</m:t>
                  </m:r>
                </m:sub>
              </m:sSub>
            </m:oMath>
            <w:r>
              <w:rPr>
                <w:rStyle w:val="Style4"/>
                <w:rFonts w:eastAsia="Calibri"/>
                <w:kern w:val="0"/>
                <w:sz w:val="18"/>
                <w:szCs w:val="18"/>
                <w:shd w:fill="auto" w:val="clear"/>
                <w:lang w:eastAsia="en-US" w:bidi="ar-SA"/>
              </w:rPr>
              <w:t xml:space="preserve"> – значимость (вес) критерия оценки</w:t>
            </w:r>
          </w:p>
        </w:tc>
        <w:tc>
          <w:tcPr>
            <w:tcW w:w="2033" w:type="dxa"/>
            <w:tcBorders>
              <w:left w:val="single" w:sz="4" w:space="0" w:color="000000"/>
              <w:bottom w:val="single" w:sz="4" w:space="0" w:color="000000"/>
            </w:tcBorders>
          </w:tcPr>
          <w:p>
            <w:pPr>
              <w:pStyle w:val="Style25"/>
              <w:widowControl w:val="false"/>
              <w:spacing w:before="120" w:after="0"/>
              <w:jc w:val="left"/>
              <w:rPr/>
            </w:pPr>
            <w:r>
              <w:rPr>
                <w:rStyle w:val="Style4"/>
                <w:rFonts w:eastAsia="Calibri"/>
                <w:sz w:val="20"/>
                <w:szCs w:val="20"/>
                <w:shd w:fill="auto" w:val="clear"/>
              </w:rPr>
              <w:t>Чем меньше стоимость заявки Участника, тем выше предпочтительность</w:t>
            </w:r>
          </w:p>
        </w:tc>
        <w:tc>
          <w:tcPr>
            <w:tcW w:w="4574" w:type="dxa"/>
            <w:tcBorders>
              <w:left w:val="single" w:sz="4" w:space="0" w:color="000000"/>
              <w:bottom w:val="single" w:sz="4" w:space="0" w:color="000000"/>
              <w:right w:val="single" w:sz="4" w:space="0" w:color="000000"/>
            </w:tcBorders>
          </w:tcPr>
          <w:p>
            <w:pPr>
              <w:pStyle w:val="Style25"/>
              <w:widowControl w:val="false"/>
              <w:spacing w:before="120" w:after="0"/>
              <w:jc w:val="left"/>
              <w:rPr/>
            </w:pPr>
            <w:r>
              <w:rPr>
                <w:rStyle w:val="Style4"/>
                <w:rFonts w:eastAsia="Calibri"/>
                <w:sz w:val="20"/>
                <w:szCs w:val="20"/>
                <w:shd w:fill="auto" w:val="clear"/>
              </w:rPr>
              <w:t>Расчет оценки предпочтительности по частному критерию по методу «Математическая формула, задающая «функцию ценности»»:</w:t>
            </w:r>
          </w:p>
          <w:p>
            <w:pPr>
              <w:pStyle w:val="Style25"/>
              <w:widowControl w:val="false"/>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25"/>
              <w:widowControl w:val="false"/>
              <w:jc w:val="left"/>
              <w:rPr/>
            </w:pPr>
            <w:r>
              <w:rPr>
                <w:rStyle w:val="Style4"/>
                <w:rFonts w:eastAsia="Calibri"/>
                <w:sz w:val="20"/>
                <w:szCs w:val="20"/>
                <w:shd w:fill="auto" w:val="clear"/>
              </w:rPr>
              <w:t>где:</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Style w:val="Style4"/>
                <w:rFonts w:eastAsia="Calibri"/>
                <w:sz w:val="20"/>
                <w:szCs w:val="20"/>
                <w:shd w:fill="auto" w:val="clear"/>
              </w:rPr>
              <w:t xml:space="preserve"> – </w:t>
            </w:r>
            <w:r>
              <w:rPr>
                <w:rStyle w:val="Style4"/>
                <w:rFonts w:eastAsia="Calibri"/>
                <w:sz w:val="20"/>
                <w:szCs w:val="20"/>
                <w:shd w:fill="auto" w:val="clear"/>
              </w:rPr>
              <w:t>рассчитанная оценка предпочтительности по данному частному критерию оценки в баллах;</w:t>
            </w:r>
          </w:p>
          <w:p>
            <w:pPr>
              <w:pStyle w:val="Style25"/>
              <w:widowControl w:val="false"/>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Style w:val="Style4"/>
                <w:rFonts w:eastAsia="Calibri"/>
                <w:sz w:val="20"/>
                <w:szCs w:val="20"/>
                <w:shd w:fill="auto" w:val="clear"/>
              </w:rPr>
              <w:t xml:space="preserve"> – </w:t>
            </w:r>
            <w:r>
              <w:rPr>
                <w:rStyle w:val="Style4"/>
                <w:rFonts w:eastAsia="Calibri"/>
                <w:sz w:val="20"/>
                <w:szCs w:val="20"/>
                <w:shd w:fill="auto" w:val="clear"/>
              </w:rPr>
              <w:t>цена договора (стоимость заявки), указанная в i-той заявке (в Коммерческом предложении по установленной в Документации о закупке форме);</w:t>
            </w:r>
          </w:p>
          <w:p>
            <w:pPr>
              <w:pStyle w:val="Style25"/>
              <w:widowControl w:val="false"/>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min</m:t>
                  </m:r>
                </m:sub>
              </m:sSub>
            </m:oMath>
            <w:r>
              <w:rPr>
                <w:rStyle w:val="Style4"/>
                <w:rFonts w:eastAsia="Calibri"/>
                <w:sz w:val="20"/>
                <w:szCs w:val="20"/>
                <w:shd w:fill="auto" w:val="clear"/>
              </w:rPr>
              <w:t xml:space="preserve"> – </w:t>
            </w:r>
            <w:r>
              <w:rPr>
                <w:rStyle w:val="Style4"/>
                <w:rFonts w:eastAsia="Calibri"/>
                <w:sz w:val="20"/>
                <w:szCs w:val="20"/>
                <w:shd w:fill="auto" w:val="clear"/>
              </w:rPr>
              <w:t>минимальная цена договора (стоимость заявки) среди всех допущенных заявок участников, руб. без учета НДС;</w:t>
            </w:r>
          </w:p>
          <w:p>
            <w:pPr>
              <w:pStyle w:val="Style25"/>
              <w:widowControl w:val="false"/>
              <w:jc w:val="left"/>
              <w:rPr/>
            </w:pPr>
            <w:r>
              <w:rPr/>
            </w:r>
            <m:oMath xmlns:m="http://schemas.openxmlformats.org/officeDocument/2006/math">
              <m:r>
                <w:rPr>
                  <w:rFonts w:ascii="Cambria Math" w:hAnsi="Cambria Math"/>
                </w:rPr>
                <m:t xml:space="preserve">Ш</m:t>
              </m:r>
            </m:oMath>
            <w:r>
              <w:rPr>
                <w:rStyle w:val="Style4"/>
                <w:rFonts w:eastAsia="Calibri"/>
                <w:sz w:val="20"/>
                <w:szCs w:val="20"/>
                <w:shd w:fill="auto" w:val="clear"/>
              </w:rPr>
              <w:t xml:space="preserve"> – </w:t>
            </w:r>
            <w:r>
              <w:rPr>
                <w:rStyle w:val="Style4"/>
                <w:rFonts w:eastAsia="Calibri"/>
                <w:sz w:val="20"/>
                <w:szCs w:val="20"/>
                <w:shd w:fill="auto" w:val="clear"/>
              </w:rPr>
              <w:t>максимально возможный балл (максимальная возможная оценка предпочтительности) по шкале оценок(</w:t>
            </w:r>
            <w:r>
              <w:rPr/>
            </w:r>
            <m:oMath xmlns:m="http://schemas.openxmlformats.org/officeDocument/2006/math">
              <m:r>
                <w:rPr>
                  <w:rFonts w:ascii="Cambria Math" w:hAnsi="Cambria Math"/>
                </w:rPr>
                <m:t xml:space="preserve">Ш</m:t>
              </m:r>
              <m:r>
                <w:rPr>
                  <w:rFonts w:ascii="Cambria Math" w:hAnsi="Cambria Math"/>
                </w:rPr>
                <m:t xml:space="preserve">=</m:t>
              </m:r>
              <m:r>
                <w:rPr>
                  <w:rFonts w:ascii="Cambria Math" w:hAnsi="Cambria Math"/>
                </w:rPr>
                <m:t xml:space="preserve">5</m:t>
              </m:r>
            </m:oMath>
            <w:r>
              <w:rPr>
                <w:rStyle w:val="Style4"/>
                <w:rFonts w:eastAsia="Calibri"/>
                <w:sz w:val="20"/>
                <w:szCs w:val="20"/>
                <w:shd w:fill="auto" w:val="clear"/>
              </w:rPr>
              <w:t>)</w:t>
            </w:r>
            <w:r>
              <w:rPr>
                <w:rFonts w:eastAsia="Calibri"/>
                <w:sz w:val="20"/>
                <w:szCs w:val="20"/>
              </w:rPr>
              <w:t>.</w:t>
            </w:r>
          </w:p>
          <w:p>
            <w:pPr>
              <w:pStyle w:val="Style25"/>
              <w:widowControl w:val="false"/>
              <w:jc w:val="left"/>
              <w:rPr/>
            </w:pPr>
            <w:r>
              <w:rPr>
                <w:rStyle w:val="Style4"/>
                <w:rFonts w:eastAsia="Calibri"/>
                <w:sz w:val="20"/>
                <w:szCs w:val="20"/>
                <w:shd w:fill="auto" w:val="clear"/>
              </w:rPr>
              <w:t>Оценка предпочтительности заявок осуществляется в едином базисе сопоставления ценовых (стоимостных) предложений,</w:t>
            </w:r>
            <w:r>
              <w:rPr>
                <w:sz w:val="20"/>
                <w:szCs w:val="20"/>
                <w:lang w:eastAsia="ru-RU"/>
              </w:rPr>
              <w:t xml:space="preserve"> </w:t>
            </w:r>
            <w:r>
              <w:rPr>
                <w:rStyle w:val="Style4"/>
                <w:rFonts w:eastAsia="Calibri"/>
                <w:sz w:val="20"/>
                <w:szCs w:val="20"/>
                <w:shd w:fill="auto" w:val="clear"/>
              </w:rPr>
              <w:t>установленном в документации о закупке: без учета НДС.</w:t>
            </w:r>
          </w:p>
          <w:p>
            <w:pPr>
              <w:pStyle w:val="Style25"/>
              <w:widowControl w:val="false"/>
              <w:jc w:val="left"/>
              <w:rPr>
                <w:sz w:val="20"/>
                <w:szCs w:val="20"/>
              </w:rPr>
            </w:pPr>
            <w:r>
              <w:rPr>
                <w:rFonts w:eastAsia="Calibri"/>
                <w:sz w:val="20"/>
                <w:szCs w:val="20"/>
              </w:rPr>
              <w:t>Шкала оценок от 0 до 5 баллов.</w:t>
            </w:r>
          </w:p>
        </w:tc>
      </w:tr>
      <w:tr>
        <w:trPr/>
        <w:tc>
          <w:tcPr>
            <w:tcW w:w="787"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2.</w:t>
            </w:r>
          </w:p>
        </w:tc>
        <w:tc>
          <w:tcPr>
            <w:tcW w:w="2240" w:type="dxa"/>
            <w:tcBorders>
              <w:left w:val="single" w:sz="4" w:space="0" w:color="000000"/>
              <w:bottom w:val="single" w:sz="4" w:space="0" w:color="000000"/>
            </w:tcBorders>
          </w:tcPr>
          <w:p>
            <w:pPr>
              <w:pStyle w:val="Normal"/>
              <w:widowControl w:val="false"/>
              <w:spacing w:before="120" w:after="0"/>
              <w:jc w:val="center"/>
              <w:rPr>
                <w:rFonts w:eastAsia="Calibri"/>
                <w:i/>
                <w:i/>
                <w:iCs/>
                <w:sz w:val="20"/>
                <w:szCs w:val="20"/>
              </w:rPr>
            </w:pPr>
            <w:r>
              <w:rPr>
                <w:rFonts w:eastAsia="Calibri"/>
                <w:i/>
                <w:iCs/>
                <w:sz w:val="20"/>
                <w:szCs w:val="20"/>
              </w:rPr>
              <w:t>«Неценовой критерий оценки первого уровня;</w:t>
              <w:br/>
              <w:t>Тех</w:t>
            </w:r>
          </w:p>
        </w:tc>
        <w:tc>
          <w:tcPr>
            <w:tcW w:w="1594" w:type="dxa"/>
            <w:tcBorders>
              <w:left w:val="single" w:sz="4" w:space="0" w:color="000000"/>
              <w:bottom w:val="single" w:sz="4" w:space="0" w:color="000000"/>
            </w:tcBorders>
          </w:tcPr>
          <w:p>
            <w:pPr>
              <w:pStyle w:val="Normal"/>
              <w:widowControl w:val="false"/>
              <w:spacing w:before="120" w:after="0"/>
              <w:jc w:val="center"/>
              <w:rPr/>
            </w:pPr>
            <w:r>
              <w:rPr>
                <w:rFonts w:eastAsia="Calibri"/>
                <w:i/>
                <w:sz w:val="20"/>
                <w:szCs w:val="20"/>
              </w:rPr>
              <w:t>Квалификация (предпочтительность) Участника</w:t>
            </w:r>
          </w:p>
        </w:tc>
        <w:tc>
          <w:tcPr>
            <w:tcW w:w="1558" w:type="dxa"/>
            <w:tcBorders>
              <w:left w:val="single" w:sz="4" w:space="0" w:color="000000"/>
              <w:bottom w:val="single" w:sz="4" w:space="0" w:color="000000"/>
            </w:tcBorders>
          </w:tcPr>
          <w:p>
            <w:pPr>
              <w:pStyle w:val="Style25"/>
              <w:widowControl w:val="false"/>
              <w:spacing w:before="120" w:after="0"/>
              <w:jc w:val="center"/>
              <w:rPr>
                <w:rFonts w:eastAsia="Calibri"/>
                <w:i/>
                <w:i/>
                <w:sz w:val="20"/>
                <w:szCs w:val="20"/>
              </w:rPr>
            </w:pPr>
            <w:r>
              <w:rPr>
                <w:rFonts w:eastAsia="Calibri"/>
                <w:i/>
                <w:sz w:val="20"/>
                <w:szCs w:val="20"/>
              </w:rPr>
              <w:t>отсутствует</w:t>
            </w:r>
          </w:p>
        </w:tc>
        <w:tc>
          <w:tcPr>
            <w:tcW w:w="1482" w:type="dxa"/>
            <w:tcBorders>
              <w:left w:val="single" w:sz="4" w:space="0" w:color="000000"/>
              <w:bottom w:val="single" w:sz="4" w:space="0" w:color="000000"/>
            </w:tcBorders>
          </w:tcPr>
          <w:p>
            <w:pPr>
              <w:pStyle w:val="Normal"/>
              <w:widowControl w:val="false"/>
              <w:spacing w:before="40" w:after="40"/>
              <w:jc w:val="center"/>
              <w:rPr>
                <w:sz w:val="18"/>
                <w:szCs w:val="18"/>
              </w:rPr>
            </w:pPr>
            <w:r>
              <w:rPr>
                <w:sz w:val="18"/>
                <w:szCs w:val="18"/>
              </w:rPr>
              <w:t>10%</w:t>
              <w:br/>
              <w:t>(В</w:t>
            </w:r>
            <w:r>
              <w:rPr>
                <w:sz w:val="18"/>
                <w:szCs w:val="18"/>
                <w:vertAlign w:val="subscript"/>
              </w:rPr>
              <w:t>2</w:t>
            </w:r>
            <w:r>
              <w:rPr>
                <w:sz w:val="18"/>
                <w:szCs w:val="18"/>
              </w:rPr>
              <w:t xml:space="preserve"> = 0,10)</w:t>
            </w:r>
          </w:p>
          <w:p>
            <w:pPr>
              <w:pStyle w:val="Style25"/>
              <w:widowControl w:val="false"/>
              <w:jc w:val="center"/>
              <w:rPr/>
            </w:pPr>
            <w:r>
              <w:rPr>
                <w:rFonts w:eastAsia="Calibri"/>
                <w:i/>
                <w:iCs/>
                <w:kern w:val="0"/>
                <w:sz w:val="18"/>
                <w:szCs w:val="18"/>
                <w:lang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2</m:t>
                  </m:r>
                </m:sub>
              </m:sSub>
            </m:oMath>
            <w:r>
              <w:rPr>
                <w:rFonts w:eastAsia="Calibri"/>
                <w:i/>
                <w:iCs/>
                <w:kern w:val="0"/>
                <w:sz w:val="18"/>
                <w:szCs w:val="18"/>
                <w:lang w:eastAsia="en-US" w:bidi="ar-SA"/>
              </w:rPr>
              <w:t xml:space="preserve"> – значимость (вес) критерия оценки</w:t>
            </w:r>
          </w:p>
        </w:tc>
        <w:tc>
          <w:tcPr>
            <w:tcW w:w="2033" w:type="dxa"/>
            <w:tcBorders>
              <w:left w:val="single" w:sz="4" w:space="0" w:color="000000"/>
              <w:bottom w:val="single" w:sz="4" w:space="0" w:color="000000"/>
            </w:tcBorders>
          </w:tcPr>
          <w:p>
            <w:pPr>
              <w:pStyle w:val="Standard"/>
              <w:widowControl w:val="false"/>
              <w:jc w:val="center"/>
              <w:rPr/>
            </w:pPr>
            <w:r>
              <w:rPr>
                <w:rStyle w:val="Style15"/>
                <w:rFonts w:eastAsia="Calibri" w:cs="Times New Roman" w:ascii="Times New Roman" w:hAnsi="Times New Roman"/>
                <w:i/>
                <w:kern w:val="0"/>
                <w:sz w:val="20"/>
                <w:szCs w:val="20"/>
                <w:lang w:eastAsia="en-US" w:bidi="ar-SA"/>
              </w:rPr>
              <w:t xml:space="preserve">Чем больше опыт работ по чистке просек </w:t>
            </w:r>
            <w:r>
              <w:rPr>
                <w:rStyle w:val="Style15"/>
                <w:rFonts w:eastAsia="Calibri" w:cs="Times New Roman" w:ascii="Times New Roman" w:hAnsi="Times New Roman"/>
                <w:i/>
                <w:spacing w:val="-2"/>
                <w:kern w:val="0"/>
                <w:sz w:val="20"/>
                <w:szCs w:val="20"/>
                <w:lang w:eastAsia="en-US" w:bidi="ar-SA"/>
              </w:rPr>
              <w:t xml:space="preserve"> ЛЭП , </w:t>
            </w:r>
            <w:r>
              <w:rPr>
                <w:rStyle w:val="Style15"/>
                <w:rFonts w:eastAsia="Calibri" w:cs="Times New Roman" w:ascii="Times New Roman" w:hAnsi="Times New Roman"/>
                <w:i/>
                <w:kern w:val="0"/>
                <w:sz w:val="20"/>
                <w:szCs w:val="20"/>
                <w:lang w:eastAsia="en-US" w:bidi="ar-SA"/>
              </w:rPr>
              <w:t xml:space="preserve"> тем  выше предпочтительность</w:t>
            </w:r>
          </w:p>
        </w:tc>
        <w:tc>
          <w:tcPr>
            <w:tcW w:w="4574" w:type="dxa"/>
            <w:tcBorders>
              <w:left w:val="single" w:sz="4" w:space="0" w:color="000000"/>
              <w:bottom w:val="single" w:sz="4" w:space="0" w:color="000000"/>
              <w:right w:val="single" w:sz="4" w:space="0" w:color="000000"/>
            </w:tcBorders>
          </w:tcPr>
          <w:p>
            <w:pPr>
              <w:pStyle w:val="Standard"/>
              <w:widowControl w:val="false"/>
              <w:ind w:left="57" w:right="57" w:hanging="0"/>
              <w:jc w:val="both"/>
              <w:rPr>
                <w:rFonts w:eastAsia="Calibri" w:cs="Times New Roman"/>
                <w:kern w:val="0"/>
                <w:sz w:val="18"/>
                <w:szCs w:val="18"/>
                <w:lang w:eastAsia="en-US" w:bidi="ar-SA"/>
              </w:rPr>
            </w:pPr>
            <w:r>
              <w:rPr>
                <w:rFonts w:eastAsia="Calibri" w:cs="Times New Roman"/>
                <w:kern w:val="0"/>
                <w:sz w:val="18"/>
                <w:szCs w:val="18"/>
                <w:lang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andard"/>
              <w:widowControl w:val="false"/>
              <w:ind w:left="57" w:right="57" w:hanging="0"/>
              <w:jc w:val="both"/>
              <w:rPr/>
            </w:pPr>
            <w:r>
              <w:rPr>
                <w:rFonts w:eastAsia="Calibri" w:cs="Times New Roman"/>
                <w:kern w:val="0"/>
                <w:sz w:val="18"/>
                <w:szCs w:val="18"/>
                <w:lang w:eastAsia="en-US" w:bidi="ar-SA"/>
              </w:rPr>
              <w:t xml:space="preserve">Порядок осуществления оценки (значение оцениваемого параметра), в зависимости от предоставленных в i-ой заявке сведений о ранее выполненных договорах в рамках одного или нескольких договоров </w:t>
            </w:r>
            <w:r>
              <w:rPr>
                <w:rFonts w:eastAsia="Calibri" w:cs="Times New Roman" w:ascii="Times New Roman" w:hAnsi="Times New Roman"/>
                <w:b/>
                <w:bCs/>
                <w:color w:val="1D0AF4"/>
                <w:spacing w:val="-2"/>
                <w:kern w:val="0"/>
                <w:sz w:val="18"/>
                <w:szCs w:val="18"/>
                <w:lang w:eastAsia="en-US" w:bidi="ar-SA"/>
              </w:rPr>
              <w:t>по</w:t>
            </w:r>
            <w:r>
              <w:rPr>
                <w:rFonts w:eastAsia="Calibri" w:cs="Times New Roman" w:ascii="Times New Roman" w:hAnsi="Times New Roman"/>
                <w:spacing w:val="-2"/>
                <w:kern w:val="0"/>
                <w:sz w:val="18"/>
                <w:szCs w:val="18"/>
                <w:lang w:eastAsia="en-US" w:bidi="ar-SA"/>
              </w:rPr>
              <w:t xml:space="preserve"> </w:t>
            </w:r>
            <w:r>
              <w:rPr>
                <w:rFonts w:eastAsia="Calibri" w:cs="Times New Roman" w:ascii="Times New Roman" w:hAnsi="Times New Roman"/>
                <w:b/>
                <w:bCs/>
                <w:color w:val="1D0AF4"/>
                <w:spacing w:val="-2"/>
                <w:kern w:val="0"/>
                <w:sz w:val="18"/>
                <w:szCs w:val="18"/>
                <w:lang w:eastAsia="en-US" w:bidi="ar-SA"/>
              </w:rPr>
              <w:t>расчистке просек  ЛЭП до  110 кВ</w:t>
            </w:r>
            <w:r>
              <w:rPr>
                <w:rFonts w:eastAsia="Calibri" w:cs="Times New Roman" w:ascii="Times New Roman" w:hAnsi="Times New Roman"/>
                <w:color w:val="1D0AF4"/>
                <w:spacing w:val="-2"/>
                <w:kern w:val="0"/>
                <w:sz w:val="18"/>
                <w:szCs w:val="18"/>
                <w:lang w:eastAsia="en-US" w:bidi="ar-SA"/>
              </w:rPr>
              <w:t xml:space="preserve"> </w:t>
            </w:r>
            <w:r>
              <w:rPr>
                <w:rFonts w:eastAsia="Calibri" w:cs="Times New Roman" w:ascii="Times New Roman" w:hAnsi="Times New Roman"/>
                <w:b/>
                <w:bCs/>
                <w:color w:val="1D0AF4"/>
                <w:spacing w:val="-2"/>
                <w:kern w:val="0"/>
                <w:sz w:val="18"/>
                <w:szCs w:val="18"/>
                <w:lang w:eastAsia="en-US" w:bidi="ar-SA"/>
              </w:rPr>
              <w:t>включительно и выше</w:t>
            </w:r>
            <w:r>
              <w:rPr>
                <w:rFonts w:eastAsia="Calibri" w:cs="Times New Roman"/>
                <w:color w:val="1D0AF4"/>
                <w:kern w:val="0"/>
                <w:sz w:val="18"/>
                <w:szCs w:val="18"/>
                <w:lang w:eastAsia="en-US" w:bidi="ar-SA"/>
              </w:rPr>
              <w:t xml:space="preserve"> </w:t>
            </w:r>
            <w:bookmarkStart w:id="412" w:name="_GoBack_Копия_2"/>
            <w:bookmarkEnd w:id="412"/>
            <w:r>
              <w:rPr>
                <w:rFonts w:eastAsia="Calibri" w:cs="Times New Roman"/>
                <w:kern w:val="0"/>
                <w:sz w:val="18"/>
                <w:szCs w:val="18"/>
                <w:lang w:eastAsia="en-US" w:bidi="ar-SA"/>
              </w:rPr>
              <w:t xml:space="preserve">за последние 5 (пять) лет, </w:t>
            </w:r>
            <w:r>
              <w:rPr>
                <w:rFonts w:eastAsia="Calibri" w:ascii="Times New Roman" w:hAnsi="Times New Roman"/>
                <w:spacing w:val="-2"/>
                <w:kern w:val="0"/>
                <w:sz w:val="18"/>
                <w:szCs w:val="18"/>
                <w:lang w:eastAsia="en-US" w:bidi="ar-SA"/>
              </w:rPr>
              <w:t>предшествующие дате подачи заявки, по форме «Справка об опыте участника», приведенной в Документации о закупке, на общую сумму:</w:t>
            </w:r>
          </w:p>
          <w:p>
            <w:pPr>
              <w:pStyle w:val="Standard"/>
              <w:widowControl w:val="false"/>
              <w:ind w:left="57" w:right="57" w:hanging="0"/>
              <w:jc w:val="both"/>
              <w:rPr>
                <w:rFonts w:ascii="Times New Roman" w:hAnsi="Times New Roman" w:eastAsia="Calibri"/>
                <w:spacing w:val="-2"/>
                <w:kern w:val="0"/>
                <w:sz w:val="18"/>
                <w:szCs w:val="18"/>
                <w:lang w:eastAsia="en-US" w:bidi="ar-SA"/>
              </w:rPr>
            </w:pPr>
            <w:r>
              <w:rPr>
                <w:rFonts w:eastAsia="Calibri" w:ascii="Times New Roman" w:hAnsi="Times New Roman"/>
                <w:spacing w:val="-2"/>
                <w:kern w:val="0"/>
                <w:sz w:val="18"/>
                <w:szCs w:val="18"/>
                <w:lang w:eastAsia="en-US" w:bidi="ar-SA"/>
              </w:rPr>
            </w:r>
          </w:p>
          <w:tbl>
            <w:tblPr>
              <w:tblW w:w="5832" w:type="dxa"/>
              <w:jc w:val="left"/>
              <w:tblInd w:w="0" w:type="dxa"/>
              <w:tblLayout w:type="fixed"/>
              <w:tblCellMar>
                <w:top w:w="55" w:type="dxa"/>
                <w:left w:w="93" w:type="dxa"/>
                <w:bottom w:w="55" w:type="dxa"/>
                <w:right w:w="108" w:type="dxa"/>
              </w:tblCellMar>
              <w:tblLook w:val="04a0" w:noVBand="1" w:noHBand="0" w:lastColumn="0" w:firstColumn="1" w:lastRow="0" w:firstRow="1"/>
            </w:tblPr>
            <w:tblGrid>
              <w:gridCol w:w="884"/>
              <w:gridCol w:w="4947"/>
            </w:tblGrid>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0</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pacing w:lineRule="auto" w:line="240" w:before="0" w:after="0"/>
                    <w:ind w:left="28" w:right="0" w:hanging="0"/>
                    <w:contextualSpacing/>
                    <w:jc w:val="left"/>
                    <w:rPr/>
                  </w:pPr>
                  <w:r>
                    <w:rPr>
                      <w:rStyle w:val="Style15"/>
                      <w:rFonts w:cs="Times New Roman" w:ascii="Times New Roman" w:hAnsi="Times New Roman"/>
                      <w:sz w:val="18"/>
                      <w:szCs w:val="18"/>
                    </w:rPr>
                    <w:t>До 30%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1</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964" w:hanging="0"/>
                    <w:contextualSpacing/>
                    <w:jc w:val="left"/>
                    <w:rPr/>
                  </w:pPr>
                  <w:r>
                    <w:rPr>
                      <w:rStyle w:val="Style15"/>
                      <w:rFonts w:cs="Times New Roman" w:ascii="Times New Roman" w:hAnsi="Times New Roman"/>
                      <w:sz w:val="18"/>
                      <w:szCs w:val="18"/>
                    </w:rPr>
                    <w:t>более 30% НМЦ «без учета НДС», но менее 40%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2</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850" w:hanging="0"/>
                    <w:contextualSpacing/>
                    <w:jc w:val="left"/>
                    <w:rPr/>
                  </w:pPr>
                  <w:r>
                    <w:rPr>
                      <w:rStyle w:val="Style15"/>
                      <w:rFonts w:cs="Times New Roman" w:ascii="Times New Roman" w:hAnsi="Times New Roman"/>
                      <w:sz w:val="18"/>
                      <w:szCs w:val="18"/>
                    </w:rPr>
                    <w:t>более 40% НМЦ «без учета НДС», но менее 50%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3</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907" w:hanging="0"/>
                    <w:contextualSpacing/>
                    <w:jc w:val="left"/>
                    <w:rPr/>
                  </w:pPr>
                  <w:r>
                    <w:rPr>
                      <w:rStyle w:val="Style15"/>
                      <w:rFonts w:cs="Times New Roman" w:ascii="Times New Roman" w:hAnsi="Times New Roman"/>
                      <w:sz w:val="18"/>
                      <w:szCs w:val="18"/>
                    </w:rPr>
                    <w:t>более 50% НМЦ «без учета НДС», но менее 60%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4</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850" w:hanging="0"/>
                    <w:contextualSpacing/>
                    <w:jc w:val="left"/>
                    <w:rPr/>
                  </w:pPr>
                  <w:r>
                    <w:rPr>
                      <w:rStyle w:val="Style15"/>
                      <w:rFonts w:cs="Times New Roman" w:ascii="Times New Roman" w:hAnsi="Times New Roman"/>
                      <w:sz w:val="18"/>
                      <w:szCs w:val="18"/>
                    </w:rPr>
                    <w:t>более 60% НМЦ «без учета НДС», но менее 70%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5</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pacing w:lineRule="auto" w:line="240" w:before="0" w:after="0"/>
                    <w:ind w:left="28" w:right="0" w:hanging="0"/>
                    <w:contextualSpacing/>
                    <w:jc w:val="left"/>
                    <w:rPr/>
                  </w:pPr>
                  <w:r>
                    <w:rPr>
                      <w:rStyle w:val="Style15"/>
                      <w:rFonts w:eastAsia="Arial Unicode MS" w:cs="Times New Roman" w:ascii="Times New Roman" w:hAnsi="Times New Roman"/>
                      <w:sz w:val="18"/>
                      <w:szCs w:val="18"/>
                    </w:rPr>
                    <w:t>с</w:t>
                  </w:r>
                  <w:r>
                    <w:rPr>
                      <w:rStyle w:val="Style16"/>
                      <w:rFonts w:eastAsia="Arial Unicode MS" w:cs="Times New Roman" w:ascii="Times New Roman" w:hAnsi="Times New Roman"/>
                      <w:sz w:val="18"/>
                      <w:szCs w:val="18"/>
                    </w:rPr>
                    <w:t>выше 70% НМЦ без учета НДС;</w:t>
                  </w:r>
                </w:p>
              </w:tc>
            </w:tr>
          </w:tbl>
          <w:p>
            <w:pPr>
              <w:pStyle w:val="22"/>
              <w:keepNext w:val="true"/>
              <w:widowControl w:val="false"/>
              <w:spacing w:lineRule="auto" w:line="240"/>
              <w:ind w:left="720" w:hanging="0"/>
              <w:jc w:val="left"/>
              <w:rPr>
                <w:rFonts w:ascii="Times New Roman" w:hAnsi="Times New Roman" w:cs="Times New Roman"/>
                <w:sz w:val="18"/>
                <w:szCs w:val="18"/>
              </w:rPr>
            </w:pPr>
            <w:r>
              <w:rPr>
                <w:rFonts w:cs="Times New Roman" w:ascii="Times New Roman" w:hAnsi="Times New Roman"/>
                <w:sz w:val="18"/>
                <w:szCs w:val="18"/>
              </w:rPr>
              <w:t>где:</w:t>
            </w:r>
          </w:p>
          <w:p>
            <w:pPr>
              <w:pStyle w:val="Textbody"/>
              <w:widowControl w:val="false"/>
              <w:spacing w:lineRule="auto" w:line="240" w:before="0" w:after="0"/>
              <w:ind w:left="57" w:right="57" w:hanging="0"/>
              <w:jc w:val="both"/>
              <w:rPr/>
            </w:pPr>
            <w:r>
              <w:rPr>
                <w:rFonts w:eastAsia="Calibri" w:cs="Times New Roman"/>
                <w:spacing w:val="-2"/>
                <w:kern w:val="0"/>
                <w:sz w:val="18"/>
                <w:szCs w:val="18"/>
                <w:lang w:eastAsia="en-US" w:bidi="ar-SA"/>
              </w:rPr>
              <w:t>Б</w:t>
            </w:r>
            <w:r>
              <w:rPr>
                <w:rFonts w:eastAsia="Calibri" w:cs="Times New Roman"/>
                <w:spacing w:val="-2"/>
                <w:kern w:val="0"/>
                <w:sz w:val="18"/>
                <w:szCs w:val="18"/>
                <w:vertAlign w:val="subscript"/>
                <w:lang w:eastAsia="en-US" w:bidi="ar-SA"/>
              </w:rPr>
              <w:t>2</w:t>
            </w:r>
            <w:r>
              <w:rPr>
                <w:rFonts w:eastAsia="Calibri" w:cs="Times New Roman"/>
                <w:spacing w:val="-2"/>
                <w:kern w:val="0"/>
                <w:sz w:val="18"/>
                <w:szCs w:val="18"/>
                <w:lang w:eastAsia="en-US" w:bidi="ar-SA"/>
              </w:rPr>
              <w:t>  - рассчитанная оценка предпочтительности по данному частному критерию оценки в баллах.</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В составе заявки Участник должен представить сведения о ранее выполненных договорах по форме «Справка об опыте Участника», приведенной в Документации о закупке, с обязательным представлением подтверждающих наличие требуемого опыта документов, а именно:</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 xml:space="preserve"> </w:t>
            </w:r>
            <w:r>
              <w:rPr>
                <w:rFonts w:eastAsia="Calibri" w:cs="Times New Roman" w:ascii="Times New Roman" w:hAnsi="Times New Roman"/>
                <w:spacing w:val="-2"/>
                <w:kern w:val="0"/>
                <w:sz w:val="18"/>
                <w:szCs w:val="18"/>
                <w:lang w:eastAsia="en-US" w:bidi="ar-SA"/>
              </w:rPr>
              <w:t>- копии договоров, подписанных с обеих сторон;</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 копии Актов выполненных работ к договорам (формы КС-2 и/или КС-3), подписанных с обеих сторон, с указанием стоимости и наименования выполненных работ, аналогичных предмету закупки;</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22"/>
              <w:widowControl w:val="false"/>
              <w:spacing w:lineRule="auto" w:line="240"/>
              <w:ind w:left="0" w:hanging="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Опыт, несоответствующий установленным в Документации о закупке требованиям не оценивается.</w:t>
            </w:r>
          </w:p>
          <w:p>
            <w:pPr>
              <w:pStyle w:val="22"/>
              <w:widowControl w:val="false"/>
              <w:spacing w:lineRule="auto" w:line="240"/>
              <w:ind w:left="0" w:hanging="0"/>
              <w:rPr>
                <w:rFonts w:ascii="Times New Roman" w:hAnsi="Times New Roman" w:cs="Times New Roman"/>
                <w:sz w:val="18"/>
                <w:szCs w:val="18"/>
              </w:rPr>
            </w:pPr>
            <w:r>
              <w:rPr>
                <w:rFonts w:cs="Times New Roman" w:ascii="Times New Roman" w:hAnsi="Times New Roman"/>
                <w:sz w:val="18"/>
                <w:szCs w:val="18"/>
              </w:rPr>
              <w:t>Шкала оценок от 0 до 5 баллов.</w:t>
            </w:r>
          </w:p>
        </w:tc>
      </w:tr>
      <w:tr>
        <w:trPr/>
        <w:tc>
          <w:tcPr>
            <w:tcW w:w="787"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3.</w:t>
            </w:r>
          </w:p>
        </w:tc>
        <w:tc>
          <w:tcPr>
            <w:tcW w:w="2240" w:type="dxa"/>
            <w:tcBorders>
              <w:left w:val="single" w:sz="4" w:space="0" w:color="000000"/>
              <w:bottom w:val="single" w:sz="4" w:space="0" w:color="000000"/>
            </w:tcBorders>
          </w:tcPr>
          <w:p>
            <w:pPr>
              <w:pStyle w:val="Style25"/>
              <w:widowControl w:val="false"/>
              <w:spacing w:before="120" w:after="0"/>
              <w:jc w:val="center"/>
              <w:rPr/>
            </w:pPr>
            <w:r>
              <w:rPr>
                <w:rFonts w:eastAsia="Calibri"/>
                <w:i/>
                <w:iCs/>
                <w:sz w:val="20"/>
                <w:szCs w:val="20"/>
              </w:rPr>
              <w:t>«Неценовой критерий оценки первого уровня;</w:t>
              <w:br/>
              <w:t>Орг»</w:t>
            </w:r>
          </w:p>
        </w:tc>
        <w:tc>
          <w:tcPr>
            <w:tcW w:w="1594"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Финансовое состояние (устойчивость) Участника</w:t>
            </w:r>
          </w:p>
        </w:tc>
        <w:tc>
          <w:tcPr>
            <w:tcW w:w="1558" w:type="dxa"/>
            <w:tcBorders>
              <w:left w:val="single" w:sz="4" w:space="0" w:color="000000"/>
              <w:bottom w:val="single" w:sz="4" w:space="0" w:color="000000"/>
            </w:tcBorders>
          </w:tcPr>
          <w:p>
            <w:pPr>
              <w:pStyle w:val="Style25"/>
              <w:widowControl w:val="false"/>
              <w:spacing w:before="120" w:after="0"/>
              <w:jc w:val="center"/>
              <w:rPr>
                <w:rFonts w:eastAsia="Calibri"/>
                <w:i/>
                <w:i/>
                <w:iCs/>
                <w:sz w:val="20"/>
                <w:szCs w:val="20"/>
              </w:rPr>
            </w:pPr>
            <w:r>
              <w:rPr>
                <w:rFonts w:eastAsia="Calibri"/>
                <w:i/>
                <w:iCs/>
                <w:sz w:val="20"/>
                <w:szCs w:val="20"/>
              </w:rPr>
              <w:t>отсутствует</w:t>
            </w:r>
          </w:p>
        </w:tc>
        <w:tc>
          <w:tcPr>
            <w:tcW w:w="1482" w:type="dxa"/>
            <w:tcBorders>
              <w:left w:val="single" w:sz="4" w:space="0" w:color="000000"/>
              <w:bottom w:val="single" w:sz="4" w:space="0" w:color="000000"/>
            </w:tcBorders>
          </w:tcPr>
          <w:p>
            <w:pPr>
              <w:pStyle w:val="Normal"/>
              <w:widowControl w:val="false"/>
              <w:spacing w:before="40" w:after="40"/>
              <w:jc w:val="center"/>
              <w:rPr>
                <w:sz w:val="18"/>
                <w:szCs w:val="18"/>
              </w:rPr>
            </w:pPr>
            <w:r>
              <w:rPr>
                <w:rFonts w:eastAsia="Calibri"/>
                <w:sz w:val="18"/>
                <w:szCs w:val="18"/>
              </w:rPr>
              <w:t>5%</w:t>
              <w:br/>
              <w:t>(В</w:t>
            </w:r>
            <w:r>
              <w:rPr>
                <w:rFonts w:eastAsia="Calibri"/>
                <w:sz w:val="18"/>
                <w:szCs w:val="18"/>
                <w:vertAlign w:val="subscript"/>
              </w:rPr>
              <w:t>3</w:t>
            </w:r>
            <w:r>
              <w:rPr>
                <w:rFonts w:eastAsia="Calibri"/>
                <w:sz w:val="18"/>
                <w:szCs w:val="18"/>
              </w:rPr>
              <w:t xml:space="preserve"> = 0,05)</w:t>
            </w:r>
          </w:p>
          <w:p>
            <w:pPr>
              <w:pStyle w:val="Style25"/>
              <w:widowControl w:val="false"/>
              <w:jc w:val="center"/>
              <w:rPr/>
            </w:pPr>
            <w:r>
              <w:rPr>
                <w:rFonts w:eastAsia="Calibri"/>
                <w:kern w:val="0"/>
                <w:sz w:val="18"/>
                <w:szCs w:val="18"/>
                <w:lang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3</m:t>
                  </m:r>
                </m:sub>
              </m:sSub>
            </m:oMath>
            <w:r>
              <w:rPr>
                <w:rFonts w:eastAsia="Calibri"/>
                <w:kern w:val="0"/>
                <w:sz w:val="18"/>
                <w:szCs w:val="18"/>
                <w:lang w:eastAsia="en-US" w:bidi="ar-SA"/>
              </w:rPr>
              <w:t xml:space="preserve"> – значимость (вес) критерия оценки</w:t>
            </w:r>
          </w:p>
        </w:tc>
        <w:tc>
          <w:tcPr>
            <w:tcW w:w="2033" w:type="dxa"/>
            <w:tcBorders>
              <w:left w:val="single" w:sz="4" w:space="0" w:color="000000"/>
              <w:bottom w:val="single" w:sz="4" w:space="0" w:color="000000"/>
            </w:tcBorders>
          </w:tcPr>
          <w:p>
            <w:pPr>
              <w:pStyle w:val="Normal"/>
              <w:widowControl w:val="false"/>
              <w:spacing w:before="120" w:after="0"/>
              <w:jc w:val="center"/>
              <w:rPr>
                <w:sz w:val="20"/>
                <w:szCs w:val="20"/>
              </w:rPr>
            </w:pPr>
            <w:r>
              <w:rPr>
                <w:rFonts w:cs="Times New Roman"/>
                <w:color w:val="000000"/>
                <w:sz w:val="20"/>
                <w:szCs w:val="20"/>
                <w:lang w:eastAsia="ru-RU"/>
              </w:rPr>
              <w:t>Чем выше результат оценки финансового состояния (устойчивости) Участника, тем выше предпочтительность</w:t>
            </w:r>
          </w:p>
        </w:tc>
        <w:tc>
          <w:tcPr>
            <w:tcW w:w="4574" w:type="dxa"/>
            <w:tcBorders>
              <w:left w:val="single" w:sz="4" w:space="0" w:color="000000"/>
              <w:bottom w:val="single" w:sz="4" w:space="0" w:color="000000"/>
              <w:right w:val="single" w:sz="4" w:space="0" w:color="000000"/>
            </w:tcBorders>
          </w:tcPr>
          <w:p>
            <w:pPr>
              <w:pStyle w:val="Style25"/>
              <w:widowControl w:val="false"/>
              <w:spacing w:before="120" w:after="0"/>
              <w:jc w:val="left"/>
              <w:rPr>
                <w:rFonts w:eastAsia="Calibri"/>
                <w:kern w:val="0"/>
                <w:sz w:val="18"/>
                <w:szCs w:val="18"/>
                <w:lang w:eastAsia="en-US" w:bidi="ar-SA"/>
              </w:rPr>
            </w:pPr>
            <w:r>
              <w:rPr>
                <w:rFonts w:eastAsia="Calibri"/>
                <w:kern w:val="0"/>
                <w:sz w:val="18"/>
                <w:szCs w:val="18"/>
                <w:lang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25"/>
              <w:widowControl w:val="false"/>
              <w:jc w:val="left"/>
              <w:rPr/>
            </w:pPr>
            <w:r>
              <w:rPr>
                <w:rFonts w:eastAsia="Calibri"/>
                <w:kern w:val="0"/>
                <w:sz w:val="18"/>
                <w:szCs w:val="18"/>
                <w:lang w:eastAsia="en-US" w:bidi="ar-SA"/>
              </w:rPr>
              <w:t xml:space="preserve">Порядок осуществления оценки (значение оцениваемого параметра), в зависимости от полученного Участником (с </w:t>
            </w:r>
            <w:r>
              <w:rPr/>
            </w:r>
            <m:oMath xmlns:m="http://schemas.openxmlformats.org/officeDocument/2006/math">
              <m:r>
                <w:rPr>
                  <w:rFonts w:ascii="Cambria Math" w:hAnsi="Cambria Math"/>
                </w:rPr>
                <m:t xml:space="preserve">i</m:t>
              </m:r>
            </m:oMath>
            <w:r>
              <w:rPr>
                <w:rFonts w:eastAsia="Calibri"/>
                <w:kern w:val="0"/>
                <w:sz w:val="18"/>
                <w:szCs w:val="18"/>
                <w:lang w:eastAsia="en-US" w:bidi="ar-SA"/>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25"/>
              <w:keepNext w:val="true"/>
              <w:widowControl w:val="false"/>
              <w:numPr>
                <w:ilvl w:val="0"/>
                <w:numId w:val="0"/>
              </w:numPr>
              <w:ind w:left="720" w:hanging="0"/>
              <w:jc w:val="left"/>
              <w:rPr/>
            </w:pPr>
            <w:r>
              <w:rPr>
                <w:rFonts w:eastAsia="Calibri"/>
                <w:kern w:val="0"/>
                <w:sz w:val="18"/>
                <w:szCs w:val="18"/>
                <w:lang w:eastAsia="en-US" w:bidi="ar-SA"/>
              </w:rPr>
              <w:t>порядок проведения оценки финансового состояния (устойчивости) Участника установлен в Приложении 5 к Положению об аккредитации</w:t>
            </w:r>
            <w:r>
              <w:rPr>
                <w:rStyle w:val="FootnoteReference"/>
                <w:rFonts w:eastAsia="Calibri"/>
                <w:kern w:val="0"/>
                <w:sz w:val="18"/>
                <w:szCs w:val="18"/>
                <w:lang w:eastAsia="en-US" w:bidi="ar-SA"/>
              </w:rPr>
              <w:footnoteReference w:id="14"/>
            </w:r>
            <w:r>
              <w:rPr>
                <w:rFonts w:eastAsia="Calibri"/>
                <w:kern w:val="0"/>
                <w:sz w:val="18"/>
                <w:szCs w:val="18"/>
                <w:lang w:eastAsia="en-US" w:bidi="ar-SA"/>
              </w:rPr>
              <w:t>;</w:t>
            </w:r>
          </w:p>
          <w:p>
            <w:pPr>
              <w:pStyle w:val="Style25"/>
              <w:keepNext w:val="true"/>
              <w:widowControl w:val="false"/>
              <w:numPr>
                <w:ilvl w:val="0"/>
                <w:numId w:val="0"/>
              </w:numPr>
              <w:ind w:left="720" w:hanging="0"/>
              <w:jc w:val="left"/>
              <w:rPr>
                <w:rFonts w:eastAsia="Calibri"/>
                <w:kern w:val="0"/>
                <w:sz w:val="18"/>
                <w:szCs w:val="18"/>
                <w:lang w:eastAsia="en-US" w:bidi="ar-SA"/>
              </w:rPr>
            </w:pPr>
            <w:r>
              <w:rPr>
                <w:rFonts w:eastAsia="Calibri"/>
                <w:kern w:val="0"/>
                <w:sz w:val="18"/>
                <w:szCs w:val="18"/>
                <w:lang w:eastAsia="en-US" w:bidi="ar-SA"/>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w:t>
            </w:r>
          </w:p>
          <w:p>
            <w:pPr>
              <w:pStyle w:val="Style25"/>
              <w:keepNext w:val="true"/>
              <w:widowControl w:val="false"/>
              <w:ind w:left="142" w:hanging="0"/>
              <w:jc w:val="left"/>
              <w:rPr>
                <w:rFonts w:eastAsia="Calibri"/>
                <w:kern w:val="0"/>
                <w:sz w:val="18"/>
                <w:szCs w:val="18"/>
                <w:lang w:eastAsia="en-US" w:bidi="ar-SA"/>
              </w:rPr>
            </w:pPr>
            <w:r>
              <w:rPr>
                <w:rFonts w:eastAsia="Calibri"/>
                <w:kern w:val="0"/>
                <w:sz w:val="18"/>
                <w:szCs w:val="18"/>
                <w:lang w:eastAsia="en-US" w:bidi="ar-SA"/>
              </w:rPr>
              <w:t>Если Участник в соответствии с законодательством не размещает сведения о своей бухгалтерской (финансовой) отчетности в упомянутом государственном информационном ресурсе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5"/>
              <w:keepNext w:val="true"/>
              <w:widowControl w:val="false"/>
              <w:jc w:val="left"/>
              <w:rPr>
                <w:rFonts w:eastAsia="Calibri"/>
                <w:kern w:val="0"/>
                <w:sz w:val="18"/>
                <w:szCs w:val="18"/>
                <w:lang w:eastAsia="en-US" w:bidi="ar-SA"/>
              </w:rPr>
            </w:pPr>
            <w:r>
              <w:rPr>
                <w:rFonts w:eastAsia="Calibri"/>
                <w:kern w:val="0"/>
                <w:sz w:val="18"/>
                <w:szCs w:val="18"/>
                <w:lang w:eastAsia="en-US" w:bidi="ar-SA"/>
              </w:rPr>
              <w:t>Оценка предпочтительности по частному критерию осуществляется в соответствии со следующей шкалой:</w:t>
            </w:r>
          </w:p>
          <w:tbl>
            <w:tblPr>
              <w:tblW w:w="4480" w:type="dxa"/>
              <w:jc w:val="left"/>
              <w:tblInd w:w="0" w:type="dxa"/>
              <w:tblLayout w:type="fixed"/>
              <w:tblCellMar>
                <w:top w:w="0" w:type="dxa"/>
                <w:left w:w="57" w:type="dxa"/>
                <w:bottom w:w="0" w:type="dxa"/>
                <w:right w:w="57" w:type="dxa"/>
              </w:tblCellMar>
              <w:tblLook w:val="0000" w:noVBand="0" w:noHBand="0" w:lastColumn="0" w:firstColumn="0" w:lastRow="0" w:firstRow="0"/>
            </w:tblPr>
            <w:tblGrid>
              <w:gridCol w:w="908"/>
              <w:gridCol w:w="3571"/>
            </w:tblGrid>
            <w:tr>
              <w:trPr/>
              <w:tc>
                <w:tcPr>
                  <w:tcW w:w="908" w:type="dxa"/>
                  <w:tcBorders/>
                  <w:shd w:color="auto" w:fill="auto" w:val="clear"/>
                </w:tcPr>
                <w:p>
                  <w:pPr>
                    <w:pStyle w:val="Style25"/>
                    <w:widowControl w:val="false"/>
                    <w:spacing w:before="120" w:after="0"/>
                    <w:jc w:val="left"/>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0</m:t>
                      </m:r>
                    </m:oMath>
                  </m:oMathPara>
                </w:p>
              </w:tc>
              <w:tc>
                <w:tcPr>
                  <w:tcW w:w="3571" w:type="dxa"/>
                  <w:tcBorders/>
                  <w:shd w:color="auto" w:fill="auto" w:val="clear"/>
                </w:tcPr>
                <w:p>
                  <w:pPr>
                    <w:pStyle w:val="Style25"/>
                    <w:keepNext w:val="true"/>
                    <w:widowControl w:val="false"/>
                    <w:tabs>
                      <w:tab w:val="clear" w:pos="720"/>
                      <w:tab w:val="left" w:pos="60" w:leader="none"/>
                      <w:tab w:val="left" w:pos="3450" w:leader="none"/>
                    </w:tabs>
                    <w:suppressAutoHyphens w:val="true"/>
                    <w:bidi w:val="0"/>
                    <w:spacing w:before="120" w:after="0"/>
                    <w:ind w:left="170" w:right="113" w:hanging="170"/>
                    <w:jc w:val="left"/>
                    <w:rPr/>
                  </w:pPr>
                  <w:r>
                    <w:rPr>
                      <w:rFonts w:eastAsia="Calibri"/>
                      <w:kern w:val="0"/>
                      <w:sz w:val="18"/>
                      <w:szCs w:val="18"/>
                      <w:lang w:eastAsia="en-US" w:bidi="ar-SA"/>
                    </w:rPr>
                    <w:t xml:space="preserve">   </w:t>
                  </w:r>
                  <w:r>
                    <w:rPr>
                      <w:rFonts w:eastAsia="Calibri"/>
                      <w:kern w:val="0"/>
                      <w:sz w:val="18"/>
                      <w:szCs w:val="18"/>
                      <w:lang w:eastAsia="en-US" w:bidi="ar-SA"/>
                    </w:rPr>
                    <w:t>результат оценки финансового состояния (устойчивости): менее 0,45 баллов – Кризисное финансовое состояние</w:t>
                  </w:r>
                </w:p>
                <w:p>
                  <w:pPr>
                    <w:pStyle w:val="Style25"/>
                    <w:keepNext w:val="true"/>
                    <w:widowControl w:val="false"/>
                    <w:jc w:val="left"/>
                    <w:rPr>
                      <w:rFonts w:eastAsia="Calibri"/>
                      <w:i/>
                      <w:i/>
                      <w:iCs/>
                      <w:kern w:val="0"/>
                      <w:sz w:val="18"/>
                      <w:szCs w:val="18"/>
                      <w:lang w:eastAsia="en-US" w:bidi="ar-SA"/>
                    </w:rPr>
                  </w:pPr>
                  <w:r>
                    <w:rPr>
                      <w:rFonts w:eastAsia="Calibri"/>
                      <w:i/>
                      <w:iCs/>
                      <w:kern w:val="0"/>
                      <w:sz w:val="18"/>
                      <w:szCs w:val="18"/>
                      <w:lang w:eastAsia="en-US" w:bidi="ar-SA"/>
                    </w:rPr>
                    <w:t>или</w:t>
                  </w:r>
                </w:p>
                <w:p>
                  <w:pPr>
                    <w:pStyle w:val="Style25"/>
                    <w:keepNext w:val="true"/>
                    <w:widowControl w:val="false"/>
                    <w:jc w:val="left"/>
                    <w:rPr>
                      <w:rFonts w:eastAsia="Calibri"/>
                      <w:kern w:val="0"/>
                      <w:sz w:val="18"/>
                      <w:szCs w:val="18"/>
                      <w:lang w:eastAsia="en-US" w:bidi="ar-SA"/>
                    </w:rPr>
                  </w:pPr>
                  <w:r>
                    <w:rPr>
                      <w:rFonts w:eastAsia="Calibri"/>
                      <w:kern w:val="0"/>
                      <w:sz w:val="18"/>
                      <w:szCs w:val="18"/>
                      <w:lang w:eastAsia="en-US" w:bidi="ar-SA"/>
                    </w:rPr>
                    <w:t>в случае отсутствия исходных данных для оценки финансового состояния Участника, в том числе если он является:</w:t>
                  </w:r>
                </w:p>
                <w:p>
                  <w:pPr>
                    <w:pStyle w:val="Style25"/>
                    <w:keepNext w:val="true"/>
                    <w:widowControl w:val="false"/>
                    <w:numPr>
                      <w:ilvl w:val="0"/>
                      <w:numId w:val="0"/>
                    </w:numPr>
                    <w:suppressAutoHyphens w:val="true"/>
                    <w:bidi w:val="0"/>
                    <w:spacing w:before="120" w:after="0"/>
                    <w:ind w:left="0" w:right="57" w:hanging="0"/>
                    <w:jc w:val="left"/>
                    <w:rPr>
                      <w:rFonts w:eastAsia="Calibri"/>
                      <w:kern w:val="0"/>
                      <w:sz w:val="18"/>
                      <w:szCs w:val="18"/>
                      <w:lang w:eastAsia="en-US" w:bidi="ar-SA"/>
                    </w:rPr>
                  </w:pPr>
                  <w:r>
                    <w:rPr>
                      <w:rFonts w:eastAsia="Calibri"/>
                      <w:kern w:val="0"/>
                      <w:sz w:val="18"/>
                      <w:szCs w:val="18"/>
                      <w:lang w:eastAsia="en-US" w:bidi="ar-SA"/>
                    </w:rPr>
                    <w:t>-     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25"/>
                    <w:widowControl w:val="false"/>
                    <w:numPr>
                      <w:ilvl w:val="0"/>
                      <w:numId w:val="0"/>
                    </w:numPr>
                    <w:suppressAutoHyphens w:val="true"/>
                    <w:bidi w:val="0"/>
                    <w:spacing w:before="120" w:after="0"/>
                    <w:ind w:left="0" w:right="57" w:hanging="0"/>
                    <w:jc w:val="left"/>
                    <w:rPr>
                      <w:rFonts w:eastAsia="Calibri"/>
                      <w:kern w:val="0"/>
                      <w:sz w:val="18"/>
                      <w:szCs w:val="18"/>
                      <w:lang w:eastAsia="en-US" w:bidi="ar-SA"/>
                    </w:rPr>
                  </w:pPr>
                  <w:r>
                    <w:rPr>
                      <w:rFonts w:eastAsia="Calibri"/>
                      <w:kern w:val="0"/>
                      <w:sz w:val="18"/>
                      <w:szCs w:val="18"/>
                      <w:lang w:eastAsia="en-US" w:bidi="ar-SA"/>
                    </w:rPr>
                    <w:t>-    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908" w:type="dxa"/>
                  <w:tcBorders/>
                  <w:shd w:color="auto" w:fill="auto" w:val="clear"/>
                </w:tcPr>
                <w:p>
                  <w:pPr>
                    <w:pStyle w:val="Style25"/>
                    <w:widowControl w:val="false"/>
                    <w:spacing w:before="120" w:after="0"/>
                    <w:jc w:val="left"/>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oMath>
                  </m:oMathPara>
                </w:p>
              </w:tc>
              <w:tc>
                <w:tcPr>
                  <w:tcW w:w="3571" w:type="dxa"/>
                  <w:tcBorders/>
                  <w:shd w:color="auto" w:fill="auto" w:val="clear"/>
                </w:tcPr>
                <w:p>
                  <w:pPr>
                    <w:pStyle w:val="Style25"/>
                    <w:widowControl w:val="false"/>
                    <w:spacing w:before="120" w:after="0"/>
                    <w:jc w:val="left"/>
                    <w:rPr>
                      <w:rFonts w:eastAsia="Calibri"/>
                      <w:kern w:val="0"/>
                      <w:sz w:val="18"/>
                      <w:szCs w:val="18"/>
                      <w:lang w:eastAsia="en-US" w:bidi="ar-SA"/>
                    </w:rPr>
                  </w:pPr>
                  <w:r>
                    <w:rPr>
                      <w:rFonts w:eastAsia="Calibri"/>
                      <w:kern w:val="0"/>
                      <w:sz w:val="18"/>
                      <w:szCs w:val="18"/>
                      <w:lang w:eastAsia="en-US" w:bidi="ar-SA"/>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908" w:type="dxa"/>
                  <w:tcBorders/>
                  <w:shd w:color="auto" w:fill="auto" w:val="clear"/>
                </w:tcPr>
                <w:p>
                  <w:pPr>
                    <w:pStyle w:val="Style25"/>
                    <w:widowControl w:val="false"/>
                    <w:spacing w:before="120" w:after="0"/>
                    <w:jc w:val="left"/>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5</m:t>
                      </m:r>
                    </m:oMath>
                  </m:oMathPara>
                </w:p>
              </w:tc>
              <w:tc>
                <w:tcPr>
                  <w:tcW w:w="3571" w:type="dxa"/>
                  <w:tcBorders/>
                  <w:shd w:color="auto" w:fill="auto" w:val="clear"/>
                </w:tcPr>
                <w:p>
                  <w:pPr>
                    <w:pStyle w:val="Style25"/>
                    <w:widowControl w:val="false"/>
                    <w:spacing w:before="120" w:after="0"/>
                    <w:jc w:val="left"/>
                    <w:rPr>
                      <w:rFonts w:eastAsia="Calibri"/>
                      <w:kern w:val="0"/>
                      <w:sz w:val="18"/>
                      <w:szCs w:val="18"/>
                      <w:lang w:eastAsia="en-US" w:bidi="ar-SA"/>
                    </w:rPr>
                  </w:pPr>
                  <w:r>
                    <w:rPr>
                      <w:rFonts w:eastAsia="Calibri"/>
                      <w:kern w:val="0"/>
                      <w:sz w:val="18"/>
                      <w:szCs w:val="18"/>
                      <w:lang w:eastAsia="en-US" w:bidi="ar-SA"/>
                    </w:rPr>
                    <w:t>результат оценки финансового состояния (устойчивости): более 0,90 баллов – Удовлетворительное финансовое состояние,</w:t>
                  </w:r>
                </w:p>
              </w:tc>
            </w:tr>
          </w:tbl>
          <w:p>
            <w:pPr>
              <w:pStyle w:val="Style25"/>
              <w:widowControl w:val="false"/>
              <w:jc w:val="left"/>
              <w:rPr>
                <w:rFonts w:eastAsia="Calibri"/>
                <w:kern w:val="0"/>
                <w:sz w:val="18"/>
                <w:szCs w:val="18"/>
                <w:lang w:eastAsia="en-US" w:bidi="ar-SA"/>
              </w:rPr>
            </w:pPr>
            <w:r>
              <w:rPr>
                <w:rFonts w:eastAsia="Calibri"/>
                <w:kern w:val="0"/>
                <w:sz w:val="18"/>
                <w:szCs w:val="18"/>
                <w:lang w:eastAsia="en-US" w:bidi="ar-SA"/>
              </w:rPr>
              <w:t>где:</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kern w:val="0"/>
                <w:sz w:val="18"/>
                <w:szCs w:val="18"/>
                <w:lang w:eastAsia="en-US" w:bidi="ar-SA"/>
              </w:rPr>
              <w:t xml:space="preserve"> – </w:t>
            </w:r>
            <w:r>
              <w:rPr>
                <w:rFonts w:eastAsia="Calibri"/>
                <w:kern w:val="0"/>
                <w:sz w:val="18"/>
                <w:szCs w:val="18"/>
                <w:lang w:eastAsia="en-US" w:bidi="ar-SA"/>
              </w:rPr>
              <w:t>рассчитанная оценка предпочтительности по частному критерию оценки в баллах.</w:t>
            </w:r>
          </w:p>
          <w:p>
            <w:pPr>
              <w:pStyle w:val="Style25"/>
              <w:widowControl w:val="false"/>
              <w:jc w:val="left"/>
              <w:rPr>
                <w:rFonts w:eastAsia="Calibri"/>
                <w:kern w:val="0"/>
                <w:sz w:val="18"/>
                <w:szCs w:val="18"/>
                <w:lang w:eastAsia="en-US" w:bidi="ar-SA"/>
              </w:rPr>
            </w:pPr>
            <w:r>
              <w:rPr>
                <w:rFonts w:eastAsia="Calibri"/>
                <w:kern w:val="0"/>
                <w:sz w:val="18"/>
                <w:szCs w:val="18"/>
                <w:lang w:eastAsia="en-US" w:bidi="ar-SA"/>
              </w:rPr>
              <w:t>Шкала оценок от 0 до 5 баллов.</w:t>
            </w:r>
          </w:p>
          <w:p>
            <w:pPr>
              <w:pStyle w:val="Style25"/>
              <w:widowControl w:val="false"/>
              <w:jc w:val="left"/>
              <w:rPr>
                <w:rFonts w:eastAsia="Calibri"/>
                <w:i/>
                <w:i/>
                <w:iCs/>
                <w:kern w:val="0"/>
                <w:sz w:val="18"/>
                <w:szCs w:val="18"/>
                <w:lang w:eastAsia="en-US" w:bidi="ar-SA"/>
              </w:rPr>
            </w:pPr>
            <w:r>
              <w:rPr>
                <w:rFonts w:eastAsia="Calibri"/>
                <w:i/>
                <w:iCs/>
                <w:kern w:val="0"/>
                <w:sz w:val="18"/>
                <w:szCs w:val="18"/>
                <w:lang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25"/>
              <w:widowControl w:val="false"/>
              <w:jc w:val="left"/>
              <w:rPr>
                <w:rFonts w:eastAsia="Calibri"/>
                <w:sz w:val="20"/>
                <w:szCs w:val="20"/>
              </w:rPr>
            </w:pPr>
            <w:r>
              <w:rPr>
                <w:rFonts w:eastAsia="Calibri"/>
                <w:i/>
                <w:iCs/>
                <w:kern w:val="0"/>
                <w:sz w:val="18"/>
                <w:szCs w:val="18"/>
                <w:lang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 (форма 4) (</w:t>
            </w:r>
            <w:hyperlink w:anchor="Прил04_ФормыЗаявки">
              <w:r>
                <w:rPr>
                  <w:rFonts w:eastAsia="Calibri"/>
                  <w:i/>
                  <w:iCs/>
                  <w:kern w:val="0"/>
                  <w:sz w:val="18"/>
                  <w:szCs w:val="18"/>
                  <w:lang w:eastAsia="en-US" w:bidi="ar-SA"/>
                </w:rPr>
                <w:t>Приложение № 4</w:t>
              </w:r>
            </w:hyperlink>
            <w:r>
              <w:rPr>
                <w:rFonts w:eastAsia="Calibri"/>
                <w:i/>
                <w:iCs/>
                <w:kern w:val="0"/>
                <w:sz w:val="18"/>
                <w:szCs w:val="18"/>
                <w:lang w:eastAsia="en-US" w:bidi="ar-SA"/>
              </w:rPr>
              <w:t>), представленному в заявке такого Коллективного участника на участие в закупке.)</w:t>
            </w:r>
          </w:p>
        </w:tc>
      </w:tr>
      <w:tr>
        <w:trPr/>
        <w:tc>
          <w:tcPr>
            <w:tcW w:w="6179" w:type="dxa"/>
            <w:gridSpan w:val="4"/>
            <w:tcBorders>
              <w:left w:val="single" w:sz="4" w:space="0" w:color="000000"/>
              <w:bottom w:val="single" w:sz="4" w:space="0" w:color="000000"/>
            </w:tcBorders>
          </w:tcPr>
          <w:p>
            <w:pPr>
              <w:pStyle w:val="Style25"/>
              <w:widowControl w:val="false"/>
              <w:spacing w:before="120" w:after="0"/>
              <w:jc w:val="left"/>
              <w:rPr>
                <w:rFonts w:eastAsia="Calibri"/>
                <w:sz w:val="20"/>
                <w:szCs w:val="20"/>
              </w:rPr>
            </w:pPr>
            <w:r>
              <w:rPr>
                <w:rFonts w:eastAsia="Calibri"/>
                <w:sz w:val="20"/>
                <w:szCs w:val="20"/>
              </w:rPr>
              <w:t>Итоговая оценка предпочтительности заявки:</w:t>
            </w:r>
          </w:p>
        </w:tc>
        <w:tc>
          <w:tcPr>
            <w:tcW w:w="8089" w:type="dxa"/>
            <w:gridSpan w:val="3"/>
            <w:tcBorders>
              <w:left w:val="single" w:sz="4" w:space="0" w:color="000000"/>
              <w:bottom w:val="single" w:sz="4" w:space="0" w:color="000000"/>
              <w:right w:val="single" w:sz="4" w:space="0" w:color="000000"/>
            </w:tcBorders>
          </w:tcPr>
          <w:p>
            <w:pPr>
              <w:pStyle w:val="Style25"/>
              <w:widowControl w:val="false"/>
              <w:spacing w:before="120" w:after="0"/>
              <w:jc w:val="left"/>
              <w:rPr/>
            </w:pPr>
            <w:r>
              <w:rPr>
                <w:rFonts w:eastAsia="Calibri"/>
                <w:sz w:val="20"/>
                <w:szCs w:val="20"/>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sz w:val="20"/>
                <w:szCs w:val="20"/>
              </w:rPr>
              <w:t>-ой заявки:</w:t>
            </w:r>
          </w:p>
          <w:p>
            <w:pPr>
              <w:pStyle w:val="Style25"/>
              <w:widowControl w:val="false"/>
              <w:jc w:val="center"/>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2338705" cy="211455"/>
                  <wp:effectExtent l="0" t="0" r="0" b="0"/>
                  <wp:wrapSquare wrapText="largest"/>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9"/>
                          <a:stretch>
                            <a:fillRect/>
                          </a:stretch>
                        </pic:blipFill>
                        <pic:spPr bwMode="auto">
                          <a:xfrm>
                            <a:off x="0" y="0"/>
                            <a:ext cx="2338705" cy="211455"/>
                          </a:xfrm>
                          <a:prstGeom prst="rect">
                            <a:avLst/>
                          </a:prstGeom>
                        </pic:spPr>
                      </pic:pic>
                    </a:graphicData>
                  </a:graphic>
                </wp:anchor>
              </w:drawing>
            </w:r>
          </w:p>
          <w:p>
            <w:pPr>
              <w:pStyle w:val="Style25"/>
              <w:widowControl w:val="false"/>
              <w:jc w:val="left"/>
              <w:rPr>
                <w:rFonts w:eastAsia="Calibri"/>
                <w:sz w:val="20"/>
                <w:szCs w:val="20"/>
              </w:rPr>
            </w:pPr>
            <w:r>
              <w:rPr>
                <w:rFonts w:eastAsia="Calibri"/>
                <w:sz w:val="20"/>
                <w:szCs w:val="20"/>
              </w:rPr>
              <w:t>где:</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sz w:val="20"/>
                <w:szCs w:val="20"/>
              </w:rPr>
              <w:t xml:space="preserve"> – </w:t>
            </w:r>
            <w:r>
              <w:rPr>
                <w:rFonts w:eastAsia="Calibri"/>
                <w:sz w:val="20"/>
                <w:szCs w:val="20"/>
              </w:rPr>
              <w:t>рассчитанная итоговая оценка предпочтительности в баллах;</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sz w:val="20"/>
                <w:szCs w:val="20"/>
              </w:rPr>
              <w:t xml:space="preserve"> – </w:t>
            </w:r>
            <w:r>
              <w:rPr>
                <w:rFonts w:eastAsia="Calibri"/>
                <w:sz w:val="20"/>
                <w:szCs w:val="20"/>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sz w:val="20"/>
                <w:szCs w:val="20"/>
              </w:rPr>
              <w:t>-тому критерию оценки первого уровня в баллах;</w:t>
            </w:r>
          </w:p>
          <w:p>
            <w:pPr>
              <w:pStyle w:val="Style25"/>
              <w:widowControl w:val="false"/>
              <w:jc w:val="left"/>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sz w:val="20"/>
                <w:szCs w:val="20"/>
              </w:rPr>
              <w:t xml:space="preserve"> – </w:t>
            </w:r>
            <w:r>
              <w:rPr>
                <w:rFonts w:eastAsia="Calibri"/>
                <w:sz w:val="20"/>
                <w:szCs w:val="20"/>
              </w:rPr>
              <w:t xml:space="preserve">значимость </w:t>
            </w:r>
            <w:r>
              <w:rPr/>
            </w:r>
            <m:oMath xmlns:m="http://schemas.openxmlformats.org/officeDocument/2006/math">
              <m:r>
                <w:rPr>
                  <w:rFonts w:ascii="Cambria Math" w:hAnsi="Cambria Math"/>
                </w:rPr>
                <m:t xml:space="preserve">k</m:t>
              </m:r>
            </m:oMath>
            <w:r>
              <w:rPr>
                <w:rFonts w:eastAsia="Calibri"/>
                <w:sz w:val="20"/>
                <w:szCs w:val="20"/>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sz w:val="20"/>
                <w:szCs w:val="20"/>
              </w:rPr>
              <w:t>-ого критерия оценки первого уровня.</w:t>
            </w:r>
          </w:p>
          <w:p>
            <w:pPr>
              <w:pStyle w:val="Style25"/>
              <w:widowControl w:val="false"/>
              <w:jc w:val="left"/>
              <w:rPr>
                <w:rFonts w:eastAsia="Calibri"/>
                <w:i/>
                <w:i/>
                <w:iCs/>
                <w:sz w:val="20"/>
                <w:szCs w:val="20"/>
              </w:rPr>
            </w:pPr>
            <w:r>
              <w:rPr>
                <w:rFonts w:eastAsia="Calibri"/>
                <w:i/>
                <w:iCs/>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1"/>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1"/>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40"/>
          <w:headerReference w:type="first" r:id="rId41"/>
          <w:footerReference w:type="default" r:id="rId42"/>
          <w:footerReference w:type="first" r:id="rId4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1"/>
        <w:rPr/>
      </w:pPr>
      <w:r>
        <w:rPr/>
        <w:t>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19"/>
        <w:rPr/>
      </w:pPr>
      <w:bookmarkStart w:id="413" w:name="__RefHeading___Toc192623_1558056896"/>
      <w:bookmarkStart w:id="414" w:name="_Ref125360420"/>
      <w:bookmarkStart w:id="415" w:name="_Toc186224183"/>
      <w:bookmarkStart w:id="416" w:name="Прил09_ОбоснованиеНМЦ"/>
      <w:bookmarkEnd w:id="413"/>
      <w:bookmarkEnd w:id="416"/>
      <w:r>
        <w:rPr/>
        <w:t>Приложение № 9 – Обоснование НМЦ</w:t>
      </w:r>
      <w:bookmarkEnd w:id="414"/>
      <w:bookmarkEnd w:id="415"/>
    </w:p>
    <w:p>
      <w:pPr>
        <w:pStyle w:val="Style20"/>
        <w:rPr/>
      </w:pPr>
      <w:bookmarkStart w:id="417" w:name="__RefHeading___Toc192625_1558056896"/>
      <w:bookmarkStart w:id="418" w:name="_Toc186224184"/>
      <w:bookmarkEnd w:id="417"/>
      <w:r>
        <w:rPr/>
        <w:t>Пояснения к Обоснованию НМЦ</w:t>
      </w:r>
      <w:bookmarkStart w:id="419" w:name="_Toc186224183_Копия_1"/>
      <w:bookmarkStart w:id="420" w:name="_Ref125360420_Копия_1"/>
      <w:bookmarkEnd w:id="418"/>
      <w:r>
        <w:rPr/>
        <w:t>Приложение № 9 – Обоснование НМЦ</w:t>
      </w:r>
      <w:bookmarkEnd w:id="419"/>
      <w:bookmarkEnd w:id="420"/>
    </w:p>
    <w:p>
      <w:pPr>
        <w:pStyle w:val="Style21"/>
        <w:rPr/>
      </w:pPr>
      <w:bookmarkStart w:id="421" w:name="__RefHeading___Toc192625_1558056896_Копи"/>
      <w:bookmarkStart w:id="422" w:name="_Toc186224184_Копия_1"/>
      <w:bookmarkEnd w:id="421"/>
      <w:r>
        <w:rPr/>
        <w:t>Пояснения к Обоснованию НМЦ</w:t>
      </w:r>
      <w:bookmarkEnd w:id="422"/>
    </w:p>
    <w:p>
      <w:pPr>
        <w:pStyle w:val="Style21"/>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19"/>
        <w:rPr/>
      </w:pPr>
      <w:bookmarkStart w:id="423" w:name="__RefHeading___Toc192627_1558056896"/>
      <w:bookmarkStart w:id="424" w:name="_Toc186224185"/>
      <w:bookmarkStart w:id="425" w:name="Прил10_ФормаЗаявкиНаАккредитацию"/>
      <w:bookmarkEnd w:id="423"/>
      <w:bookmarkEnd w:id="425"/>
      <w:r>
        <w:rPr/>
        <w:t>Приложение № 10 – Форма Заявки на аккредитацию</w:t>
      </w:r>
      <w:bookmarkEnd w:id="424"/>
    </w:p>
    <w:p>
      <w:pPr>
        <w:pStyle w:val="Style20"/>
        <w:rPr/>
      </w:pPr>
      <w:bookmarkStart w:id="426" w:name="__RefHeading___Toc192629_1558056896"/>
      <w:bookmarkStart w:id="427" w:name="_Toc186224186"/>
      <w:bookmarkEnd w:id="426"/>
      <w:r>
        <w:rPr/>
        <w:t>Пояснения к форме Заявки на аккредитацию</w:t>
      </w:r>
      <w:bookmarkEnd w:id="427"/>
    </w:p>
    <w:p>
      <w:pPr>
        <w:pStyle w:val="Style21"/>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5"/>
        <w:jc w:val="center"/>
        <w:rPr/>
      </w:pPr>
      <w:r>
        <w:rPr/>
        <w:object>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6.6pt;height:48.95pt;mso-wrap-distance-right:0pt" filled="f" o:ole="">
            <v:imagedata r:id="rId45" o:title=""/>
          </v:shape>
          <o:OLEObject Type="Embed" ProgID="Excel.Sheet.12" ShapeID="ole_rId44" DrawAspect="Icon" ObjectID="_1971347112" r:id="rId44"/>
        </w:object>
      </w:r>
    </w:p>
    <w:sectPr>
      <w:headerReference w:type="default" r:id="rId46"/>
      <w:headerReference w:type="first" r:id="rId47"/>
      <w:footerReference w:type="default" r:id="rId48"/>
      <w:footerReference w:type="first" r:id="rId4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3782214"/>
    </w:sdtPr>
    <w:sdtContent>
      <w:p>
        <w:pPr>
          <w:pStyle w:val="Footer"/>
          <w:spacing w:before="120" w:after="0"/>
          <w:rPr>
            <w:rStyle w:val="Style4"/>
            <w:rFonts w:eastAsia="Calibri"/>
          </w:rPr>
        </w:pPr>
        <w:r>
          <w:rPr/>
          <w:fldChar w:fldCharType="begin"/>
        </w:r>
        <w:r>
          <w:rPr/>
          <w:instrText xml:space="preserve"> PAGE </w:instrText>
        </w:r>
        <w:r>
          <w:rPr/>
          <w:fldChar w:fldCharType="separate"/>
        </w:r>
        <w:r>
          <w:rPr/>
          <w:t>14</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4563975"/>
    </w:sdtPr>
    <w:sdtContent>
      <w:p>
        <w:pPr>
          <w:pStyle w:val="Footer"/>
          <w:spacing w:before="120" w:after="0"/>
          <w:rPr/>
        </w:pPr>
        <w:r>
          <w:rPr/>
          <w:fldChar w:fldCharType="begin"/>
        </w:r>
        <w:r>
          <w:rPr/>
          <w:instrText xml:space="preserve"> PAGE </w:instrText>
        </w:r>
        <w:r>
          <w:rPr/>
          <w:fldChar w:fldCharType="separate"/>
        </w:r>
        <w:r>
          <w:rPr/>
          <w:t>53</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4823912"/>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59032706"/>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03025183"/>
    </w:sdtPr>
    <w:sdtContent>
      <w:p>
        <w:pPr>
          <w:pStyle w:val="Footer"/>
          <w:spacing w:before="120" w:after="0"/>
          <w:rPr/>
        </w:pPr>
        <w:r>
          <w:rPr/>
          <w:fldChar w:fldCharType="begin"/>
        </w:r>
        <w:r>
          <w:rPr/>
          <w:instrText xml:space="preserve"> PAGE </w:instrText>
        </w:r>
        <w:r>
          <w:rPr/>
          <w:fldChar w:fldCharType="separate"/>
        </w:r>
        <w:r>
          <w:rPr/>
          <w:t>67</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3601496"/>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23528257"/>
    </w:sdtPr>
    <w:sdtContent>
      <w:p>
        <w:pPr>
          <w:pStyle w:val="Footer"/>
          <w:spacing w:before="120" w:after="0"/>
          <w:rPr/>
        </w:pPr>
        <w:r>
          <w:rPr/>
          <w:fldChar w:fldCharType="begin"/>
        </w:r>
        <w:r>
          <w:rPr/>
          <w:instrText xml:space="preserve"> PAGE </w:instrText>
        </w:r>
        <w:r>
          <w:rPr/>
          <w:fldChar w:fldCharType="separate"/>
        </w:r>
        <w:r>
          <w:rPr/>
          <w:t>43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50712718"/>
    </w:sdtPr>
    <w:sdtContent>
      <w:p>
        <w:pPr>
          <w:pStyle w:val="Footer"/>
          <w:spacing w:before="120" w:after="0"/>
          <w:rPr/>
        </w:pPr>
        <w:r>
          <w:rPr/>
          <w:fldChar w:fldCharType="begin"/>
        </w:r>
        <w:r>
          <w:rPr/>
          <w:instrText xml:space="preserve"> PAGE </w:instrText>
        </w:r>
        <w:r>
          <w:rPr/>
          <w:fldChar w:fldCharType="separate"/>
        </w:r>
        <w:r>
          <w:rPr/>
          <w:t>48</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0473635"/>
    </w:sdtPr>
    <w:sdtContent>
      <w:p>
        <w:pPr>
          <w:pStyle w:val="Footer"/>
          <w:spacing w:before="120" w:after="0"/>
          <w:rPr/>
        </w:pPr>
        <w:r>
          <w:rPr/>
          <w:fldChar w:fldCharType="begin"/>
        </w:r>
        <w:r>
          <w:rPr/>
          <w:instrText xml:space="preserve"> PAGE </w:instrText>
        </w:r>
        <w:r>
          <w:rPr/>
          <w:fldChar w:fldCharType="separate"/>
        </w:r>
        <w:r>
          <w:rPr/>
          <w:t>49</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7"/>
        <w:spacing w:before="80" w:after="0"/>
        <w:ind w:left="567" w:hanging="567"/>
        <w:jc w:val="both"/>
        <w:rPr/>
      </w:pPr>
      <w:r>
        <w:rPr>
          <w:rStyle w:val="Style6"/>
        </w:rPr>
        <w:footnoteRef/>
      </w:r>
      <w:r>
        <w:rPr/>
        <w:tab/>
        <w:t>Определенные в соответствии с Законом 422-ФЗ.</w:t>
      </w:r>
    </w:p>
  </w:footnote>
  <w:footnote w:id="3">
    <w:p>
      <w:pPr>
        <w:pStyle w:val="Style27"/>
        <w:spacing w:before="80" w:after="0"/>
        <w:ind w:left="567" w:hanging="567"/>
        <w:jc w:val="both"/>
        <w:rPr/>
      </w:pPr>
      <w:r>
        <w:rPr>
          <w:rStyle w:val="Style6"/>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27"/>
        <w:spacing w:before="80" w:after="0"/>
        <w:ind w:left="567" w:hanging="567"/>
        <w:jc w:val="both"/>
        <w:rPr/>
      </w:pPr>
      <w:r>
        <w:rPr>
          <w:rStyle w:val="Style6"/>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27"/>
        <w:spacing w:before="80" w:after="0"/>
        <w:ind w:left="567" w:hanging="567"/>
        <w:jc w:val="both"/>
        <w:rPr/>
      </w:pPr>
      <w:r>
        <w:rPr>
          <w:rStyle w:val="Style6"/>
        </w:rPr>
        <w:footnoteRef/>
      </w:r>
      <w:r>
        <w:rPr/>
        <w:tab/>
        <w:t>С учетом пункта </w:t>
      </w:r>
      <w:r>
        <w:rPr/>
        <w:fldChar w:fldCharType="begin"/>
      </w:r>
      <w:r>
        <w:rPr/>
        <w:instrText xml:space="preserve"> REF __RefHeading___Toc179956_1558056896 \w \h </w:instrText>
      </w:r>
      <w:r>
        <w:rPr/>
        <w:fldChar w:fldCharType="separate"/>
      </w:r>
      <w:r>
        <w:rPr/>
        <w:t>4.14.5</w:t>
      </w:r>
      <w:r>
        <w:rPr/>
        <w:fldChar w:fldCharType="end"/>
      </w:r>
      <w:r>
        <w:rPr/>
        <w:t>.</w:t>
      </w:r>
    </w:p>
  </w:footnote>
  <w:footnote w:id="7">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6"/>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7"/>
        <w:spacing w:before="80" w:after="0"/>
        <w:ind w:left="567" w:hanging="567"/>
        <w:jc w:val="both"/>
        <w:rPr/>
      </w:pPr>
      <w:r>
        <w:rPr>
          <w:rStyle w:val="Style6"/>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7"/>
        <w:spacing w:before="80" w:after="0"/>
        <w:ind w:left="567" w:hanging="567"/>
        <w:jc w:val="both"/>
        <w:rPr/>
      </w:pPr>
      <w:r>
        <w:rPr>
          <w:rStyle w:val="Style6"/>
        </w:rPr>
        <w:footnoteRef/>
      </w:r>
      <w:r>
        <w:rPr/>
        <w:tab/>
        <w:t>https://minfin.gov.ru/ru/perfomance/tax_relations/policy/bankwarranty/</w:t>
      </w:r>
    </w:p>
  </w:footnote>
  <w:footnote w:id="12">
    <w:p>
      <w:pPr>
        <w:pStyle w:val="Style27"/>
        <w:spacing w:before="80" w:after="0"/>
        <w:ind w:left="567" w:hanging="567"/>
        <w:jc w:val="both"/>
        <w:rPr/>
      </w:pPr>
      <w:r>
        <w:rPr>
          <w:rStyle w:val="Style6"/>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3">
    <w:p>
      <w:pPr>
        <w:pStyle w:val="Style27"/>
        <w:spacing w:before="80" w:after="0"/>
        <w:ind w:left="567" w:hanging="567"/>
        <w:jc w:val="both"/>
        <w:rPr/>
      </w:pPr>
      <w:r>
        <w:rPr>
          <w:rStyle w:val="Style6"/>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4">
    <w:p>
      <w:pPr>
        <w:pStyle w:val="Style27"/>
        <w:widowControl w:val="false"/>
        <w:spacing w:before="80" w:after="0"/>
        <w:rPr/>
      </w:pPr>
      <w:r>
        <w:rPr>
          <w:rStyle w:val="Style6"/>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19"/>
      <w:numFmt w:val="decimal"/>
      <w:lvlText w:val="%1."/>
      <w:lvlJc w:val="left"/>
      <w:pPr>
        <w:tabs>
          <w:tab w:val="num" w:pos="1134"/>
        </w:tabs>
        <w:ind w:left="1134" w:hanging="1134"/>
      </w:pPr>
      <w:rPr/>
    </w:lvl>
    <w:lvl w:ilvl="1">
      <w:start w:val="1"/>
      <w:pStyle w:val="Style20"/>
      <w:numFmt w:val="decimal"/>
      <w:lvlText w:val="%1.%2"/>
      <w:lvlJc w:val="left"/>
      <w:pPr>
        <w:tabs>
          <w:tab w:val="num" w:pos="1134"/>
        </w:tabs>
        <w:ind w:left="1134" w:hanging="1134"/>
      </w:pPr>
      <w:rPr/>
    </w:lvl>
    <w:lvl w:ilvl="2">
      <w:start w:val="1"/>
      <w:pStyle w:val="Style21"/>
      <w:numFmt w:val="decimal"/>
      <w:lvlText w:val="%1.%2.%3"/>
      <w:lvlJc w:val="left"/>
      <w:pPr>
        <w:tabs>
          <w:tab w:val="num" w:pos="1134"/>
        </w:tabs>
        <w:ind w:left="1134" w:hanging="1134"/>
      </w:pPr>
      <w:rPr>
        <w:sz w:val="22"/>
      </w:rPr>
    </w:lvl>
    <w:lvl w:ilvl="3">
      <w:start w:val="1"/>
      <w:pStyle w:val="Style22"/>
      <w:numFmt w:val="russianLower"/>
      <w:lvlText w:val="%4)"/>
      <w:lvlJc w:val="left"/>
      <w:pPr>
        <w:tabs>
          <w:tab w:val="num" w:pos="1701"/>
        </w:tabs>
        <w:ind w:left="1701" w:hanging="567"/>
      </w:pPr>
      <w:rPr/>
    </w:lvl>
    <w:lvl w:ilvl="4">
      <w:start w:val="1"/>
      <w:pStyle w:val="Style23"/>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Symbo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5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20"/>
        <w:tab w:val="left" w:pos="1134" w:leader="none"/>
      </w:tabs>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20"/>
        <w:tab w:val="left" w:pos="2694" w:leader="none"/>
      </w:tabs>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Heading6">
    <w:name w:val="Heading 6"/>
    <w:basedOn w:val="Style17"/>
    <w:next w:val="BodyText"/>
    <w:qFormat/>
    <w:pPr>
      <w:numPr>
        <w:ilvl w:val="5"/>
      </w:numPr>
      <w:spacing w:before="60" w:after="60"/>
      <w:outlineLvl w:val="5"/>
    </w:pPr>
    <w:rPr>
      <w:b/>
      <w:bCs/>
      <w:i/>
      <w:iCs/>
      <w:sz w:val="24"/>
      <w:szCs w:val="24"/>
    </w:rPr>
  </w:style>
  <w:style w:type="paragraph" w:styleId="Heading7">
    <w:name w:val="Heading 7"/>
    <w:basedOn w:val="Style17"/>
    <w:next w:val="BodyText"/>
    <w:qFormat/>
    <w:pPr>
      <w:numPr>
        <w:ilvl w:val="6"/>
      </w:numPr>
      <w:spacing w:before="60" w:after="60"/>
      <w:outlineLvl w:val="6"/>
    </w:pPr>
    <w:rPr>
      <w:b/>
      <w:bCs/>
      <w:sz w:val="20"/>
      <w:szCs w:val="20"/>
    </w:rPr>
  </w:style>
  <w:style w:type="paragraph" w:styleId="Heading8">
    <w:name w:val="Heading 8"/>
    <w:basedOn w:val="Style17"/>
    <w:next w:val="BodyText"/>
    <w:qFormat/>
    <w:pPr>
      <w:numPr>
        <w:ilvl w:val="7"/>
      </w:numPr>
      <w:spacing w:before="60" w:after="60"/>
      <w:outlineLvl w:val="7"/>
    </w:pPr>
    <w:rPr>
      <w:b/>
      <w:bCs/>
      <w:i/>
      <w:iCs/>
      <w:sz w:val="20"/>
      <w:szCs w:val="20"/>
    </w:rPr>
  </w:style>
  <w:style w:type="paragraph" w:styleId="Heading9">
    <w:name w:val="Heading 9"/>
    <w:basedOn w:val="Style17"/>
    <w:next w:val="BodyText"/>
    <w:qFormat/>
    <w:pPr>
      <w:numPr>
        <w:ilvl w:val="8"/>
      </w:numPr>
      <w:spacing w:before="60" w:after="60"/>
      <w:outlineLvl w:val="8"/>
    </w:pPr>
    <w:rPr>
      <w:b/>
      <w:bCs/>
      <w:sz w:val="18"/>
      <w:szCs w:val="18"/>
    </w:rPr>
  </w:style>
  <w:style w:type="character" w:styleId="DefaultParagraphFont" w:default="1">
    <w:name w:val="Default Paragraph Font"/>
    <w:uiPriority w:val="1"/>
    <w:semiHidden/>
    <w:unhideWhenUsed/>
    <w:qFormat/>
    <w:rPr/>
  </w:style>
  <w:style w:type="character" w:styleId="Style2" w:customStyle="1">
    <w:name w:val="Верхний колонтитул Знак"/>
    <w:basedOn w:val="DefaultParagraphFont"/>
    <w:uiPriority w:val="99"/>
    <w:qFormat/>
    <w:rsid w:val="00c95e18"/>
    <w:rPr/>
  </w:style>
  <w:style w:type="character" w:styleId="Style3" w:customStyle="1">
    <w:name w:val="Нижний колонтитул Знак"/>
    <w:basedOn w:val="DefaultParagraphFont"/>
    <w:uiPriority w:val="99"/>
    <w:qFormat/>
    <w:rsid w:val="008364e8"/>
    <w:rPr/>
  </w:style>
  <w:style w:type="character" w:styleId="Style4" w:customStyle="1">
    <w:name w:val="[РГ] Инструкция для организатора"/>
    <w:basedOn w:val="DefaultParagraphFont"/>
    <w:uiPriority w:val="1"/>
    <w:qFormat/>
    <w:rsid w:val="00277346"/>
    <w:rPr>
      <w:i/>
      <w:iCs/>
      <w:shd w:fill="FFFF99" w:val="clear"/>
      <w:lang w:val="ru-RU"/>
    </w:rPr>
  </w:style>
  <w:style w:type="character" w:styleId="Style5" w:customStyle="1">
    <w:name w:val="Текст сноски Знак"/>
    <w:basedOn w:val="DefaultParagraphFont"/>
    <w:uiPriority w:val="99"/>
    <w:semiHidden/>
    <w:qFormat/>
    <w:rsid w:val="006608d1"/>
    <w:rPr>
      <w:sz w:val="20"/>
      <w:szCs w:val="20"/>
    </w:rPr>
  </w:style>
  <w:style w:type="character" w:styleId="Style6"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7"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qFormat/>
    <w:rPr>
      <w:sz w:val="16"/>
      <w:szCs w:val="16"/>
    </w:rPr>
  </w:style>
  <w:style w:type="character" w:styleId="Style8" w:customStyle="1">
    <w:name w:val="Текст примечания Знак"/>
    <w:basedOn w:val="DefaultParagraphFont"/>
    <w:link w:val="Annotationtext"/>
    <w:uiPriority w:val="99"/>
    <w:qFormat/>
    <w:rsid w:val="007e365e"/>
    <w:rPr>
      <w:sz w:val="20"/>
      <w:szCs w:val="20"/>
    </w:rPr>
  </w:style>
  <w:style w:type="character" w:styleId="Style9" w:customStyle="1">
    <w:name w:val="Тема примечания Знак"/>
    <w:basedOn w:val="Style8"/>
    <w:link w:val="Annotationsubject"/>
    <w:uiPriority w:val="99"/>
    <w:semiHidden/>
    <w:qFormat/>
    <w:rsid w:val="007e365e"/>
    <w:rPr>
      <w:b/>
      <w:bCs/>
      <w:sz w:val="20"/>
      <w:szCs w:val="20"/>
    </w:rPr>
  </w:style>
  <w:style w:type="character" w:styleId="Style10"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29"/>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1" w:customStyle="1">
    <w:name w:val="Ссылка указателя"/>
    <w:qFormat/>
    <w:rPr/>
  </w:style>
  <w:style w:type="character" w:styleId="Style12" w:customStyle="1">
    <w:name w:val="комментарий"/>
    <w:qFormat/>
    <w:rPr>
      <w:b/>
      <w:i/>
      <w:shd w:fill="FFFF99" w:val="clear"/>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WWCharLFO2LVL1" w:customStyle="1">
    <w:name w:val="WW_CharLFO2LVL1"/>
    <w:qFormat/>
    <w:rPr>
      <w:rFonts w:ascii="OpenSymbol" w:hAnsi="OpenSymbol" w:eastAsia="OpenSymbol" w:cs="OpenSymbol"/>
    </w:rPr>
  </w:style>
  <w:style w:type="character" w:styleId="WWCharLFO2LVL2" w:customStyle="1">
    <w:name w:val="WW_CharLFO2LVL2"/>
    <w:qFormat/>
    <w:rPr>
      <w:rFonts w:ascii="OpenSymbol" w:hAnsi="OpenSymbol" w:eastAsia="OpenSymbol" w:cs="OpenSymbol"/>
    </w:rPr>
  </w:style>
  <w:style w:type="character" w:styleId="WWCharLFO2LVL3" w:customStyle="1">
    <w:name w:val="WW_CharLFO2LVL3"/>
    <w:qFormat/>
    <w:rPr>
      <w:rFonts w:ascii="OpenSymbol" w:hAnsi="OpenSymbol" w:eastAsia="OpenSymbol" w:cs="OpenSymbol"/>
    </w:rPr>
  </w:style>
  <w:style w:type="character" w:styleId="WWCharLFO2LVL4" w:customStyle="1">
    <w:name w:val="WW_CharLFO2LVL4"/>
    <w:qFormat/>
    <w:rPr>
      <w:rFonts w:ascii="OpenSymbol" w:hAnsi="OpenSymbol" w:eastAsia="OpenSymbol" w:cs="OpenSymbol"/>
    </w:rPr>
  </w:style>
  <w:style w:type="character" w:styleId="WWCharLFO2LVL5" w:customStyle="1">
    <w:name w:val="WW_CharLFO2LVL5"/>
    <w:qFormat/>
    <w:rPr>
      <w:rFonts w:ascii="OpenSymbol" w:hAnsi="OpenSymbol" w:eastAsia="OpenSymbol" w:cs="OpenSymbol"/>
    </w:rPr>
  </w:style>
  <w:style w:type="character" w:styleId="WWCharLFO2LVL6" w:customStyle="1">
    <w:name w:val="WW_CharLFO2LVL6"/>
    <w:qFormat/>
    <w:rPr>
      <w:rFonts w:ascii="OpenSymbol" w:hAnsi="OpenSymbol" w:eastAsia="OpenSymbol" w:cs="OpenSymbol"/>
    </w:rPr>
  </w:style>
  <w:style w:type="character" w:styleId="WWCharLFO2LVL7" w:customStyle="1">
    <w:name w:val="WW_CharLFO2LVL7"/>
    <w:qFormat/>
    <w:rPr>
      <w:rFonts w:ascii="OpenSymbol" w:hAnsi="OpenSymbol" w:eastAsia="OpenSymbol" w:cs="OpenSymbol"/>
    </w:rPr>
  </w:style>
  <w:style w:type="character" w:styleId="WWCharLFO2LVL8" w:customStyle="1">
    <w:name w:val="WW_CharLFO2LVL8"/>
    <w:qFormat/>
    <w:rPr>
      <w:rFonts w:ascii="OpenSymbol" w:hAnsi="OpenSymbol" w:eastAsia="OpenSymbol" w:cs="OpenSymbol"/>
    </w:rPr>
  </w:style>
  <w:style w:type="character" w:styleId="WWCharLFO2LVL9" w:customStyle="1">
    <w:name w:val="WW_CharLFO2LVL9"/>
    <w:qFormat/>
    <w:rPr>
      <w:rFonts w:ascii="OpenSymbol" w:hAnsi="OpenSymbol" w:eastAsia="OpenSymbol" w:cs="OpenSymbol"/>
    </w:rPr>
  </w:style>
  <w:style w:type="character" w:styleId="FootnoteReference1" w:customStyle="1">
    <w:name w:val="Footnote Reference1"/>
    <w:basedOn w:val="DefaultParagraphFont"/>
    <w:qFormat/>
    <w:rPr>
      <w:vertAlign w:val="superscript"/>
    </w:rPr>
  </w:style>
  <w:style w:type="character" w:styleId="WWCharLFO3LVL1" w:customStyle="1">
    <w:name w:val="WW_CharLFO3LVL1"/>
    <w:qFormat/>
    <w:rPr>
      <w:rFonts w:ascii="OpenSymbol" w:hAnsi="OpenSymbol" w:eastAsia="OpenSymbol" w:cs="OpenSymbol"/>
    </w:rPr>
  </w:style>
  <w:style w:type="character" w:styleId="WWCharLFO3LVL2" w:customStyle="1">
    <w:name w:val="WW_CharLFO3LVL2"/>
    <w:qFormat/>
    <w:rPr>
      <w:rFonts w:ascii="OpenSymbol" w:hAnsi="OpenSymbol" w:eastAsia="OpenSymbol" w:cs="OpenSymbol"/>
    </w:rPr>
  </w:style>
  <w:style w:type="character" w:styleId="WWCharLFO3LVL3" w:customStyle="1">
    <w:name w:val="WW_CharLFO3LVL3"/>
    <w:qFormat/>
    <w:rPr>
      <w:rFonts w:ascii="OpenSymbol" w:hAnsi="OpenSymbol" w:eastAsia="OpenSymbol" w:cs="OpenSymbol"/>
    </w:rPr>
  </w:style>
  <w:style w:type="character" w:styleId="WWCharLFO3LVL4" w:customStyle="1">
    <w:name w:val="WW_CharLFO3LVL4"/>
    <w:qFormat/>
    <w:rPr>
      <w:rFonts w:ascii="OpenSymbol" w:hAnsi="OpenSymbol" w:eastAsia="OpenSymbol" w:cs="OpenSymbol"/>
    </w:rPr>
  </w:style>
  <w:style w:type="character" w:styleId="WWCharLFO3LVL5" w:customStyle="1">
    <w:name w:val="WW_CharLFO3LVL5"/>
    <w:qFormat/>
    <w:rPr>
      <w:rFonts w:ascii="OpenSymbol" w:hAnsi="OpenSymbol" w:eastAsia="OpenSymbol" w:cs="OpenSymbol"/>
    </w:rPr>
  </w:style>
  <w:style w:type="character" w:styleId="WWCharLFO3LVL6" w:customStyle="1">
    <w:name w:val="WW_CharLFO3LVL6"/>
    <w:qFormat/>
    <w:rPr>
      <w:rFonts w:ascii="OpenSymbol" w:hAnsi="OpenSymbol" w:eastAsia="OpenSymbol" w:cs="OpenSymbol"/>
    </w:rPr>
  </w:style>
  <w:style w:type="character" w:styleId="WWCharLFO3LVL7" w:customStyle="1">
    <w:name w:val="WW_CharLFO3LVL7"/>
    <w:qFormat/>
    <w:rPr>
      <w:rFonts w:ascii="OpenSymbol" w:hAnsi="OpenSymbol" w:eastAsia="OpenSymbol" w:cs="OpenSymbol"/>
    </w:rPr>
  </w:style>
  <w:style w:type="character" w:styleId="WWCharLFO3LVL8" w:customStyle="1">
    <w:name w:val="WW_CharLFO3LVL8"/>
    <w:qFormat/>
    <w:rPr>
      <w:rFonts w:ascii="OpenSymbol" w:hAnsi="OpenSymbol" w:eastAsia="OpenSymbol" w:cs="OpenSymbol"/>
    </w:rPr>
  </w:style>
  <w:style w:type="character" w:styleId="WWCharLFO3LVL9" w:customStyle="1">
    <w:name w:val="WW_CharLFO3LVL9"/>
    <w:qFormat/>
    <w:rPr>
      <w:rFonts w:ascii="OpenSymbol" w:hAnsi="OpenSymbol" w:eastAsia="OpenSymbol" w:cs="OpenSymbol"/>
    </w:rPr>
  </w:style>
  <w:style w:type="character" w:styleId="Linenumber">
    <w:name w:val="line number"/>
    <w:qFormat/>
    <w:rPr/>
  </w:style>
  <w:style w:type="character" w:styleId="Style14">
    <w:name w:val="Маркеры"/>
    <w:qFormat/>
    <w:rPr>
      <w:rFonts w:ascii="OpenSymbol" w:hAnsi="OpenSymbol" w:eastAsia="OpenSymbol" w:cs="OpenSymbol"/>
    </w:rPr>
  </w:style>
  <w:style w:type="character" w:styleId="Style15">
    <w:name w:val="Основной шрифт абзаца"/>
    <w:qFormat/>
    <w:rPr/>
  </w:style>
  <w:style w:type="character" w:styleId="Style16">
    <w:name w:val="Знак примечания"/>
    <w:basedOn w:val="Style15"/>
    <w:qFormat/>
    <w:rPr>
      <w:sz w:val="16"/>
      <w:szCs w:val="16"/>
    </w:rPr>
  </w:style>
  <w:style w:type="paragraph" w:styleId="Style17">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19" w:customStyle="1">
    <w:name w:val="[РГ] Раздел"/>
    <w:basedOn w:val="Normal"/>
    <w:next w:val="Style20"/>
    <w:qFormat/>
    <w:rsid w:val="00c95e18"/>
    <w:pPr>
      <w:keepNext w:val="true"/>
      <w:pageBreakBefore/>
      <w:numPr>
        <w:ilvl w:val="0"/>
        <w:numId w:val="1"/>
      </w:numPr>
      <w:spacing w:before="0" w:after="360"/>
      <w:jc w:val="both"/>
      <w:outlineLvl w:val="0"/>
    </w:pPr>
    <w:rPr>
      <w:b/>
      <w:bCs/>
      <w:caps/>
    </w:rPr>
  </w:style>
  <w:style w:type="paragraph" w:styleId="Style20" w:customStyle="1">
    <w:name w:val="[РГ] Подраздел"/>
    <w:basedOn w:val="Normal"/>
    <w:next w:val="Style21"/>
    <w:qFormat/>
    <w:rsid w:val="00891546"/>
    <w:pPr>
      <w:keepNext w:val="true"/>
      <w:numPr>
        <w:ilvl w:val="1"/>
        <w:numId w:val="1"/>
      </w:numPr>
      <w:spacing w:before="360" w:after="0"/>
      <w:jc w:val="both"/>
      <w:outlineLvl w:val="1"/>
    </w:pPr>
    <w:rPr>
      <w:b/>
      <w:bCs/>
    </w:rPr>
  </w:style>
  <w:style w:type="paragraph" w:styleId="Style21" w:customStyle="1">
    <w:name w:val="[РГ] Пункт"/>
    <w:basedOn w:val="Normal"/>
    <w:qFormat/>
    <w:rsid w:val="00891546"/>
    <w:pPr>
      <w:numPr>
        <w:ilvl w:val="2"/>
        <w:numId w:val="1"/>
      </w:numPr>
      <w:jc w:val="both"/>
      <w:outlineLvl w:val="2"/>
    </w:pPr>
    <w:rPr/>
  </w:style>
  <w:style w:type="paragraph" w:styleId="Style22" w:customStyle="1">
    <w:name w:val="[РГ] Подпункт"/>
    <w:basedOn w:val="Normal"/>
    <w:qFormat/>
    <w:rsid w:val="00891546"/>
    <w:pPr>
      <w:numPr>
        <w:ilvl w:val="3"/>
        <w:numId w:val="1"/>
      </w:numPr>
      <w:jc w:val="both"/>
      <w:outlineLvl w:val="3"/>
    </w:pPr>
    <w:rPr/>
  </w:style>
  <w:style w:type="paragraph" w:styleId="Style23" w:customStyle="1">
    <w:name w:val="[РГ] Перечисление"/>
    <w:basedOn w:val="Normal"/>
    <w:qFormat/>
    <w:rsid w:val="00891546"/>
    <w:pPr>
      <w:numPr>
        <w:ilvl w:val="4"/>
        <w:numId w:val="1"/>
      </w:numPr>
      <w:jc w:val="both"/>
      <w:outlineLvl w:val="4"/>
    </w:pPr>
    <w:rPr/>
  </w:style>
  <w:style w:type="paragraph" w:styleId="Style24" w:customStyle="1">
    <w:name w:val="[РГ] Заголовок"/>
    <w:basedOn w:val="Normal"/>
    <w:next w:val="Style25"/>
    <w:qFormat/>
    <w:rsid w:val="00f87384"/>
    <w:pPr>
      <w:keepNext w:val="true"/>
      <w:pageBreakBefore/>
      <w:spacing w:before="0" w:after="360"/>
      <w:jc w:val="both"/>
    </w:pPr>
    <w:rPr>
      <w:b/>
      <w:bCs/>
      <w:caps/>
    </w:rPr>
  </w:style>
  <w:style w:type="paragraph" w:styleId="Style25" w:customStyle="1">
    <w:name w:val="[РГ] Текст"/>
    <w:basedOn w:val="Normal"/>
    <w:qFormat/>
    <w:rsid w:val="00891546"/>
    <w:pPr>
      <w:jc w:val="both"/>
    </w:pPr>
    <w:rPr/>
  </w:style>
  <w:style w:type="paragraph" w:styleId="Style26" w:customStyle="1">
    <w:name w:val="Колонтитул"/>
    <w:basedOn w:val="Normal"/>
    <w:qFormat/>
    <w:pPr/>
    <w:rPr/>
  </w:style>
  <w:style w:type="paragraph" w:styleId="Header">
    <w:name w:val="Header"/>
    <w:basedOn w:val="Normal"/>
    <w:link w:val="Style2"/>
    <w:uiPriority w:val="99"/>
    <w:unhideWhenUsed/>
    <w:rsid w:val="00c95e18"/>
    <w:pPr>
      <w:spacing w:before="0" w:after="120"/>
      <w:jc w:val="center"/>
    </w:pPr>
    <w:rPr/>
  </w:style>
  <w:style w:type="paragraph" w:styleId="Footer">
    <w:name w:val="Footer"/>
    <w:basedOn w:val="Normal"/>
    <w:link w:val="Style3"/>
    <w:unhideWhenUsed/>
    <w:rsid w:val="008364e8"/>
    <w:pPr>
      <w:jc w:val="right"/>
    </w:pPr>
    <w:rPr/>
  </w:style>
  <w:style w:type="paragraph" w:styleId="FootnoteText">
    <w:name w:val="Footnote Text"/>
    <w:basedOn w:val="Normal"/>
    <w:link w:val="Style5"/>
    <w:uiPriority w:val="99"/>
    <w:semiHidden/>
    <w:unhideWhenUsed/>
    <w:rsid w:val="006608d1"/>
    <w:pPr>
      <w:spacing w:before="0" w:after="0"/>
    </w:pPr>
    <w:rPr>
      <w:sz w:val="20"/>
      <w:szCs w:val="20"/>
    </w:rPr>
  </w:style>
  <w:style w:type="paragraph" w:styleId="Style27"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8"/>
    <w:uiPriority w:val="99"/>
    <w:unhideWhenUsed/>
    <w:qFormat/>
    <w:rsid w:val="007e365e"/>
    <w:pPr/>
    <w:rPr>
      <w:sz w:val="20"/>
      <w:szCs w:val="20"/>
    </w:rPr>
  </w:style>
  <w:style w:type="paragraph" w:styleId="Annotationsubject">
    <w:name w:val="annotation subject"/>
    <w:basedOn w:val="Annotationtext"/>
    <w:next w:val="Annotationtext"/>
    <w:link w:val="Style9"/>
    <w:uiPriority w:val="99"/>
    <w:semiHidden/>
    <w:unhideWhenUsed/>
    <w:qFormat/>
    <w:rsid w:val="007e365e"/>
    <w:pPr/>
    <w:rPr>
      <w:b/>
      <w:bCs/>
    </w:rPr>
  </w:style>
  <w:style w:type="paragraph" w:styleId="Style28" w:customStyle="1">
    <w:name w:val="[РГ] Альтернатива / Дополнение"/>
    <w:basedOn w:val="Style25"/>
    <w:next w:val="Style25"/>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29" w:customStyle="1">
    <w:name w:val="Пункт"/>
    <w:basedOn w:val="Normal"/>
    <w:link w:val="2"/>
    <w:qFormat/>
    <w:rsid w:val="00493761"/>
    <w:pPr>
      <w:numPr>
        <w:ilvl w:val="2"/>
        <w:numId w:val="9"/>
      </w:numPr>
      <w:jc w:val="both"/>
    </w:pPr>
    <w:rPr>
      <w:rFonts w:eastAsia="Times New Roman" w:cs="Times New Roman"/>
      <w:szCs w:val="26"/>
      <w:lang w:eastAsia="ru-RU"/>
    </w:rPr>
  </w:style>
  <w:style w:type="paragraph" w:styleId="Style30" w:customStyle="1">
    <w:name w:val="Подпункт"/>
    <w:basedOn w:val="Style29"/>
    <w:qFormat/>
    <w:rsid w:val="00493761"/>
    <w:pPr>
      <w:numPr>
        <w:ilvl w:val="3"/>
      </w:numPr>
      <w:ind w:left="2880" w:hanging="360"/>
    </w:pPr>
    <w:rPr/>
  </w:style>
  <w:style w:type="paragraph" w:styleId="Style31" w:customStyle="1">
    <w:name w:val="Подподпункт"/>
    <w:basedOn w:val="Style30"/>
    <w:qFormat/>
    <w:rsid w:val="00493761"/>
    <w:pPr>
      <w:numPr>
        <w:ilvl w:val="4"/>
      </w:numPr>
      <w:ind w:left="3600" w:hanging="360"/>
    </w:pPr>
    <w:rPr/>
  </w:style>
  <w:style w:type="paragraph" w:styleId="Style32" w:customStyle="1">
    <w:name w:val="Содержимое таблицы"/>
    <w:basedOn w:val="Normal"/>
    <w:qFormat/>
    <w:pPr>
      <w:widowControl w:val="false"/>
      <w:suppressLineNumbers/>
    </w:pPr>
    <w:rPr/>
  </w:style>
  <w:style w:type="paragraph" w:styleId="Style33" w:customStyle="1">
    <w:name w:val="Заголовок таблицы"/>
    <w:basedOn w:val="Style32"/>
    <w:qFormat/>
    <w:pPr>
      <w:jc w:val="center"/>
    </w:pPr>
    <w:rPr>
      <w:b/>
      <w:bCs/>
    </w:rPr>
  </w:style>
  <w:style w:type="paragraph" w:styleId="Tableheader" w:customStyle="1">
    <w:name w:val="Table_header"/>
    <w:basedOn w:val="Normal"/>
    <w:qFormat/>
    <w:pPr/>
    <w:rPr>
      <w:b/>
      <w:sz w:val="20"/>
      <w:szCs w:val="24"/>
    </w:rPr>
  </w:style>
  <w:style w:type="paragraph" w:styleId="-" w:customStyle="1">
    <w:name w:val="УРОВЕНЬ_-"/>
    <w:qFormat/>
    <w:pPr>
      <w:widowControl/>
      <w:numPr>
        <w:ilvl w:val="4"/>
      </w:numPr>
      <w:suppressAutoHyphens w:val="true"/>
      <w:bidi w:val="0"/>
      <w:spacing w:lineRule="exact" w:line="360" w:before="0" w:after="0"/>
      <w:ind w:left="720" w:hanging="0"/>
      <w:jc w:val="both"/>
      <w:outlineLvl w:val="4"/>
    </w:pPr>
    <w:rPr>
      <w:rFonts w:ascii="Calibri" w:hAnsi="Calibri" w:eastAsia="Calibri" w:cs="Calibri" w:eastAsiaTheme="minorHAnsi"/>
      <w:color w:val="auto"/>
      <w:kern w:val="0"/>
      <w:sz w:val="26"/>
      <w:szCs w:val="28"/>
      <w:lang w:val="ru-RU" w:eastAsia="en-US" w:bidi="ar-SA"/>
    </w:rPr>
  </w:style>
  <w:style w:type="paragraph" w:styleId="22" w:customStyle="1">
    <w:name w:val="УРОВЕНЬ_Абзац_тип2"/>
    <w:qFormat/>
    <w:pPr>
      <w:widowControl/>
      <w:suppressAutoHyphens w:val="true"/>
      <w:bidi w:val="0"/>
      <w:spacing w:lineRule="exact" w:line="360" w:before="0" w:after="0"/>
      <w:ind w:left="720" w:hanging="0"/>
      <w:jc w:val="both"/>
    </w:pPr>
    <w:rPr>
      <w:rFonts w:ascii="Calibri" w:hAnsi="Calibri" w:eastAsia="Calibri" w:cs="Calibri" w:eastAsiaTheme="minorHAnsi"/>
      <w:color w:val="auto"/>
      <w:kern w:val="0"/>
      <w:sz w:val="26"/>
      <w:szCs w:val="28"/>
      <w:lang w:val="ru-RU" w:eastAsia="en-US" w:bidi="ar-SA"/>
    </w:rPr>
  </w:style>
  <w:style w:type="paragraph" w:styleId="EndnoteText">
    <w:name w:val="Endnote Text"/>
    <w:basedOn w:val="Normal"/>
    <w:pPr>
      <w:suppressLineNumbers/>
      <w:ind w:left="340" w:hanging="340"/>
    </w:pPr>
    <w:rPr>
      <w:sz w:val="20"/>
      <w:szCs w:val="20"/>
    </w:rPr>
  </w:style>
  <w:style w:type="paragraph" w:styleId="31" w:customStyle="1">
    <w:name w:val="УРОВЕНЬ_Абзац_тип3"/>
    <w:basedOn w:val="ListParagraph"/>
    <w:qFormat/>
    <w:pPr>
      <w:numPr>
        <w:ilvl w:val="7"/>
        <w:numId w:val="4"/>
      </w:numPr>
      <w:spacing w:lineRule="exact" w:line="360" w:before="120" w:after="0"/>
      <w:contextualSpacing w:val="false"/>
      <w:jc w:val="both"/>
    </w:pPr>
    <w:rPr>
      <w:rFonts w:cs="Times New Roman"/>
      <w:szCs w:val="28"/>
    </w:rPr>
  </w:style>
  <w:style w:type="paragraph" w:styleId="Style34" w:customStyle="1">
    <w:name w:val="[РусГидро] Пункт"/>
    <w:basedOn w:val="ListParagraph"/>
    <w:qFormat/>
    <w:pPr>
      <w:numPr>
        <w:ilvl w:val="2"/>
        <w:numId w:val="15"/>
      </w:numPr>
      <w:tabs>
        <w:tab w:val="clear" w:pos="720"/>
        <w:tab w:val="left" w:pos="360" w:leader="none"/>
      </w:tabs>
      <w:spacing w:before="120" w:after="0"/>
      <w:ind w:left="720" w:hanging="0"/>
      <w:contextualSpacing w:val="false"/>
      <w:jc w:val="both"/>
      <w:outlineLvl w:val="2"/>
    </w:pPr>
    <w:rPr>
      <w:rFonts w:cs="Times New Roman"/>
      <w:szCs w:val="26"/>
    </w:rPr>
  </w:style>
  <w:style w:type="paragraph" w:styleId="10">
    <w:name w:val="Заголовок 10"/>
    <w:basedOn w:val="Style17"/>
    <w:next w:val="BodyText"/>
    <w:qFormat/>
    <w:pPr>
      <w:numPr>
        <w:ilvl w:val="8"/>
        <w:numId w:val="1"/>
      </w:numPr>
      <w:spacing w:before="60" w:after="60"/>
      <w:outlineLvl w:val="8"/>
    </w:pPr>
    <w:rPr>
      <w:b/>
      <w:bCs/>
      <w:sz w:val="18"/>
      <w:szCs w:val="18"/>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WenQuanYi Zen Hei Sharp" w:cs="Lohit Devanagari"/>
      <w:color w:val="auto"/>
      <w:kern w:val="2"/>
      <w:sz w:val="24"/>
      <w:szCs w:val="24"/>
      <w:lang w:val="ru-RU" w:eastAsia="zh-CN" w:bidi="hi-IN"/>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numbering" w:styleId="6938797701" w:customStyle="1">
    <w:name w:val="6938797701"/>
    <w:qFormat/>
  </w:style>
  <w:style w:type="numbering" w:styleId="30817502151" w:customStyle="1">
    <w:name w:val="30817502151"/>
    <w:qFormat/>
  </w:style>
  <w:style w:type="numbering" w:styleId="32855852261">
    <w:name w:val="32855852261"/>
    <w:qFormat/>
  </w:style>
  <w:style w:type="table" w:default="1" w:styleId="aa">
    <w:name w:val="Normal Table"/>
    <w:uiPriority w:val="99"/>
    <w:semiHidden/>
    <w:unhideWhenUsed/>
    <w:tblPr>
      <w:tblCellMar>
        <w:top w:w="0" w:type="dxa"/>
        <w:left w:w="108" w:type="dxa"/>
        <w:bottom w:w="0" w:type="dxa"/>
        <w:right w:w="108" w:type="dxa"/>
      </w:tblCellMar>
    </w:tblPr>
  </w:style>
  <w:style w:type="table" w:customStyle="1" w:styleId="afff3">
    <w:name w:val="[РГ] Таблица"/>
    <w:basedOn w:val="aa"/>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4">
    <w:name w:val="Table Grid"/>
    <w:basedOn w:val="aa"/>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yperlink" Target="https://tender.lot-online.ru/app/EtpDocList/page" TargetMode="External"/><Relationship Id="rId5" Type="http://schemas.openxmlformats.org/officeDocument/2006/relationships/hyperlink" Target="mailto:sherbakova-tv@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yperlink" Target="https://reestr.nostroy.ru/sro/all/member/list)" TargetMode="Externa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package" Target="embeddings/oleObject2.docx"/><Relationship Id="rId28" Type="http://schemas.openxmlformats.org/officeDocument/2006/relationships/image" Target="media/image3.wmf"/><Relationship Id="rId29" Type="http://schemas.openxmlformats.org/officeDocument/2006/relationships/package" Target="embeddings/oleObject3.docx"/><Relationship Id="rId30" Type="http://schemas.openxmlformats.org/officeDocument/2006/relationships/image" Target="media/image4.wmf"/><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footer" Target="footer13.xml"/><Relationship Id="rId39" Type="http://schemas.openxmlformats.org/officeDocument/2006/relationships/image" Target="media/image5.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package" Target="embeddings/oleObject4.xlsx"/><Relationship Id="rId45" Type="http://schemas.openxmlformats.org/officeDocument/2006/relationships/image" Target="media/image6.wmf"/><Relationship Id="rId46" Type="http://schemas.openxmlformats.org/officeDocument/2006/relationships/header" Target="header16.xml"/><Relationship Id="rId47" Type="http://schemas.openxmlformats.org/officeDocument/2006/relationships/header" Target="header17.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notes" Target="footnotes.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EE96-80AB-4D67-8500-E8BE396C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Application>AlterOffice/3.3.1.3$Linux_X86_64 LibreOffice_project/90d829a0d92d6015ad4fa014ce4f460a7fe6c0ba</Application>
  <AppVersion>15.0000</AppVersion>
  <Pages>67</Pages>
  <Words>18248</Words>
  <Characters>126431</Characters>
  <CharactersWithSpaces>141405</CharactersWithSpaces>
  <Paragraphs>1085</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scherbakova_tv</cp:lastModifiedBy>
  <cp:lastPrinted>2026-07-07T08:07:35Z</cp:lastPrinted>
  <dcterms:modified xsi:type="dcterms:W3CDTF">2026-07-20T14:14:51Z</dcterms:modified>
  <cp:revision>212</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