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styles.xml" ContentType="application/vnd.openxmlformats-officedocument.wordprocessingml.styles+xml"/>
  <Override PartName="/word/header9.xml" ContentType="application/vnd.openxmlformats-officedocument.wordprocessingml.header+xml"/>
  <Override PartName="/word/media/image5.wmf" ContentType="image/x-wmf"/>
  <Override PartName="/word/media/image2.wmf" ContentType="image/x-wmf"/>
  <Override PartName="/word/media/image3.wmf" ContentType="image/x-wmf"/>
  <Override PartName="/word/media/image4.wmf" ContentType="image/x-wmf"/>
  <Override PartName="/word/media/image1.png" ContentType="image/png"/>
  <Override PartName="/word/footer4.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footer7.xml" ContentType="application/vnd.openxmlformats-officedocument.wordprocessingml.footer+xml"/>
  <Override PartName="/word/header15.xml" ContentType="application/vnd.openxmlformats-officedocument.wordprocessingml.header+xml"/>
  <Override PartName="/word/header2.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footer1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header7.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left="0" w:right="0" w:hanging="0"/>
        <w:jc w:val="center"/>
        <w:rPr>
          <w:b/>
          <w:szCs w:val="28"/>
        </w:rPr>
      </w:pPr>
      <w:r>
        <w:rPr/>
        <w:drawing>
          <wp:inline distT="0" distB="0" distL="0" distR="0">
            <wp:extent cx="1536700" cy="5588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536700" cy="558800"/>
                    </a:xfrm>
                    <a:prstGeom prst="rect">
                      <a:avLst/>
                    </a:prstGeom>
                  </pic:spPr>
                </pic:pic>
              </a:graphicData>
            </a:graphic>
          </wp:inline>
        </w:drawing>
      </w:r>
    </w:p>
    <w:p>
      <w:pPr>
        <w:pStyle w:val="Normal"/>
        <w:spacing w:before="0" w:after="0"/>
        <w:jc w:val="center"/>
        <w:rPr>
          <w:b/>
          <w:sz w:val="28"/>
          <w:szCs w:val="28"/>
        </w:rPr>
      </w:pPr>
      <w:r>
        <w:rPr>
          <w:b/>
          <w:bCs/>
          <w:sz w:val="28"/>
          <w:szCs w:val="28"/>
        </w:rPr>
        <w:t>Акционерное Общество</w:t>
      </w:r>
    </w:p>
    <w:p>
      <w:pPr>
        <w:pStyle w:val="Normal"/>
        <w:spacing w:before="0" w:after="0"/>
        <w:jc w:val="center"/>
        <w:rPr>
          <w:b/>
          <w:sz w:val="28"/>
          <w:szCs w:val="28"/>
        </w:rPr>
      </w:pPr>
      <w:r>
        <w:rPr>
          <w:b/>
          <w:sz w:val="28"/>
          <w:szCs w:val="28"/>
        </w:rPr>
        <w:t xml:space="preserve">«Дальневосточная распределительная сетевая </w:t>
      </w:r>
      <w:r>
        <w:rPr>
          <w:sz w:val="28"/>
          <w:szCs w:val="28"/>
        </w:rPr>
        <w:t xml:space="preserve"> </w:t>
      </w:r>
      <w:r>
        <w:rPr>
          <w:b/>
          <w:sz w:val="28"/>
          <w:szCs w:val="28"/>
        </w:rPr>
        <w:t>компания</w:t>
      </w:r>
    </w:p>
    <w:p>
      <w:pPr>
        <w:pStyle w:val="Normal"/>
        <w:ind w:left="4395" w:firstLine="1134"/>
        <w:rPr>
          <w:szCs w:val="28"/>
        </w:rPr>
      </w:pPr>
      <w:r>
        <w:rPr>
          <w:szCs w:val="28"/>
        </w:rPr>
      </w:r>
    </w:p>
    <w:p>
      <w:pPr>
        <w:pStyle w:val="Normal"/>
        <w:ind w:left="5529" w:hanging="0"/>
        <w:rPr/>
      </w:pPr>
      <w:r>
        <w:rPr/>
        <w:t>«УТВЕРЖДАЮ»</w:t>
      </w:r>
    </w:p>
    <w:p>
      <w:pPr>
        <w:pStyle w:val="Normal"/>
        <w:ind w:left="5529" w:hanging="0"/>
        <w:rPr/>
      </w:pPr>
      <w:r>
        <w:rPr/>
        <w:t>Зам. председателя закупочной комиссии</w:t>
      </w:r>
    </w:p>
    <w:p>
      <w:pPr>
        <w:pStyle w:val="Normal"/>
        <w:ind w:left="5529" w:hanging="0"/>
        <w:rPr/>
      </w:pPr>
      <w:r>
        <w:rPr/>
      </w:r>
    </w:p>
    <w:p>
      <w:pPr>
        <w:pStyle w:val="Normal"/>
        <w:ind w:left="5529" w:hanging="0"/>
        <w:rPr/>
      </w:pPr>
      <w:r>
        <w:rPr/>
        <w:t>_______________</w:t>
      </w:r>
    </w:p>
    <w:p>
      <w:pPr>
        <w:pStyle w:val="Normal"/>
        <w:ind w:left="5529" w:hanging="0"/>
        <w:rPr/>
      </w:pPr>
      <w:r>
        <w:rPr>
          <w:b/>
          <w:bCs/>
          <w:caps/>
        </w:rPr>
        <w:t>14.07.2026</w:t>
      </w:r>
    </w:p>
    <w:p>
      <w:pPr>
        <w:pStyle w:val="Style27"/>
        <w:keepNext w:val="true"/>
        <w:ind w:left="4536" w:hanging="0"/>
        <w:rPr/>
      </w:pPr>
      <w:r>
        <w:rPr/>
      </w:r>
    </w:p>
    <w:p>
      <w:pPr>
        <w:pStyle w:val="Style27"/>
        <w:keepNext w:val="true"/>
        <w:ind w:left="4536" w:hanging="0"/>
        <w:rPr/>
      </w:pPr>
      <w:r>
        <w:rPr/>
      </w:r>
    </w:p>
    <w:p>
      <w:pPr>
        <w:pStyle w:val="Style27"/>
        <w:rPr/>
      </w:pPr>
      <w:r>
        <w:rPr/>
      </w:r>
    </w:p>
    <w:p>
      <w:pPr>
        <w:pStyle w:val="Style27"/>
        <w:keepNext w:val="true"/>
        <w:ind w:left="4536" w:hanging="0"/>
        <w:rPr/>
      </w:pPr>
      <w:r>
        <w:rPr/>
      </w:r>
    </w:p>
    <w:p>
      <w:pPr>
        <w:pStyle w:val="Style27"/>
        <w:rPr/>
      </w:pPr>
      <w:r>
        <w:rPr/>
      </w:r>
    </w:p>
    <w:p>
      <w:pPr>
        <w:pStyle w:val="Style27"/>
        <w:keepNext w:val="true"/>
        <w:numPr>
          <w:ilvl w:val="0"/>
          <w:numId w:val="0"/>
        </w:numPr>
        <w:ind w:left="0" w:hanging="0"/>
        <w:jc w:val="center"/>
        <w:outlineLvl w:val="2"/>
        <w:rPr>
          <w:b/>
          <w:bCs/>
          <w:caps/>
        </w:rPr>
      </w:pPr>
      <w:r>
        <w:rPr>
          <w:b/>
          <w:bCs/>
          <w:caps/>
        </w:rPr>
        <w:t>Документация о закупке</w:t>
      </w:r>
    </w:p>
    <w:p>
      <w:pPr>
        <w:pStyle w:val="Style27"/>
        <w:keepNext w:val="true"/>
        <w:spacing w:before="240" w:after="0"/>
        <w:jc w:val="center"/>
        <w:rPr/>
      </w:pPr>
      <w:r>
        <w:rPr>
          <w:shd w:fill="auto" w:val="clear"/>
        </w:rPr>
        <w:t>Запрос предложений в электронной форме,</w:t>
        <w:br/>
        <w:t>участниками которого могут быть только субъекты МСП,</w:t>
      </w:r>
      <w:r>
        <w:rPr>
          <w:rStyle w:val="Style8"/>
          <w:b/>
          <w:bCs/>
          <w:caps w:val="false"/>
          <w:smallCaps w:val="false"/>
          <w:strike w:val="false"/>
          <w:dstrike w:val="false"/>
          <w:color w:val="222222"/>
          <w:spacing w:val="0"/>
          <w:sz w:val="26"/>
          <w:szCs w:val="26"/>
          <w:u w:val="none"/>
          <w:effect w:val="none"/>
          <w:shd w:fill="auto" w:val="clear"/>
        </w:rPr>
        <w:br/>
        <w:tab/>
        <w:t>ОКПД2 42.22.22.110 Мероприятия по строительству для технологического присоединения потребителя ГБУ «Строитель» в г.Благовещенске к сетям 10-0,4 кВ</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7"/>
        <w:spacing w:before="240" w:after="0"/>
        <w:jc w:val="center"/>
        <w:rPr/>
      </w:pPr>
      <w:r>
        <w:rPr>
          <w:rStyle w:val="Style8"/>
          <w:b/>
          <w:bCs/>
          <w:caps w:val="false"/>
          <w:smallCaps w:val="false"/>
          <w:strike w:val="false"/>
          <w:dstrike w:val="false"/>
          <w:color w:val="222222"/>
          <w:spacing w:val="0"/>
          <w:sz w:val="26"/>
          <w:szCs w:val="26"/>
          <w:u w:val="none"/>
          <w:effect w:val="none"/>
          <w:shd w:fill="auto" w:val="clear"/>
        </w:rPr>
        <w:t>309701-КС ПИР СМР-2026-ДРСК-АЭС</w:t>
      </w:r>
    </w:p>
    <w:p>
      <w:pPr>
        <w:pStyle w:val="Style26"/>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r>
            <w:fldChar w:fldCharType="begin"/>
          </w:r>
          <w:r>
            <w:rPr>
              <w:webHidden/>
              <w:rStyle w:val="Style15"/>
              <w:vanish w:val="false"/>
            </w:rPr>
            <w:instrText xml:space="preserve"> TOC \z \u \t "[РГ] Перечисление,5,[РГ] Подпункт,4,[РГ] Пункт,3,[РГ] Подраздел,2,[РГ] Раздел,1,[РГ] Раздел,1,[РГ] Раздел,1,[РГ] Раздел,1,[РГ] Раздел,1,[РГ] Раздел,1,[РГ] Подраздел,2,[РГ] Подраздел,2,[РГ] Подраздел,2,[РГ] Подраздел,2,[РГ] Подраздел,2,[РГ] Пункт,3,[РГ] Пункт,3,[РГ] Пункт,3,[РГ] Пункт,3,[РГ] Подпункт,4,[РГ] Подпункт,4,[РГ] Подпункт,4,[РГ] Подпункт,4,[РГ] Перечисление,5,[РГ] Перечисление,5,[РГ] Перечисление,5,[РГ] Перечисление,5" \h</w:instrText>
          </w:r>
          <w:r>
            <w:rPr>
              <w:webHidden/>
              <w:rStyle w:val="Style15"/>
              <w:vanish w:val="false"/>
            </w:rPr>
            <w:fldChar w:fldCharType="separate"/>
          </w:r>
          <w:hyperlink w:anchor="_Toc186224228">
            <w:r>
              <w:rPr>
                <w:webHidden/>
              </w:rPr>
              <w:fldChar w:fldCharType="begin"/>
            </w:r>
            <w:r>
              <w:rPr>
                <w:webHidden/>
              </w:rPr>
              <w:instrText xml:space="preserve">PAGEREF _Toc186224228 \h</w:instrText>
            </w:r>
            <w:r>
              <w:rPr>
                <w:webHidden/>
              </w:rPr>
              <w:fldChar w:fldCharType="separate"/>
            </w:r>
            <w:r>
              <w:rPr>
                <w:webHidden/>
                <w:rStyle w:val="Style15"/>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29">
            <w:r>
              <w:rPr>
                <w:webHidden/>
              </w:rPr>
              <w:fldChar w:fldCharType="begin"/>
            </w:r>
            <w:r>
              <w:rPr>
                <w:webHidden/>
              </w:rPr>
              <w:instrText xml:space="preserve">PAGEREF _Toc186224229 \h</w:instrText>
            </w:r>
            <w:r>
              <w:rPr>
                <w:webHidden/>
              </w:rPr>
              <w:fldChar w:fldCharType="separate"/>
            </w:r>
            <w:r>
              <w:rPr>
                <w:webHidden/>
                <w:rStyle w:val="Style15"/>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30">
            <w:r>
              <w:rPr>
                <w:webHidden/>
                <w:rStyle w:val="Style15"/>
                <w:vanish w:val="false"/>
              </w:rPr>
              <w:t>1.</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Основные сведения о закупке</w:t>
            </w:r>
            <w:r>
              <w:rPr>
                <w:webHidden/>
              </w:rPr>
              <w:fldChar w:fldCharType="begin"/>
            </w:r>
            <w:r>
              <w:rPr>
                <w:webHidden/>
              </w:rPr>
              <w:instrText xml:space="preserve">PAGEREF _Toc186224230 \h</w:instrText>
            </w:r>
            <w:r>
              <w:rPr>
                <w:webHidden/>
              </w:rPr>
              <w:fldChar w:fldCharType="separate"/>
            </w:r>
            <w:r>
              <w:rPr>
                <w:rStyle w:val="Style15"/>
                <w:vanish w:val="false"/>
              </w:rPr>
              <w:tab/>
              <w:t>12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1">
            <w:r>
              <w:rPr>
                <w:webHidden/>
                <w:rStyle w:val="Style15"/>
                <w:vanish w:val="false"/>
              </w:rPr>
              <w:t>1.1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Статус настоящего раздела</w:t>
            </w:r>
            <w:r>
              <w:rPr>
                <w:webHidden/>
              </w:rPr>
              <w:fldChar w:fldCharType="begin"/>
            </w:r>
            <w:r>
              <w:rPr>
                <w:webHidden/>
              </w:rPr>
              <w:instrText xml:space="preserve">PAGEREF _Toc186224231 \h</w:instrText>
            </w:r>
            <w:r>
              <w:rPr>
                <w:webHidden/>
              </w:rPr>
              <w:fldChar w:fldCharType="separate"/>
            </w:r>
            <w:r>
              <w:rPr>
                <w:rStyle w:val="Style15"/>
                <w:vanish w:val="false"/>
              </w:rPr>
              <w:tab/>
              <w:t>12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2">
            <w:r>
              <w:rPr>
                <w:webHidden/>
                <w:rStyle w:val="Style15"/>
                <w:vanish w:val="false"/>
              </w:rPr>
              <w:t>1.2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Информация о проводимой закупке</w:t>
            </w:r>
            <w:r>
              <w:rPr>
                <w:webHidden/>
              </w:rPr>
              <w:fldChar w:fldCharType="begin"/>
            </w:r>
            <w:r>
              <w:rPr>
                <w:webHidden/>
              </w:rPr>
              <w:instrText xml:space="preserve">PAGEREF _Toc186224232 \h</w:instrText>
            </w:r>
            <w:r>
              <w:rPr>
                <w:webHidden/>
              </w:rPr>
              <w:fldChar w:fldCharType="separate"/>
            </w:r>
            <w:r>
              <w:rPr>
                <w:rStyle w:val="Style15"/>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33">
            <w:r>
              <w:rPr>
                <w:webHidden/>
                <w:rStyle w:val="Style15"/>
                <w:vanish w:val="false"/>
              </w:rPr>
              <w:t>2.</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Общие положения</w:t>
            </w:r>
            <w:r>
              <w:rPr>
                <w:webHidden/>
              </w:rPr>
              <w:fldChar w:fldCharType="begin"/>
            </w:r>
            <w:r>
              <w:rPr>
                <w:webHidden/>
              </w:rPr>
              <w:instrText xml:space="preserve">PAGEREF _Toc186224233 \h</w:instrText>
            </w:r>
            <w:r>
              <w:rPr>
                <w:webHidden/>
              </w:rPr>
              <w:fldChar w:fldCharType="separate"/>
            </w:r>
            <w:r>
              <w:rPr>
                <w:rStyle w:val="Style15"/>
                <w:vanish w:val="false"/>
              </w:rPr>
              <w:tab/>
              <w:t>23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4">
            <w:r>
              <w:rPr>
                <w:webHidden/>
                <w:rStyle w:val="Style15"/>
                <w:vanish w:val="false"/>
              </w:rPr>
              <w:t>2.1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Общие сведения о закупке</w:t>
            </w:r>
            <w:r>
              <w:rPr>
                <w:webHidden/>
              </w:rPr>
              <w:fldChar w:fldCharType="begin"/>
            </w:r>
            <w:r>
              <w:rPr>
                <w:webHidden/>
              </w:rPr>
              <w:instrText xml:space="preserve">PAGEREF _Toc186224234 \h</w:instrText>
            </w:r>
            <w:r>
              <w:rPr>
                <w:webHidden/>
              </w:rPr>
              <w:fldChar w:fldCharType="separate"/>
            </w:r>
            <w:r>
              <w:rPr>
                <w:rStyle w:val="Style15"/>
                <w:vanish w:val="false"/>
              </w:rPr>
              <w:tab/>
              <w:t>23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5">
            <w:r>
              <w:rPr>
                <w:webHidden/>
                <w:rStyle w:val="Style15"/>
                <w:vanish w:val="false"/>
              </w:rPr>
              <w:t>2.2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Правовой статус документов</w:t>
            </w:r>
            <w:r>
              <w:rPr>
                <w:webHidden/>
              </w:rPr>
              <w:fldChar w:fldCharType="begin"/>
            </w:r>
            <w:r>
              <w:rPr>
                <w:webHidden/>
              </w:rPr>
              <w:instrText xml:space="preserve">PAGEREF _Toc186224235 \h</w:instrText>
            </w:r>
            <w:r>
              <w:rPr>
                <w:webHidden/>
              </w:rPr>
              <w:fldChar w:fldCharType="separate"/>
            </w:r>
            <w:r>
              <w:rPr>
                <w:rStyle w:val="Style15"/>
                <w:vanish w:val="false"/>
              </w:rPr>
              <w:tab/>
              <w:t>23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6">
            <w:r>
              <w:rPr>
                <w:webHidden/>
                <w:rStyle w:val="Style15"/>
                <w:vanish w:val="false"/>
              </w:rPr>
              <w:t>2.3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Обжалование</w:t>
            </w:r>
            <w:r>
              <w:rPr>
                <w:webHidden/>
              </w:rPr>
              <w:fldChar w:fldCharType="begin"/>
            </w:r>
            <w:r>
              <w:rPr>
                <w:webHidden/>
              </w:rPr>
              <w:instrText xml:space="preserve">PAGEREF _Toc186224236 \h</w:instrText>
            </w:r>
            <w:r>
              <w:rPr>
                <w:webHidden/>
              </w:rPr>
              <w:fldChar w:fldCharType="separate"/>
            </w:r>
            <w:r>
              <w:rPr>
                <w:rStyle w:val="Style15"/>
                <w:vanish w:val="false"/>
              </w:rPr>
              <w:tab/>
              <w:t>24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7">
            <w:r>
              <w:rPr>
                <w:webHidden/>
                <w:rStyle w:val="Style15"/>
                <w:vanish w:val="false"/>
              </w:rPr>
              <w:t>2.4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Особые положения при проведении закупки с использованием ЭП</w:t>
            </w:r>
            <w:r>
              <w:rPr>
                <w:webHidden/>
              </w:rPr>
              <w:fldChar w:fldCharType="begin"/>
            </w:r>
            <w:r>
              <w:rPr>
                <w:webHidden/>
              </w:rPr>
              <w:instrText xml:space="preserve">PAGEREF _Toc186224237 \h</w:instrText>
            </w:r>
            <w:r>
              <w:rPr>
                <w:webHidden/>
              </w:rPr>
              <w:fldChar w:fldCharType="separate"/>
            </w:r>
            <w:r>
              <w:rPr>
                <w:rStyle w:val="Style15"/>
                <w:vanish w:val="false"/>
              </w:rPr>
              <w:tab/>
              <w:t>25</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8">
            <w:r>
              <w:rPr>
                <w:webHidden/>
                <w:rStyle w:val="Style15"/>
                <w:vanish w:val="false"/>
              </w:rPr>
              <w:t>2.5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Прочие положения</w:t>
            </w:r>
            <w:r>
              <w:rPr>
                <w:webHidden/>
              </w:rPr>
              <w:fldChar w:fldCharType="begin"/>
            </w:r>
            <w:r>
              <w:rPr>
                <w:webHidden/>
              </w:rPr>
              <w:instrText xml:space="preserve">PAGEREF _Toc186224238 \h</w:instrText>
            </w:r>
            <w:r>
              <w:rPr>
                <w:webHidden/>
              </w:rPr>
              <w:fldChar w:fldCharType="separate"/>
            </w:r>
            <w:r>
              <w:rPr>
                <w:rStyle w:val="Style15"/>
                <w:vanish w:val="false"/>
              </w:rPr>
              <w:tab/>
              <w:t>25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39">
            <w:r>
              <w:rPr>
                <w:webHidden/>
                <w:rStyle w:val="Style15"/>
                <w:vanish w:val="false"/>
              </w:rPr>
              <w:t>3.</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Требования к Участникам</w:t>
            </w:r>
            <w:r>
              <w:rPr>
                <w:webHidden/>
              </w:rPr>
              <w:fldChar w:fldCharType="begin"/>
            </w:r>
            <w:r>
              <w:rPr>
                <w:webHidden/>
              </w:rPr>
              <w:instrText xml:space="preserve">PAGEREF _Toc186224239 \h</w:instrText>
            </w:r>
            <w:r>
              <w:rPr>
                <w:webHidden/>
              </w:rPr>
              <w:fldChar w:fldCharType="separate"/>
            </w:r>
            <w:r>
              <w:rPr>
                <w:rStyle w:val="Style15"/>
                <w:vanish w:val="false"/>
              </w:rPr>
              <w:tab/>
              <w:t>26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0">
            <w:r>
              <w:rPr>
                <w:webHidden/>
                <w:rStyle w:val="Style15"/>
                <w:vanish w:val="false"/>
              </w:rPr>
              <w:t>3.1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Общие требования к Участникам</w:t>
            </w:r>
            <w:r>
              <w:rPr>
                <w:webHidden/>
              </w:rPr>
              <w:fldChar w:fldCharType="begin"/>
            </w:r>
            <w:r>
              <w:rPr>
                <w:webHidden/>
              </w:rPr>
              <w:instrText xml:space="preserve">PAGEREF _Toc186224240 \h</w:instrText>
            </w:r>
            <w:r>
              <w:rPr>
                <w:webHidden/>
              </w:rPr>
              <w:fldChar w:fldCharType="separate"/>
            </w:r>
            <w:r>
              <w:rPr>
                <w:rStyle w:val="Style15"/>
                <w:vanish w:val="false"/>
              </w:rPr>
              <w:tab/>
              <w:t>26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1">
            <w:r>
              <w:rPr>
                <w:webHidden/>
                <w:rStyle w:val="Style15"/>
                <w:vanish w:val="false"/>
              </w:rPr>
              <w:t>3.2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Коллективные участники</w:t>
            </w:r>
            <w:r>
              <w:rPr>
                <w:webHidden/>
              </w:rPr>
              <w:fldChar w:fldCharType="begin"/>
            </w:r>
            <w:r>
              <w:rPr>
                <w:webHidden/>
              </w:rPr>
              <w:instrText xml:space="preserve">PAGEREF _Toc186224241 \h</w:instrText>
            </w:r>
            <w:r>
              <w:rPr>
                <w:webHidden/>
              </w:rPr>
              <w:fldChar w:fldCharType="separate"/>
            </w:r>
            <w:r>
              <w:rPr>
                <w:rStyle w:val="Style15"/>
                <w:vanish w:val="false"/>
              </w:rPr>
              <w:tab/>
              <w:t>26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2">
            <w:r>
              <w:rPr>
                <w:webHidden/>
                <w:rStyle w:val="Style15"/>
                <w:vanish w:val="false"/>
              </w:rPr>
              <w:t>3.3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Генеральные подрядчики</w:t>
            </w:r>
            <w:r>
              <w:rPr>
                <w:webHidden/>
              </w:rPr>
              <w:fldChar w:fldCharType="begin"/>
            </w:r>
            <w:r>
              <w:rPr>
                <w:webHidden/>
              </w:rPr>
              <w:instrText xml:space="preserve">PAGEREF _Toc186224242 \h</w:instrText>
            </w:r>
            <w:r>
              <w:rPr>
                <w:webHidden/>
              </w:rPr>
              <w:fldChar w:fldCharType="separate"/>
            </w:r>
            <w:r>
              <w:rPr>
                <w:rStyle w:val="Style15"/>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43">
            <w:r>
              <w:rPr>
                <w:webHidden/>
                <w:rStyle w:val="Style15"/>
                <w:vanish w:val="false"/>
              </w:rPr>
              <w:t>4.</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Порядок проведения закупки</w:t>
            </w:r>
            <w:r>
              <w:rPr>
                <w:webHidden/>
              </w:rPr>
              <w:fldChar w:fldCharType="begin"/>
            </w:r>
            <w:r>
              <w:rPr>
                <w:webHidden/>
              </w:rPr>
              <w:instrText xml:space="preserve">PAGEREF _Toc186224243 \h</w:instrText>
            </w:r>
            <w:r>
              <w:rPr>
                <w:webHidden/>
              </w:rPr>
              <w:fldChar w:fldCharType="separate"/>
            </w:r>
            <w:r>
              <w:rPr>
                <w:rStyle w:val="Style15"/>
                <w:vanish w:val="false"/>
              </w:rPr>
              <w:tab/>
              <w:t>30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4">
            <w:r>
              <w:rPr>
                <w:webHidden/>
                <w:rStyle w:val="Style15"/>
                <w:vanish w:val="false"/>
              </w:rPr>
              <w:t>4.1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Общий порядок проведения закупки</w:t>
            </w:r>
            <w:r>
              <w:rPr>
                <w:webHidden/>
              </w:rPr>
              <w:fldChar w:fldCharType="begin"/>
            </w:r>
            <w:r>
              <w:rPr>
                <w:webHidden/>
              </w:rPr>
              <w:instrText xml:space="preserve">PAGEREF _Toc186224244 \h</w:instrText>
            </w:r>
            <w:r>
              <w:rPr>
                <w:webHidden/>
              </w:rPr>
              <w:fldChar w:fldCharType="separate"/>
            </w:r>
            <w:r>
              <w:rPr>
                <w:rStyle w:val="Style15"/>
                <w:vanish w:val="false"/>
              </w:rPr>
              <w:tab/>
              <w:t>30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5">
            <w:r>
              <w:rPr>
                <w:webHidden/>
                <w:rStyle w:val="Style15"/>
                <w:vanish w:val="false"/>
              </w:rPr>
              <w:t>4.2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Официальное размещение Извещения и Документации о закупке</w:t>
            </w:r>
            <w:r>
              <w:rPr>
                <w:webHidden/>
              </w:rPr>
              <w:fldChar w:fldCharType="begin"/>
            </w:r>
            <w:r>
              <w:rPr>
                <w:webHidden/>
              </w:rPr>
              <w:instrText xml:space="preserve">PAGEREF _Toc186224245 \h</w:instrText>
            </w:r>
            <w:r>
              <w:rPr>
                <w:webHidden/>
              </w:rPr>
              <w:fldChar w:fldCharType="separate"/>
            </w:r>
            <w:r>
              <w:rPr>
                <w:rStyle w:val="Style15"/>
                <w:vanish w:val="false"/>
              </w:rPr>
              <w:tab/>
              <w:t>32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6">
            <w:r>
              <w:rPr>
                <w:webHidden/>
                <w:rStyle w:val="Style15"/>
                <w:vanish w:val="false"/>
              </w:rPr>
              <w:t>4.3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Подготовка заявки</w:t>
            </w:r>
            <w:r>
              <w:rPr>
                <w:webHidden/>
              </w:rPr>
              <w:fldChar w:fldCharType="begin"/>
            </w:r>
            <w:r>
              <w:rPr>
                <w:webHidden/>
              </w:rPr>
              <w:instrText xml:space="preserve">PAGEREF _Toc186224246 \h</w:instrText>
            </w:r>
            <w:r>
              <w:rPr>
                <w:webHidden/>
              </w:rPr>
              <w:fldChar w:fldCharType="separate"/>
            </w:r>
            <w:r>
              <w:rPr>
                <w:rStyle w:val="Style15"/>
                <w:vanish w:val="false"/>
              </w:rPr>
              <w:tab/>
              <w:t>32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7">
            <w:r>
              <w:rPr>
                <w:webHidden/>
                <w:rStyle w:val="Style15"/>
                <w:vanish w:val="false"/>
              </w:rPr>
              <w:t>4.4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Разъяснение Документации о закупке</w:t>
            </w:r>
            <w:r>
              <w:rPr>
                <w:webHidden/>
              </w:rPr>
              <w:fldChar w:fldCharType="begin"/>
            </w:r>
            <w:r>
              <w:rPr>
                <w:webHidden/>
              </w:rPr>
              <w:instrText xml:space="preserve">PAGEREF _Toc186224247 \h</w:instrText>
            </w:r>
            <w:r>
              <w:rPr>
                <w:webHidden/>
              </w:rPr>
              <w:fldChar w:fldCharType="separate"/>
            </w:r>
            <w:r>
              <w:rPr>
                <w:rStyle w:val="Style15"/>
                <w:vanish w:val="false"/>
              </w:rPr>
              <w:tab/>
              <w:t>36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8">
            <w:r>
              <w:rPr>
                <w:webHidden/>
                <w:rStyle w:val="Style15"/>
                <w:vanish w:val="false"/>
              </w:rPr>
              <w:t>4.5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Изменения Извещения и (или) Документации о закупке</w:t>
            </w:r>
            <w:r>
              <w:rPr>
                <w:webHidden/>
              </w:rPr>
              <w:fldChar w:fldCharType="begin"/>
            </w:r>
            <w:r>
              <w:rPr>
                <w:webHidden/>
              </w:rPr>
              <w:instrText xml:space="preserve">PAGEREF _Toc186224248 \h</w:instrText>
            </w:r>
            <w:r>
              <w:rPr>
                <w:webHidden/>
              </w:rPr>
              <w:fldChar w:fldCharType="separate"/>
            </w:r>
            <w:r>
              <w:rPr>
                <w:rStyle w:val="Style15"/>
                <w:vanish w:val="false"/>
              </w:rPr>
              <w:tab/>
              <w:t>36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9">
            <w:r>
              <w:rPr>
                <w:webHidden/>
                <w:rStyle w:val="Style15"/>
                <w:vanish w:val="false"/>
              </w:rPr>
              <w:t>4.6</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Подача заявок и их прием</w:t>
            </w:r>
            <w:r>
              <w:rPr>
                <w:webHidden/>
              </w:rPr>
              <w:fldChar w:fldCharType="begin"/>
            </w:r>
            <w:r>
              <w:rPr>
                <w:webHidden/>
              </w:rPr>
              <w:instrText xml:space="preserve">PAGEREF _Toc186224249 \h</w:instrText>
            </w:r>
            <w:r>
              <w:rPr>
                <w:webHidden/>
              </w:rPr>
              <w:fldChar w:fldCharType="separate"/>
            </w:r>
            <w:r>
              <w:rPr>
                <w:rStyle w:val="Style15"/>
                <w:vanish w:val="false"/>
              </w:rPr>
              <w:tab/>
              <w:t>37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0">
            <w:r>
              <w:rPr>
                <w:webHidden/>
                <w:rStyle w:val="Style15"/>
                <w:vanish w:val="false"/>
              </w:rPr>
              <w:t>4.7</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Изменение и отзыв заявок</w:t>
            </w:r>
            <w:r>
              <w:rPr>
                <w:webHidden/>
              </w:rPr>
              <w:fldChar w:fldCharType="begin"/>
            </w:r>
            <w:r>
              <w:rPr>
                <w:webHidden/>
              </w:rPr>
              <w:instrText xml:space="preserve">PAGEREF _Toc186224250 \h</w:instrText>
            </w:r>
            <w:r>
              <w:rPr>
                <w:webHidden/>
              </w:rPr>
              <w:fldChar w:fldCharType="separate"/>
            </w:r>
            <w:r>
              <w:rPr>
                <w:rStyle w:val="Style15"/>
                <w:vanish w:val="false"/>
              </w:rPr>
              <w:tab/>
              <w:t>38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1">
            <w:r>
              <w:rPr>
                <w:webHidden/>
                <w:rStyle w:val="Style15"/>
                <w:vanish w:val="false"/>
              </w:rPr>
              <w:t>4.8</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Открытие доступа к первым частям заявок</w:t>
            </w:r>
            <w:r>
              <w:rPr>
                <w:webHidden/>
              </w:rPr>
              <w:fldChar w:fldCharType="begin"/>
            </w:r>
            <w:r>
              <w:rPr>
                <w:webHidden/>
              </w:rPr>
              <w:instrText xml:space="preserve">PAGEREF _Toc186224251 \h</w:instrText>
            </w:r>
            <w:r>
              <w:rPr>
                <w:webHidden/>
              </w:rPr>
              <w:fldChar w:fldCharType="separate"/>
            </w:r>
            <w:r>
              <w:rPr>
                <w:rStyle w:val="Style15"/>
                <w:vanish w:val="false"/>
              </w:rPr>
              <w:tab/>
              <w:t>38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2">
            <w:r>
              <w:rPr>
                <w:webHidden/>
                <w:rStyle w:val="Style15"/>
                <w:vanish w:val="false"/>
              </w:rPr>
              <w:t>4.9</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Рассмотрение первых частей заявок (отборочная стадия)</w:t>
            </w:r>
            <w:r>
              <w:rPr>
                <w:webHidden/>
              </w:rPr>
              <w:fldChar w:fldCharType="begin"/>
            </w:r>
            <w:r>
              <w:rPr>
                <w:webHidden/>
              </w:rPr>
              <w:instrText xml:space="preserve">PAGEREF _Toc186224252 \h</w:instrText>
            </w:r>
            <w:r>
              <w:rPr>
                <w:webHidden/>
              </w:rPr>
              <w:fldChar w:fldCharType="separate"/>
            </w:r>
            <w:r>
              <w:rPr>
                <w:rStyle w:val="Style15"/>
                <w:vanish w:val="false"/>
              </w:rPr>
              <w:tab/>
              <w:t>38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3">
            <w:r>
              <w:rPr>
                <w:webHidden/>
                <w:rStyle w:val="Style15"/>
                <w:vanish w:val="false"/>
              </w:rPr>
              <w:t>4.10</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Открытие доступа ко вторым частям заявок и ценовым предложениям</w:t>
            </w:r>
            <w:r>
              <w:rPr>
                <w:webHidden/>
              </w:rPr>
              <w:fldChar w:fldCharType="begin"/>
            </w:r>
            <w:r>
              <w:rPr>
                <w:webHidden/>
              </w:rPr>
              <w:instrText xml:space="preserve">PAGEREF _Toc186224253 \h</w:instrText>
            </w:r>
            <w:r>
              <w:rPr>
                <w:webHidden/>
              </w:rPr>
              <w:fldChar w:fldCharType="separate"/>
            </w:r>
            <w:r>
              <w:rPr>
                <w:rStyle w:val="Style15"/>
                <w:vanish w:val="false"/>
              </w:rPr>
              <w:tab/>
              <w:t>39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4">
            <w:r>
              <w:rPr>
                <w:webHidden/>
                <w:rStyle w:val="Style15"/>
                <w:vanish w:val="false"/>
              </w:rPr>
              <w:t>4.11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Рассмотрение вторых частей заявок (отборочная стадия), в том числе (при необходимости) проведение аккредитации, и ценовых предложений</w:t>
            </w:r>
            <w:r>
              <w:rPr>
                <w:webHidden/>
              </w:rPr>
              <w:fldChar w:fldCharType="begin"/>
            </w:r>
            <w:r>
              <w:rPr>
                <w:webHidden/>
              </w:rPr>
              <w:instrText xml:space="preserve">PAGEREF _Toc186224254 \h</w:instrText>
            </w:r>
            <w:r>
              <w:rPr>
                <w:webHidden/>
              </w:rPr>
              <w:fldChar w:fldCharType="separate"/>
            </w:r>
            <w:r>
              <w:rPr>
                <w:rStyle w:val="Style15"/>
                <w:vanish w:val="false"/>
              </w:rPr>
              <w:tab/>
              <w:t>40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5">
            <w:r>
              <w:rPr>
                <w:webHidden/>
                <w:rStyle w:val="Style15"/>
                <w:vanish w:val="false"/>
              </w:rPr>
              <w:t>4.12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запросы разъяснений заявок</w:t>
            </w:r>
            <w:r>
              <w:rPr>
                <w:webHidden/>
              </w:rPr>
              <w:fldChar w:fldCharType="begin"/>
            </w:r>
            <w:r>
              <w:rPr>
                <w:webHidden/>
              </w:rPr>
              <w:instrText xml:space="preserve">PAGEREF _Toc186224255 \h</w:instrText>
            </w:r>
            <w:r>
              <w:rPr>
                <w:webHidden/>
              </w:rPr>
              <w:fldChar w:fldCharType="separate"/>
            </w:r>
            <w:r>
              <w:rPr>
                <w:rStyle w:val="Style15"/>
                <w:vanish w:val="false"/>
              </w:rPr>
              <w:tab/>
              <w:t>41</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6">
            <w:r>
              <w:rPr>
                <w:webHidden/>
                <w:rStyle w:val="Style15"/>
                <w:vanish w:val="false"/>
              </w:rPr>
              <w:t>4.13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Оценка и сопоставление заявок</w:t>
            </w:r>
            <w:r>
              <w:rPr>
                <w:webHidden/>
              </w:rPr>
              <w:fldChar w:fldCharType="begin"/>
            </w:r>
            <w:r>
              <w:rPr>
                <w:webHidden/>
              </w:rPr>
              <w:instrText xml:space="preserve">PAGEREF _Toc186224256 \h</w:instrText>
            </w:r>
            <w:r>
              <w:rPr>
                <w:webHidden/>
              </w:rPr>
              <w:fldChar w:fldCharType="separate"/>
            </w:r>
            <w:r>
              <w:rPr>
                <w:rStyle w:val="Style15"/>
                <w:vanish w:val="false"/>
              </w:rPr>
              <w:tab/>
              <w:t>43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7">
            <w:r>
              <w:rPr>
                <w:webHidden/>
                <w:rStyle w:val="Style15"/>
                <w:vanish w:val="false"/>
              </w:rPr>
              <w:t>4.14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Применение законодательства о национальном режиме</w:t>
            </w:r>
            <w:r>
              <w:rPr>
                <w:webHidden/>
              </w:rPr>
              <w:fldChar w:fldCharType="begin"/>
            </w:r>
            <w:r>
              <w:rPr>
                <w:webHidden/>
              </w:rPr>
              <w:instrText xml:space="preserve">PAGEREF _Toc186224257 \h</w:instrText>
            </w:r>
            <w:r>
              <w:rPr>
                <w:webHidden/>
              </w:rPr>
              <w:fldChar w:fldCharType="separate"/>
            </w:r>
            <w:r>
              <w:rPr>
                <w:rStyle w:val="Style15"/>
                <w:vanish w:val="false"/>
              </w:rPr>
              <w:tab/>
              <w:t>44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8">
            <w:r>
              <w:rPr>
                <w:webHidden/>
                <w:rStyle w:val="Style15"/>
                <w:vanish w:val="false"/>
              </w:rPr>
              <w:t>4.15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Преференции в части использования российского алюминия</w:t>
            </w:r>
            <w:r>
              <w:rPr>
                <w:webHidden/>
              </w:rPr>
              <w:fldChar w:fldCharType="begin"/>
            </w:r>
            <w:r>
              <w:rPr>
                <w:webHidden/>
              </w:rPr>
              <w:instrText xml:space="preserve">PAGEREF _Toc186224258 \h</w:instrText>
            </w:r>
            <w:r>
              <w:rPr>
                <w:webHidden/>
              </w:rPr>
              <w:fldChar w:fldCharType="separate"/>
            </w:r>
            <w:r>
              <w:rPr>
                <w:rStyle w:val="Style15"/>
                <w:vanish w:val="false"/>
              </w:rPr>
              <w:tab/>
              <w:t>44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9">
            <w:r>
              <w:rPr>
                <w:webHidden/>
                <w:rStyle w:val="Style15"/>
                <w:vanish w:val="false"/>
              </w:rPr>
              <w:t>4.16</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Подведение итогов закупки (определение Победителя)</w:t>
            </w:r>
            <w:r>
              <w:rPr>
                <w:webHidden/>
              </w:rPr>
              <w:fldChar w:fldCharType="begin"/>
            </w:r>
            <w:r>
              <w:rPr>
                <w:webHidden/>
              </w:rPr>
              <w:instrText xml:space="preserve">PAGEREF _Toc186224259 \h</w:instrText>
            </w:r>
            <w:r>
              <w:rPr>
                <w:webHidden/>
              </w:rPr>
              <w:fldChar w:fldCharType="separate"/>
            </w:r>
            <w:r>
              <w:rPr>
                <w:rStyle w:val="Style15"/>
                <w:vanish w:val="false"/>
              </w:rPr>
              <w:tab/>
              <w:t>45</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0">
            <w:r>
              <w:rPr>
                <w:webHidden/>
                <w:rStyle w:val="Style15"/>
                <w:vanish w:val="false"/>
              </w:rPr>
              <w:t>4.17</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Признание закупки несостоявшейся</w:t>
            </w:r>
            <w:r>
              <w:rPr>
                <w:webHidden/>
              </w:rPr>
              <w:fldChar w:fldCharType="begin"/>
            </w:r>
            <w:r>
              <w:rPr>
                <w:webHidden/>
              </w:rPr>
              <w:instrText xml:space="preserve">PAGEREF _Toc186224260 \h</w:instrText>
            </w:r>
            <w:r>
              <w:rPr>
                <w:webHidden/>
              </w:rPr>
              <w:fldChar w:fldCharType="separate"/>
            </w:r>
            <w:r>
              <w:rPr>
                <w:rStyle w:val="Style15"/>
                <w:vanish w:val="false"/>
              </w:rPr>
              <w:tab/>
              <w:t>47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1">
            <w:r>
              <w:rPr>
                <w:webHidden/>
                <w:rStyle w:val="Style15"/>
                <w:vanish w:val="false"/>
              </w:rPr>
              <w:t>4.18</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Отказ от проведения закупки (отмена закупки)</w:t>
            </w:r>
            <w:r>
              <w:rPr>
                <w:webHidden/>
              </w:rPr>
              <w:fldChar w:fldCharType="begin"/>
            </w:r>
            <w:r>
              <w:rPr>
                <w:webHidden/>
              </w:rPr>
              <w:instrText xml:space="preserve">PAGEREF _Toc186224261 \h</w:instrText>
            </w:r>
            <w:r>
              <w:rPr>
                <w:webHidden/>
              </w:rPr>
              <w:fldChar w:fldCharType="separate"/>
            </w:r>
            <w:r>
              <w:rPr>
                <w:rStyle w:val="Style15"/>
                <w:vanish w:val="false"/>
              </w:rPr>
              <w:tab/>
              <w:t>47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2">
            <w:r>
              <w:rPr>
                <w:webHidden/>
                <w:rStyle w:val="Style15"/>
                <w:vanish w:val="false"/>
              </w:rPr>
              <w:t>4.19</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Особенности проведения закупки с необходимостью обеспечения заявки</w:t>
            </w:r>
            <w:r>
              <w:rPr>
                <w:webHidden/>
              </w:rPr>
              <w:fldChar w:fldCharType="begin"/>
            </w:r>
            <w:r>
              <w:rPr>
                <w:webHidden/>
              </w:rPr>
              <w:instrText xml:space="preserve">PAGEREF _Toc186224262 \h</w:instrText>
            </w:r>
            <w:r>
              <w:rPr>
                <w:webHidden/>
              </w:rPr>
              <w:fldChar w:fldCharType="separate"/>
            </w:r>
            <w:r>
              <w:rPr>
                <w:rStyle w:val="Style15"/>
                <w:vanish w:val="false"/>
              </w:rPr>
              <w:tab/>
              <w:t>47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3">
            <w:r>
              <w:rPr>
                <w:webHidden/>
                <w:rStyle w:val="Style15"/>
                <w:vanish w:val="false"/>
              </w:rPr>
              <w:t>4.20</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Особенности проведения многолотовой закупки</w:t>
            </w:r>
            <w:r>
              <w:rPr>
                <w:webHidden/>
              </w:rPr>
              <w:fldChar w:fldCharType="begin"/>
            </w:r>
            <w:r>
              <w:rPr>
                <w:webHidden/>
              </w:rPr>
              <w:instrText xml:space="preserve">PAGEREF _Toc186224263 \h</w:instrText>
            </w:r>
            <w:r>
              <w:rPr>
                <w:webHidden/>
              </w:rPr>
              <w:fldChar w:fldCharType="separate"/>
            </w:r>
            <w:r>
              <w:rPr>
                <w:rStyle w:val="Style15"/>
                <w:vanish w:val="false"/>
              </w:rPr>
              <w:tab/>
              <w:t>51</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4">
            <w:r>
              <w:rPr>
                <w:webHidden/>
                <w:rStyle w:val="Style15"/>
                <w:vanish w:val="false"/>
              </w:rPr>
              <w:t>4.21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Особенности проведения закупки с выбором нескольких победителей</w:t>
            </w:r>
            <w:r>
              <w:rPr>
                <w:webHidden/>
              </w:rPr>
              <w:fldChar w:fldCharType="begin"/>
            </w:r>
            <w:r>
              <w:rPr>
                <w:webHidden/>
              </w:rPr>
              <w:instrText xml:space="preserve">PAGEREF _Toc186224264 \h</w:instrText>
            </w:r>
            <w:r>
              <w:rPr>
                <w:webHidden/>
              </w:rPr>
              <w:fldChar w:fldCharType="separate"/>
            </w:r>
            <w:r>
              <w:rPr>
                <w:rStyle w:val="Style15"/>
                <w:vanish w:val="false"/>
              </w:rPr>
              <w:tab/>
              <w:t>52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65">
            <w:r>
              <w:rPr>
                <w:webHidden/>
                <w:rStyle w:val="Style15"/>
                <w:vanish w:val="false"/>
              </w:rPr>
              <w:t>5.</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Порядок заключения Договора</w:t>
            </w:r>
            <w:r>
              <w:rPr>
                <w:webHidden/>
              </w:rPr>
              <w:fldChar w:fldCharType="begin"/>
            </w:r>
            <w:r>
              <w:rPr>
                <w:webHidden/>
              </w:rPr>
              <w:instrText xml:space="preserve">PAGEREF _Toc186224265 \h</w:instrText>
            </w:r>
            <w:r>
              <w:rPr>
                <w:webHidden/>
              </w:rPr>
              <w:fldChar w:fldCharType="separate"/>
            </w:r>
            <w:r>
              <w:rPr>
                <w:rStyle w:val="Style15"/>
                <w:vanish w:val="false"/>
              </w:rPr>
              <w:tab/>
              <w:t>53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6">
            <w:r>
              <w:rPr>
                <w:webHidden/>
                <w:rStyle w:val="Style15"/>
                <w:vanish w:val="false"/>
              </w:rPr>
              <w:t>5.1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Общие положения</w:t>
            </w:r>
            <w:r>
              <w:rPr>
                <w:webHidden/>
              </w:rPr>
              <w:fldChar w:fldCharType="begin"/>
            </w:r>
            <w:r>
              <w:rPr>
                <w:webHidden/>
              </w:rPr>
              <w:instrText xml:space="preserve">PAGEREF _Toc186224266 \h</w:instrText>
            </w:r>
            <w:r>
              <w:rPr>
                <w:webHidden/>
              </w:rPr>
              <w:fldChar w:fldCharType="separate"/>
            </w:r>
            <w:r>
              <w:rPr>
                <w:rStyle w:val="Style15"/>
                <w:vanish w:val="false"/>
              </w:rPr>
              <w:tab/>
              <w:t>53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7">
            <w:r>
              <w:rPr>
                <w:webHidden/>
                <w:rStyle w:val="Style15"/>
                <w:vanish w:val="false"/>
              </w:rPr>
              <w:t>5.2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Заключение Договора</w:t>
            </w:r>
            <w:r>
              <w:rPr>
                <w:webHidden/>
              </w:rPr>
              <w:fldChar w:fldCharType="begin"/>
            </w:r>
            <w:r>
              <w:rPr>
                <w:webHidden/>
              </w:rPr>
              <w:instrText xml:space="preserve">PAGEREF _Toc186224267 \h</w:instrText>
            </w:r>
            <w:r>
              <w:rPr>
                <w:webHidden/>
              </w:rPr>
              <w:fldChar w:fldCharType="separate"/>
            </w:r>
            <w:r>
              <w:rPr>
                <w:rStyle w:val="Style15"/>
                <w:vanish w:val="false"/>
              </w:rPr>
              <w:tab/>
              <w:t>53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8">
            <w:r>
              <w:rPr>
                <w:webHidden/>
                <w:rStyle w:val="Style15"/>
                <w:vanish w:val="false"/>
              </w:rPr>
              <w:t>5.3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Уклонение Победителя от заключения Договора</w:t>
            </w:r>
            <w:r>
              <w:rPr>
                <w:webHidden/>
              </w:rPr>
              <w:fldChar w:fldCharType="begin"/>
            </w:r>
            <w:r>
              <w:rPr>
                <w:webHidden/>
              </w:rPr>
              <w:instrText xml:space="preserve">PAGEREF _Toc186224268 \h</w:instrText>
            </w:r>
            <w:r>
              <w:rPr>
                <w:webHidden/>
              </w:rPr>
              <w:fldChar w:fldCharType="separate"/>
            </w:r>
            <w:r>
              <w:rPr>
                <w:rStyle w:val="Style15"/>
                <w:vanish w:val="false"/>
              </w:rPr>
              <w:tab/>
              <w:t>55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69">
            <w:r>
              <w:rPr>
                <w:webHidden/>
                <w:rStyle w:val="Style15"/>
                <w:vanish w:val="false"/>
              </w:rPr>
              <w:t>6.</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1 – Технические требования</w:t>
            </w:r>
            <w:r>
              <w:rPr>
                <w:webHidden/>
              </w:rPr>
              <w:fldChar w:fldCharType="begin"/>
            </w:r>
            <w:r>
              <w:rPr>
                <w:webHidden/>
              </w:rPr>
              <w:instrText xml:space="preserve">PAGEREF _Toc186224269 \h</w:instrText>
            </w:r>
            <w:r>
              <w:rPr>
                <w:webHidden/>
              </w:rPr>
              <w:fldChar w:fldCharType="separate"/>
            </w:r>
            <w:r>
              <w:rPr>
                <w:rStyle w:val="Style15"/>
                <w:vanish w:val="false"/>
              </w:rPr>
              <w:tab/>
              <w:t>57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0">
            <w:r>
              <w:rPr>
                <w:webHidden/>
                <w:rStyle w:val="Style15"/>
                <w:vanish w:val="false"/>
              </w:rPr>
              <w:t>6.1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Техническим требованиям</w:t>
            </w:r>
            <w:r>
              <w:rPr>
                <w:webHidden/>
              </w:rPr>
              <w:fldChar w:fldCharType="begin"/>
            </w:r>
            <w:r>
              <w:rPr>
                <w:webHidden/>
              </w:rPr>
              <w:instrText xml:space="preserve">PAGEREF _Toc186224270 \h</w:instrText>
            </w:r>
            <w:r>
              <w:rPr>
                <w:webHidden/>
              </w:rPr>
              <w:fldChar w:fldCharType="separate"/>
            </w:r>
            <w:r>
              <w:rPr>
                <w:rStyle w:val="Style15"/>
                <w:vanish w:val="false"/>
              </w:rPr>
              <w:tab/>
              <w:t>57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71">
            <w:r>
              <w:rPr>
                <w:webHidden/>
                <w:rStyle w:val="Style15"/>
                <w:vanish w:val="false"/>
              </w:rPr>
              <w:t>7.</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2 – Проект договора</w:t>
            </w:r>
            <w:r>
              <w:rPr>
                <w:webHidden/>
              </w:rPr>
              <w:fldChar w:fldCharType="begin"/>
            </w:r>
            <w:r>
              <w:rPr>
                <w:webHidden/>
              </w:rPr>
              <w:instrText xml:space="preserve">PAGEREF _Toc186224271 \h</w:instrText>
            </w:r>
            <w:r>
              <w:rPr>
                <w:webHidden/>
              </w:rPr>
              <w:fldChar w:fldCharType="separate"/>
            </w:r>
            <w:r>
              <w:rPr>
                <w:rStyle w:val="Style15"/>
                <w:vanish w:val="false"/>
              </w:rPr>
              <w:tab/>
              <w:t>58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2">
            <w:r>
              <w:rPr>
                <w:webHidden/>
                <w:rStyle w:val="Style15"/>
                <w:vanish w:val="false"/>
              </w:rPr>
              <w:t>7.1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Проекту договора</w:t>
            </w:r>
            <w:r>
              <w:rPr>
                <w:webHidden/>
              </w:rPr>
              <w:fldChar w:fldCharType="begin"/>
            </w:r>
            <w:r>
              <w:rPr>
                <w:webHidden/>
              </w:rPr>
              <w:instrText xml:space="preserve">PAGEREF _Toc186224272 \h</w:instrText>
            </w:r>
            <w:r>
              <w:rPr>
                <w:webHidden/>
              </w:rPr>
              <w:fldChar w:fldCharType="separate"/>
            </w:r>
            <w:r>
              <w:rPr>
                <w:rStyle w:val="Style15"/>
                <w:vanish w:val="false"/>
              </w:rPr>
              <w:tab/>
              <w:t>58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73">
            <w:r>
              <w:rPr>
                <w:webHidden/>
                <w:rStyle w:val="Style15"/>
                <w:vanish w:val="false"/>
              </w:rPr>
              <w:t>8.</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3 – Требования к Участникам</w:t>
            </w:r>
            <w:r>
              <w:rPr>
                <w:webHidden/>
              </w:rPr>
              <w:fldChar w:fldCharType="begin"/>
            </w:r>
            <w:r>
              <w:rPr>
                <w:webHidden/>
              </w:rPr>
              <w:instrText xml:space="preserve">PAGEREF _Toc186224273 \h</w:instrText>
            </w:r>
            <w:r>
              <w:rPr>
                <w:webHidden/>
              </w:rPr>
              <w:fldChar w:fldCharType="separate"/>
            </w:r>
            <w:r>
              <w:rPr>
                <w:rStyle w:val="Style15"/>
                <w:vanish w:val="false"/>
              </w:rPr>
              <w:tab/>
              <w:t>59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4">
            <w:r>
              <w:rPr>
                <w:webHidden/>
                <w:rStyle w:val="Style15"/>
                <w:vanish w:val="false"/>
              </w:rPr>
              <w:t>8.1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требованиям к Участникам</w:t>
            </w:r>
            <w:r>
              <w:rPr>
                <w:webHidden/>
              </w:rPr>
              <w:fldChar w:fldCharType="begin"/>
            </w:r>
            <w:r>
              <w:rPr>
                <w:webHidden/>
              </w:rPr>
              <w:instrText xml:space="preserve">PAGEREF _Toc186224274 \h</w:instrText>
            </w:r>
            <w:r>
              <w:rPr>
                <w:webHidden/>
              </w:rPr>
              <w:fldChar w:fldCharType="separate"/>
            </w:r>
            <w:r>
              <w:rPr>
                <w:rStyle w:val="Style15"/>
                <w:vanish w:val="false"/>
              </w:rPr>
              <w:tab/>
              <w:t>59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5">
            <w:r>
              <w:rPr>
                <w:webHidden/>
                <w:rStyle w:val="Style15"/>
                <w:vanish w:val="false"/>
              </w:rPr>
              <w:t>8.2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Обязательные требования</w:t>
            </w:r>
            <w:r>
              <w:rPr>
                <w:webHidden/>
              </w:rPr>
              <w:fldChar w:fldCharType="begin"/>
            </w:r>
            <w:r>
              <w:rPr>
                <w:webHidden/>
              </w:rPr>
              <w:instrText xml:space="preserve">PAGEREF _Toc186224275 \h</w:instrText>
            </w:r>
            <w:r>
              <w:rPr>
                <w:webHidden/>
              </w:rPr>
              <w:fldChar w:fldCharType="separate"/>
            </w:r>
            <w:r>
              <w:rPr>
                <w:rStyle w:val="Style15"/>
                <w:vanish w:val="false"/>
              </w:rPr>
              <w:tab/>
              <w:t>59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6">
            <w:r>
              <w:rPr>
                <w:webHidden/>
                <w:rStyle w:val="Style15"/>
                <w:vanish w:val="false"/>
              </w:rPr>
              <w:t>8.3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Специальные требования</w:t>
            </w:r>
            <w:r>
              <w:rPr>
                <w:webHidden/>
              </w:rPr>
              <w:fldChar w:fldCharType="begin"/>
            </w:r>
            <w:r>
              <w:rPr>
                <w:webHidden/>
              </w:rPr>
              <w:instrText xml:space="preserve">PAGEREF _Toc186224276 \h</w:instrText>
            </w:r>
            <w:r>
              <w:rPr>
                <w:webHidden/>
              </w:rPr>
              <w:fldChar w:fldCharType="separate"/>
            </w:r>
            <w:r>
              <w:rPr>
                <w:rStyle w:val="Style15"/>
                <w:vanish w:val="false"/>
              </w:rPr>
              <w:tab/>
              <w:t>62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7">
            <w:r>
              <w:rPr>
                <w:webHidden/>
                <w:rStyle w:val="Style15"/>
                <w:vanish w:val="false"/>
              </w:rPr>
              <w:t>8.4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требования к Коллективным участникам</w:t>
            </w:r>
            <w:r>
              <w:rPr>
                <w:webHidden/>
              </w:rPr>
              <w:fldChar w:fldCharType="begin"/>
            </w:r>
            <w:r>
              <w:rPr>
                <w:webHidden/>
              </w:rPr>
              <w:instrText xml:space="preserve">PAGEREF _Toc186224277 \h</w:instrText>
            </w:r>
            <w:r>
              <w:rPr>
                <w:webHidden/>
              </w:rPr>
              <w:fldChar w:fldCharType="separate"/>
            </w:r>
            <w:r>
              <w:rPr>
                <w:rStyle w:val="Style15"/>
                <w:vanish w:val="false"/>
              </w:rPr>
              <w:tab/>
              <w:t>63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8">
            <w:r>
              <w:rPr>
                <w:webHidden/>
                <w:rStyle w:val="Style15"/>
                <w:vanish w:val="false"/>
              </w:rPr>
              <w:t>8.5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требования к Генеральным подрядчикам</w:t>
            </w:r>
            <w:r>
              <w:rPr>
                <w:webHidden/>
              </w:rPr>
              <w:fldChar w:fldCharType="begin"/>
            </w:r>
            <w:r>
              <w:rPr>
                <w:webHidden/>
              </w:rPr>
              <w:instrText xml:space="preserve">PAGEREF _Toc186224278 \h</w:instrText>
            </w:r>
            <w:r>
              <w:rPr>
                <w:webHidden/>
              </w:rPr>
              <w:fldChar w:fldCharType="separate"/>
            </w:r>
            <w:r>
              <w:rPr>
                <w:rStyle w:val="Style15"/>
                <w:vanish w:val="false"/>
              </w:rPr>
              <w:tab/>
              <w:t>64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79">
            <w:r>
              <w:rPr>
                <w:webHidden/>
                <w:rStyle w:val="Style15"/>
                <w:vanish w:val="false"/>
              </w:rPr>
              <w:t>9.</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4 – Образцы форм документов, включаемых в состав заявки</w:t>
            </w:r>
            <w:r>
              <w:rPr>
                <w:webHidden/>
              </w:rPr>
              <w:fldChar w:fldCharType="begin"/>
            </w:r>
            <w:r>
              <w:rPr>
                <w:webHidden/>
              </w:rPr>
              <w:instrText xml:space="preserve">PAGEREF _Toc186224279 \h</w:instrText>
            </w:r>
            <w:r>
              <w:rPr>
                <w:webHidden/>
              </w:rPr>
              <w:fldChar w:fldCharType="separate"/>
            </w:r>
            <w:r>
              <w:rPr>
                <w:rStyle w:val="Style15"/>
                <w:vanish w:val="false"/>
              </w:rPr>
              <w:tab/>
              <w:t>66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0">
            <w:r>
              <w:rPr>
                <w:webHidden/>
                <w:rStyle w:val="Style15"/>
                <w:vanish w:val="false"/>
              </w:rPr>
              <w:t>9.1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Образцам форм документов, включаемых в состав заявки</w:t>
            </w:r>
            <w:r>
              <w:rPr>
                <w:webHidden/>
              </w:rPr>
              <w:fldChar w:fldCharType="begin"/>
            </w:r>
            <w:r>
              <w:rPr>
                <w:webHidden/>
              </w:rPr>
              <w:instrText xml:space="preserve">PAGEREF _Toc186224280 \h</w:instrText>
            </w:r>
            <w:r>
              <w:rPr>
                <w:webHidden/>
              </w:rPr>
              <w:fldChar w:fldCharType="separate"/>
            </w:r>
            <w:r>
              <w:rPr>
                <w:rStyle w:val="Style15"/>
                <w:vanish w:val="false"/>
              </w:rPr>
              <w:tab/>
              <w:t>66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81">
            <w:r>
              <w:rPr>
                <w:webHidden/>
                <w:rStyle w:val="Style15"/>
                <w:vanish w:val="false"/>
              </w:rPr>
              <w:t>10.</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5 – Образцы форм документов, предоставляемых Победителем</w:t>
            </w:r>
            <w:r>
              <w:rPr>
                <w:webHidden/>
              </w:rPr>
              <w:fldChar w:fldCharType="begin"/>
            </w:r>
            <w:r>
              <w:rPr>
                <w:webHidden/>
              </w:rPr>
              <w:instrText xml:space="preserve">PAGEREF _Toc186224281 \h</w:instrText>
            </w:r>
            <w:r>
              <w:rPr>
                <w:webHidden/>
              </w:rPr>
              <w:fldChar w:fldCharType="separate"/>
            </w:r>
            <w:r>
              <w:rPr>
                <w:rStyle w:val="Style15"/>
                <w:vanish w:val="false"/>
              </w:rPr>
              <w:tab/>
              <w:t>67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2">
            <w:r>
              <w:rPr>
                <w:webHidden/>
                <w:rStyle w:val="Style15"/>
                <w:vanish w:val="false"/>
              </w:rPr>
              <w:t>10.1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Образцам форм документов, предоставляемых Победителем</w:t>
            </w:r>
            <w:r>
              <w:rPr>
                <w:webHidden/>
              </w:rPr>
              <w:fldChar w:fldCharType="begin"/>
            </w:r>
            <w:r>
              <w:rPr>
                <w:webHidden/>
              </w:rPr>
              <w:instrText xml:space="preserve">PAGEREF _Toc186224282 \h</w:instrText>
            </w:r>
            <w:r>
              <w:rPr>
                <w:webHidden/>
              </w:rPr>
              <w:fldChar w:fldCharType="separate"/>
            </w:r>
            <w:r>
              <w:rPr>
                <w:rStyle w:val="Style15"/>
                <w:vanish w:val="false"/>
              </w:rPr>
              <w:tab/>
              <w:t>67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3">
            <w:r>
              <w:rPr>
                <w:webHidden/>
                <w:rStyle w:val="Style15"/>
                <w:vanish w:val="false"/>
              </w:rPr>
              <w:t>10.2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_Toc186224283 \h</w:instrText>
            </w:r>
            <w:r>
              <w:rPr>
                <w:webHidden/>
              </w:rPr>
              <w:fldChar w:fldCharType="separate"/>
            </w:r>
            <w:r>
              <w:rPr>
                <w:rStyle w:val="Style15"/>
                <w:vanish w:val="false"/>
              </w:rPr>
              <w:tab/>
              <w:t>67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4">
            <w:r>
              <w:rPr>
                <w:webHidden/>
                <w:rStyle w:val="Style15"/>
                <w:vanish w:val="false"/>
              </w:rPr>
              <w:t>10.3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Форма «Заверение об обстоятельствах»</w:t>
            </w:r>
            <w:r>
              <w:rPr>
                <w:webHidden/>
              </w:rPr>
              <w:fldChar w:fldCharType="begin"/>
            </w:r>
            <w:r>
              <w:rPr>
                <w:webHidden/>
              </w:rPr>
              <w:instrText xml:space="preserve">PAGEREF _Toc186224284 \h</w:instrText>
            </w:r>
            <w:r>
              <w:rPr>
                <w:webHidden/>
              </w:rPr>
              <w:fldChar w:fldCharType="separate"/>
            </w:r>
            <w:r>
              <w:rPr>
                <w:rStyle w:val="Style15"/>
                <w:vanish w:val="false"/>
              </w:rPr>
              <w:tab/>
              <w:t>67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85">
            <w:r>
              <w:rPr>
                <w:webHidden/>
                <w:rStyle w:val="Style15"/>
                <w:vanish w:val="false"/>
              </w:rPr>
              <w:t>11.</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6 – Состав заявки</w:t>
            </w:r>
            <w:r>
              <w:rPr>
                <w:webHidden/>
              </w:rPr>
              <w:fldChar w:fldCharType="begin"/>
            </w:r>
            <w:r>
              <w:rPr>
                <w:webHidden/>
              </w:rPr>
              <w:instrText xml:space="preserve">PAGEREF _Toc186224285 \h</w:instrText>
            </w:r>
            <w:r>
              <w:rPr>
                <w:webHidden/>
              </w:rPr>
              <w:fldChar w:fldCharType="separate"/>
            </w:r>
            <w:r>
              <w:rPr>
                <w:rStyle w:val="Style15"/>
                <w:vanish w:val="false"/>
              </w:rPr>
              <w:tab/>
              <w:t>69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6">
            <w:r>
              <w:rPr>
                <w:webHidden/>
                <w:rStyle w:val="Style15"/>
                <w:vanish w:val="false"/>
              </w:rPr>
              <w:t>11.1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Состав заявки</w:t>
            </w:r>
            <w:r>
              <w:rPr>
                <w:webHidden/>
              </w:rPr>
              <w:fldChar w:fldCharType="begin"/>
            </w:r>
            <w:r>
              <w:rPr>
                <w:webHidden/>
              </w:rPr>
              <w:instrText xml:space="preserve">PAGEREF _Toc186224286 \h</w:instrText>
            </w:r>
            <w:r>
              <w:rPr>
                <w:webHidden/>
              </w:rPr>
              <w:fldChar w:fldCharType="separate"/>
            </w:r>
            <w:r>
              <w:rPr>
                <w:rStyle w:val="Style15"/>
                <w:vanish w:val="false"/>
              </w:rPr>
              <w:tab/>
              <w:t>69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87">
            <w:r>
              <w:rPr>
                <w:webHidden/>
                <w:rStyle w:val="Style15"/>
                <w:vanish w:val="false"/>
              </w:rPr>
              <w:t>12.</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7 – Отборочные критерии рассмотрения заявок</w:t>
            </w:r>
            <w:r>
              <w:rPr>
                <w:webHidden/>
              </w:rPr>
              <w:fldChar w:fldCharType="begin"/>
            </w:r>
            <w:r>
              <w:rPr>
                <w:webHidden/>
              </w:rPr>
              <w:instrText xml:space="preserve">PAGEREF _Toc186224287 \h</w:instrText>
            </w:r>
            <w:r>
              <w:rPr>
                <w:webHidden/>
              </w:rPr>
              <w:fldChar w:fldCharType="separate"/>
            </w:r>
            <w:r>
              <w:rPr>
                <w:rStyle w:val="Style15"/>
                <w:vanish w:val="false"/>
              </w:rPr>
              <w:tab/>
              <w:t>72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8">
            <w:r>
              <w:rPr>
                <w:webHidden/>
                <w:rStyle w:val="Style15"/>
                <w:vanish w:val="false"/>
              </w:rPr>
              <w:t>12.1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Отборочные критерии рассмотрения первых частей заявок</w:t>
            </w:r>
            <w:r>
              <w:rPr>
                <w:webHidden/>
              </w:rPr>
              <w:fldChar w:fldCharType="begin"/>
            </w:r>
            <w:r>
              <w:rPr>
                <w:webHidden/>
              </w:rPr>
              <w:instrText xml:space="preserve">PAGEREF _Toc186224288 \h</w:instrText>
            </w:r>
            <w:r>
              <w:rPr>
                <w:webHidden/>
              </w:rPr>
              <w:fldChar w:fldCharType="separate"/>
            </w:r>
            <w:r>
              <w:rPr>
                <w:rStyle w:val="Style15"/>
                <w:vanish w:val="false"/>
              </w:rPr>
              <w:tab/>
              <w:t>72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9">
            <w:r>
              <w:rPr>
                <w:webHidden/>
                <w:rStyle w:val="Style15"/>
                <w:vanish w:val="false"/>
              </w:rPr>
              <w:t>12.2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_Toc186224289 \h</w:instrText>
            </w:r>
            <w:r>
              <w:rPr>
                <w:webHidden/>
              </w:rPr>
              <w:fldChar w:fldCharType="separate"/>
            </w:r>
            <w:r>
              <w:rPr>
                <w:rStyle w:val="Style15"/>
                <w:vanish w:val="false"/>
              </w:rPr>
              <w:tab/>
              <w:t>74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0">
            <w:r>
              <w:rPr>
                <w:webHidden/>
                <w:rStyle w:val="Style15"/>
                <w:vanish w:val="false"/>
              </w:rPr>
              <w:t>12.3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Отборочные критерии рассмотрения вторых частей заявок</w:t>
            </w:r>
            <w:r>
              <w:rPr>
                <w:webHidden/>
              </w:rPr>
              <w:fldChar w:fldCharType="begin"/>
            </w:r>
            <w:r>
              <w:rPr>
                <w:webHidden/>
              </w:rPr>
              <w:instrText xml:space="preserve">PAGEREF _Toc186224290 \h</w:instrText>
            </w:r>
            <w:r>
              <w:rPr>
                <w:webHidden/>
              </w:rPr>
              <w:fldChar w:fldCharType="separate"/>
            </w:r>
            <w:r>
              <w:rPr>
                <w:rStyle w:val="Style15"/>
                <w:vanish w:val="false"/>
              </w:rPr>
              <w:tab/>
              <w:t>74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1">
            <w:r>
              <w:rPr>
                <w:webHidden/>
                <w:rStyle w:val="Style15"/>
                <w:vanish w:val="false"/>
              </w:rPr>
              <w:t>12.4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Отборочные критерии рассмотрения ценовых предложений</w:t>
            </w:r>
            <w:r>
              <w:rPr>
                <w:webHidden/>
              </w:rPr>
              <w:fldChar w:fldCharType="begin"/>
            </w:r>
            <w:r>
              <w:rPr>
                <w:webHidden/>
              </w:rPr>
              <w:instrText xml:space="preserve">PAGEREF _Toc186224291 \h</w:instrText>
            </w:r>
            <w:r>
              <w:rPr>
                <w:webHidden/>
              </w:rPr>
              <w:fldChar w:fldCharType="separate"/>
            </w:r>
            <w:r>
              <w:rPr>
                <w:rStyle w:val="Style15"/>
                <w:vanish w:val="false"/>
              </w:rPr>
              <w:tab/>
              <w:t>77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2">
            <w:r>
              <w:rPr>
                <w:webHidden/>
                <w:rStyle w:val="Style15"/>
                <w:vanish w:val="false"/>
              </w:rPr>
              <w:t>12.5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_Toc186224292 \h</w:instrText>
            </w:r>
            <w:r>
              <w:rPr>
                <w:webHidden/>
              </w:rPr>
              <w:fldChar w:fldCharType="separate"/>
            </w:r>
            <w:r>
              <w:rPr>
                <w:rStyle w:val="Style15"/>
                <w:vanish w:val="false"/>
              </w:rPr>
              <w:tab/>
              <w:t>78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93">
            <w:r>
              <w:rPr>
                <w:webHidden/>
                <w:rStyle w:val="Style15"/>
                <w:vanish w:val="false"/>
              </w:rPr>
              <w:t>13.</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8 – Порядок и критерии оценки и сопоставления заявок</w:t>
            </w:r>
            <w:r>
              <w:rPr>
                <w:webHidden/>
              </w:rPr>
              <w:fldChar w:fldCharType="begin"/>
            </w:r>
            <w:r>
              <w:rPr>
                <w:webHidden/>
              </w:rPr>
              <w:instrText xml:space="preserve">PAGEREF _Toc186224293 \h</w:instrText>
            </w:r>
            <w:r>
              <w:rPr>
                <w:webHidden/>
              </w:rPr>
              <w:fldChar w:fldCharType="separate"/>
            </w:r>
            <w:r>
              <w:rPr>
                <w:rStyle w:val="Style15"/>
                <w:vanish w:val="false"/>
              </w:rPr>
              <w:tab/>
              <w:t>80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4">
            <w:r>
              <w:rPr>
                <w:webHidden/>
                <w:rStyle w:val="Style15"/>
                <w:vanish w:val="false"/>
              </w:rPr>
              <w:t>13.1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Порядок и критерии оценки и сопоставления заявок</w:t>
            </w:r>
            <w:r>
              <w:rPr>
                <w:webHidden/>
              </w:rPr>
              <w:fldChar w:fldCharType="begin"/>
            </w:r>
            <w:r>
              <w:rPr>
                <w:webHidden/>
              </w:rPr>
              <w:instrText xml:space="preserve">PAGEREF _Toc186224294 \h</w:instrText>
            </w:r>
            <w:r>
              <w:rPr>
                <w:webHidden/>
              </w:rPr>
              <w:fldChar w:fldCharType="separate"/>
            </w:r>
            <w:r>
              <w:rPr>
                <w:rStyle w:val="Style15"/>
                <w:vanish w:val="false"/>
              </w:rPr>
              <w:tab/>
              <w:t>80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95">
            <w:r>
              <w:rPr>
                <w:webHidden/>
                <w:rStyle w:val="Style15"/>
                <w:vanish w:val="false"/>
              </w:rPr>
              <w:t>14.</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9 – Обоснование НМЦ</w:t>
            </w:r>
            <w:r>
              <w:rPr>
                <w:webHidden/>
              </w:rPr>
              <w:fldChar w:fldCharType="begin"/>
            </w:r>
            <w:r>
              <w:rPr>
                <w:webHidden/>
              </w:rPr>
              <w:instrText xml:space="preserve">PAGEREF _Toc186224295 \h</w:instrText>
            </w:r>
            <w:r>
              <w:rPr>
                <w:webHidden/>
              </w:rPr>
              <w:fldChar w:fldCharType="separate"/>
            </w:r>
            <w:r>
              <w:rPr>
                <w:rStyle w:val="Style15"/>
                <w:vanish w:val="false"/>
              </w:rPr>
              <w:tab/>
              <w:t>86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6">
            <w:r>
              <w:rPr>
                <w:webHidden/>
                <w:rStyle w:val="Style15"/>
                <w:vanish w:val="false"/>
              </w:rPr>
              <w:t>14.1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Обоснованию НМЦ</w:t>
            </w:r>
            <w:r>
              <w:rPr>
                <w:webHidden/>
              </w:rPr>
              <w:fldChar w:fldCharType="begin"/>
            </w:r>
            <w:r>
              <w:rPr>
                <w:webHidden/>
              </w:rPr>
              <w:instrText xml:space="preserve">PAGEREF _Toc186224296 \h</w:instrText>
            </w:r>
            <w:r>
              <w:rPr>
                <w:webHidden/>
              </w:rPr>
              <w:fldChar w:fldCharType="separate"/>
            </w:r>
            <w:r>
              <w:rPr>
                <w:rStyle w:val="Style15"/>
                <w:vanish w:val="false"/>
              </w:rPr>
              <w:tab/>
              <w:t>86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97">
            <w:r>
              <w:rPr>
                <w:webHidden/>
                <w:rStyle w:val="Style15"/>
                <w:vanish w:val="false"/>
              </w:rPr>
              <w:t>15.</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10 – Форма Заявки на аккредитацию</w:t>
            </w:r>
            <w:r>
              <w:rPr>
                <w:webHidden/>
              </w:rPr>
              <w:fldChar w:fldCharType="begin"/>
            </w:r>
            <w:r>
              <w:rPr>
                <w:webHidden/>
              </w:rPr>
              <w:instrText xml:space="preserve">PAGEREF _Toc186224297 \h</w:instrText>
            </w:r>
            <w:r>
              <w:rPr>
                <w:webHidden/>
              </w:rPr>
              <w:fldChar w:fldCharType="separate"/>
            </w:r>
            <w:r>
              <w:rPr>
                <w:rStyle w:val="Style15"/>
                <w:vanish w:val="false"/>
              </w:rPr>
              <w:tab/>
              <w:t>87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8">
            <w:r>
              <w:rPr>
                <w:webHidden/>
                <w:rStyle w:val="Style15"/>
                <w:vanish w:val="false"/>
              </w:rPr>
              <w:t>15.1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форме Заявки на аккредитацию</w:t>
            </w:r>
            <w:r>
              <w:rPr>
                <w:webHidden/>
              </w:rPr>
              <w:fldChar w:fldCharType="begin"/>
            </w:r>
            <w:r>
              <w:rPr>
                <w:webHidden/>
              </w:rPr>
              <w:instrText xml:space="preserve">PAGEREF _Toc186224298 \h</w:instrText>
            </w:r>
            <w:r>
              <w:rPr>
                <w:webHidden/>
              </w:rPr>
              <w:fldChar w:fldCharType="separate"/>
            </w:r>
            <w:r>
              <w:rPr>
                <w:rStyle w:val="Style15"/>
                <w:vanish w:val="false"/>
              </w:rPr>
              <w:tab/>
              <w:t>87</w:t>
            </w:r>
            <w:r>
              <w:rPr>
                <w:webHidden/>
              </w:rPr>
              <w:fldChar w:fldCharType="end"/>
            </w:r>
          </w:hyperlink>
          <w:r>
            <w:rPr>
              <w:rStyle w:val="Style15"/>
              <w:vanish w:val="false"/>
            </w:rPr>
            <w:fldChar w:fldCharType="end"/>
          </w:r>
        </w:p>
      </w:sdtContent>
    </w:sdt>
    <w:p>
      <w:pPr>
        <w:pStyle w:val="Style27"/>
        <w:jc w:val="both"/>
        <w:rPr/>
      </w:pPr>
      <w:r>
        <w:rPr/>
      </w:r>
    </w:p>
    <w:p>
      <w:pPr>
        <w:pStyle w:val="Style27"/>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7"/>
        <w:numPr>
          <w:ilvl w:val="0"/>
          <w:numId w:val="9"/>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7"/>
        <w:numPr>
          <w:ilvl w:val="0"/>
          <w:numId w:val="9"/>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7"/>
        <w:numPr>
          <w:ilvl w:val="0"/>
          <w:numId w:val="9"/>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7"/>
        <w:numPr>
          <w:ilvl w:val="0"/>
          <w:numId w:val="9"/>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6"/>
        <w:numPr>
          <w:ilvl w:val="0"/>
          <w:numId w:val="0"/>
        </w:numPr>
        <w:ind w:left="0" w:hanging="0"/>
        <w:outlineLvl w:val="0"/>
        <w:rPr/>
      </w:pPr>
      <w:bookmarkStart w:id="0" w:name="_Toc186224228"/>
      <w:r>
        <w:rPr/>
        <w:t>Сокращения</w:t>
      </w:r>
      <w:bookmarkEnd w:id="0"/>
    </w:p>
    <w:p>
      <w:pPr>
        <w:pStyle w:val="Style27"/>
        <w:ind w:firstLine="567"/>
        <w:rPr/>
      </w:pPr>
      <w:r>
        <w:rPr>
          <w:b/>
          <w:bCs/>
        </w:rPr>
        <w:t>ГК РФ</w:t>
      </w:r>
      <w:r>
        <w:rPr/>
        <w:t xml:space="preserve"> – Гражданской кодекс Российской Федерации.</w:t>
      </w:r>
    </w:p>
    <w:p>
      <w:pPr>
        <w:pStyle w:val="Style27"/>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7"/>
        <w:ind w:firstLine="567"/>
        <w:rPr/>
      </w:pPr>
      <w:r>
        <w:rPr>
          <w:b/>
          <w:bCs/>
        </w:rPr>
        <w:t>ЕГРИП</w:t>
      </w:r>
      <w:r>
        <w:rPr/>
        <w:t xml:space="preserve"> – Единый государственный реестр индивидуальных предпринимателей.</w:t>
      </w:r>
    </w:p>
    <w:p>
      <w:pPr>
        <w:pStyle w:val="Style27"/>
        <w:ind w:firstLine="567"/>
        <w:rPr/>
      </w:pPr>
      <w:r>
        <w:rPr>
          <w:b/>
          <w:bCs/>
        </w:rPr>
        <w:t>ЕГРЮЛ</w:t>
      </w:r>
      <w:r>
        <w:rPr/>
        <w:t xml:space="preserve"> – Единый государственный реестр юридических лиц.</w:t>
      </w:r>
    </w:p>
    <w:p>
      <w:pPr>
        <w:pStyle w:val="Style27"/>
        <w:ind w:firstLine="567"/>
        <w:rPr/>
      </w:pPr>
      <w:r>
        <w:rPr>
          <w:b/>
          <w:bCs/>
        </w:rPr>
        <w:t>ЕИС</w:t>
      </w:r>
      <w:r>
        <w:rPr/>
        <w:t xml:space="preserve"> – Единая информационная система в сфере закупок.</w:t>
      </w:r>
    </w:p>
    <w:p>
      <w:pPr>
        <w:pStyle w:val="Style27"/>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7"/>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7"/>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7"/>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7"/>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7"/>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7"/>
        <w:ind w:firstLine="567"/>
        <w:rPr/>
      </w:pPr>
      <w:r>
        <w:rPr>
          <w:b/>
          <w:bCs/>
        </w:rPr>
        <w:t>Извещение</w:t>
      </w:r>
      <w:r>
        <w:rPr/>
        <w:t xml:space="preserve"> – извещение о проведении настоящей закупки.</w:t>
      </w:r>
    </w:p>
    <w:p>
      <w:pPr>
        <w:pStyle w:val="Style27"/>
        <w:ind w:firstLine="567"/>
        <w:rPr/>
      </w:pPr>
      <w:r>
        <w:rPr>
          <w:b/>
          <w:bCs/>
        </w:rPr>
        <w:t>ИНН</w:t>
      </w:r>
      <w:r>
        <w:rPr/>
        <w:t xml:space="preserve"> – идентификационный номер налогоплательщика.</w:t>
      </w:r>
    </w:p>
    <w:p>
      <w:pPr>
        <w:pStyle w:val="Style27"/>
        <w:ind w:firstLine="567"/>
        <w:rPr/>
      </w:pPr>
      <w:r>
        <w:rPr>
          <w:b/>
          <w:bCs/>
        </w:rPr>
        <w:t>ИФНС</w:t>
      </w:r>
      <w:r>
        <w:rPr/>
        <w:t xml:space="preserve"> – инспекция Федеральной налоговой службы Российской Федерации.</w:t>
      </w:r>
    </w:p>
    <w:p>
      <w:pPr>
        <w:pStyle w:val="Style27"/>
        <w:ind w:firstLine="567"/>
        <w:rPr/>
      </w:pPr>
      <w:r>
        <w:rPr>
          <w:b/>
          <w:bCs/>
        </w:rPr>
        <w:t>МТР</w:t>
      </w:r>
      <w:r>
        <w:rPr/>
        <w:t xml:space="preserve"> – материально-технические ресурсы.</w:t>
      </w:r>
    </w:p>
    <w:p>
      <w:pPr>
        <w:pStyle w:val="Style27"/>
        <w:ind w:firstLine="567"/>
        <w:rPr/>
      </w:pPr>
      <w:r>
        <w:rPr>
          <w:b/>
          <w:bCs/>
        </w:rPr>
        <w:t>НДС</w:t>
      </w:r>
      <w:r>
        <w:rPr/>
        <w:t xml:space="preserve"> – налог на добавленную стоимость.</w:t>
      </w:r>
    </w:p>
    <w:p>
      <w:pPr>
        <w:pStyle w:val="Style27"/>
        <w:ind w:firstLine="567"/>
        <w:rPr/>
      </w:pPr>
      <w:r>
        <w:rPr>
          <w:b/>
          <w:bCs/>
        </w:rPr>
        <w:t>НМЦ</w:t>
      </w:r>
      <w:r>
        <w:rPr/>
        <w:t xml:space="preserve"> – начальная (максимальная) цена договора.</w:t>
      </w:r>
    </w:p>
    <w:p>
      <w:pPr>
        <w:pStyle w:val="Style27"/>
        <w:ind w:firstLine="567"/>
        <w:rPr/>
      </w:pPr>
      <w:r>
        <w:rPr>
          <w:b/>
          <w:bCs/>
        </w:rPr>
        <w:t>Оператор ЭП</w:t>
      </w:r>
      <w:r>
        <w:rPr/>
        <w:t xml:space="preserve"> – оператор электронной площадки.</w:t>
      </w:r>
    </w:p>
    <w:p>
      <w:pPr>
        <w:pStyle w:val="Style27"/>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7"/>
        <w:ind w:firstLine="567"/>
        <w:rPr/>
      </w:pPr>
      <w:r>
        <w:rPr>
          <w:b/>
          <w:bCs/>
        </w:rPr>
        <w:t>Положение о закупке</w:t>
      </w:r>
      <w:r>
        <w:rPr/>
        <w:t xml:space="preserve"> – Единое Положение о закупке продукции для нужд Группы РусГидро.</w:t>
      </w:r>
    </w:p>
    <w:p>
      <w:pPr>
        <w:pStyle w:val="Style27"/>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7"/>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7"/>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7"/>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7"/>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7"/>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7"/>
        <w:ind w:firstLine="567"/>
        <w:rPr/>
      </w:pPr>
      <w:r>
        <w:rPr>
          <w:b/>
          <w:bCs/>
        </w:rPr>
        <w:t>Субъект МСП</w:t>
      </w:r>
      <w:r>
        <w:rPr/>
        <w:t xml:space="preserve"> – субъект малого и среднего предпринимательства.</w:t>
      </w:r>
    </w:p>
    <w:p>
      <w:pPr>
        <w:pStyle w:val="Style27"/>
        <w:ind w:firstLine="567"/>
        <w:rPr/>
      </w:pPr>
      <w:r>
        <w:rPr>
          <w:b/>
          <w:bCs/>
        </w:rPr>
        <w:t>ЭП</w:t>
      </w:r>
      <w:r>
        <w:rPr/>
        <w:t xml:space="preserve"> – электронная площадка.</w:t>
      </w:r>
    </w:p>
    <w:p>
      <w:pPr>
        <w:pStyle w:val="Style26"/>
        <w:numPr>
          <w:ilvl w:val="0"/>
          <w:numId w:val="0"/>
        </w:numPr>
        <w:ind w:left="0" w:hanging="0"/>
        <w:outlineLvl w:val="0"/>
        <w:rPr/>
      </w:pPr>
      <w:bookmarkStart w:id="1" w:name="_Toc186224229"/>
      <w:r>
        <w:rPr/>
        <w:t>Термины и определения</w:t>
      </w:r>
      <w:bookmarkEnd w:id="1"/>
    </w:p>
    <w:p>
      <w:pPr>
        <w:pStyle w:val="Style27"/>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7"/>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7"/>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7"/>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7"/>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7"/>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7"/>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7"/>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7"/>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7"/>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7"/>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7"/>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7"/>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7"/>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7"/>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7"/>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7"/>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7"/>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7"/>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7"/>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7"/>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7"/>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7"/>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7"/>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7"/>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7"/>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7"/>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7"/>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7"/>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7"/>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7"/>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7"/>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1"/>
        <w:rPr/>
      </w:pPr>
      <w:bookmarkStart w:id="3" w:name="_Ref125359988"/>
      <w:bookmarkStart w:id="4" w:name="_Toc186224230"/>
      <w:r>
        <w:rPr/>
        <w:t>Основные сведения о закупке</w:t>
      </w:r>
      <w:bookmarkEnd w:id="3"/>
      <w:bookmarkEnd w:id="4"/>
    </w:p>
    <w:p>
      <w:pPr>
        <w:pStyle w:val="Style22"/>
        <w:rPr/>
      </w:pPr>
      <w:bookmarkStart w:id="5" w:name="_Toc186224231"/>
      <w:r>
        <w:rPr/>
        <w:t>Статус настоящего раздела</w:t>
      </w:r>
      <w:bookmarkEnd w:id="5"/>
    </w:p>
    <w:p>
      <w:pPr>
        <w:pStyle w:val="Style23"/>
        <w:rPr/>
      </w:pPr>
      <w:r>
        <w:rPr/>
        <w:t>В настоящем разделе содержатся основные сведения о предмете, способе и иных ключевых условиях проводимой закупки.</w:t>
      </w:r>
    </w:p>
    <w:p>
      <w:pPr>
        <w:pStyle w:val="Style23"/>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3"/>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2"/>
        <w:spacing w:before="360" w:after="120"/>
        <w:rPr/>
      </w:pPr>
      <w:bookmarkStart w:id="6" w:name="_Ref125359973"/>
      <w:bookmarkStart w:id="7" w:name="_Ref127270076"/>
      <w:bookmarkStart w:id="8" w:name="_Ref132876309"/>
      <w:bookmarkStart w:id="9" w:name="_Toc186224232"/>
      <w:r>
        <w:rPr/>
        <w:t>Информация о проводимой закупке</w:t>
      </w:r>
      <w:bookmarkEnd w:id="6"/>
      <w:bookmarkEnd w:id="7"/>
      <w:bookmarkEnd w:id="8"/>
      <w:bookmarkEnd w:id="9"/>
    </w:p>
    <w:tbl>
      <w:tblPr>
        <w:tblStyle w:val="af8"/>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974"/>
        <w:gridCol w:w="5812"/>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4"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Запрос предложений в электронной форме, участниками которого могут быть только субъекты МСП.</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12" w:type="dxa"/>
            <w:tcBorders/>
          </w:tcPr>
          <w:p>
            <w:pPr>
              <w:pStyle w:val="Normal"/>
              <w:keepNext w:val="true"/>
              <w:widowControl w:val="false"/>
              <w:suppressAutoHyphens w:val="true"/>
              <w:spacing w:before="240" w:after="0"/>
              <w:jc w:val="left"/>
              <w:rPr/>
            </w:pPr>
            <w:r>
              <w:rPr>
                <w:rStyle w:val="Style8"/>
                <w:rFonts w:eastAsia="Calibri" w:cs=""/>
                <w:b/>
                <w:bCs/>
                <w:caps w:val="false"/>
                <w:smallCaps w:val="false"/>
                <w:strike w:val="false"/>
                <w:dstrike w:val="false"/>
                <w:color w:val="222222"/>
                <w:spacing w:val="0"/>
                <w:kern w:val="0"/>
                <w:sz w:val="26"/>
                <w:szCs w:val="26"/>
                <w:u w:val="none"/>
                <w:effect w:val="none"/>
                <w:shd w:fill="auto" w:val="clear"/>
                <w:lang w:eastAsia="en-US" w:bidi="ar-SA"/>
              </w:rPr>
              <w:t>ОКПД2 42.22.22.110 Мероприятия по строительству для технологического присоединения потребителя ГБУ «Строитель» в г.Благовещенске к сетям 10-0,4 кВ</w:t>
            </w:r>
          </w:p>
          <w:p>
            <w:pPr>
              <w:pStyle w:val="Normal"/>
              <w:widowControl w:val="false"/>
              <w:suppressAutoHyphens w:val="true"/>
              <w:spacing w:before="240" w:after="0"/>
              <w:jc w:val="left"/>
              <w:rPr/>
            </w:pPr>
            <w:r>
              <w:rPr>
                <w:rStyle w:val="Style8"/>
                <w:rFonts w:eastAsia="Calibri" w:cs=""/>
                <w:b/>
                <w:bCs/>
                <w:caps w:val="false"/>
                <w:smallCaps w:val="false"/>
                <w:strike w:val="false"/>
                <w:dstrike w:val="false"/>
                <w:color w:val="222222"/>
                <w:spacing w:val="0"/>
                <w:kern w:val="0"/>
                <w:sz w:val="26"/>
                <w:szCs w:val="26"/>
                <w:u w:val="none"/>
                <w:effect w:val="none"/>
                <w:shd w:fill="auto" w:val="clear"/>
                <w:lang w:eastAsia="en-US" w:bidi="ar-SA"/>
              </w:rPr>
              <w:t>309701-КС ПИР СМР-2026-ДРСК-АЭС</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4"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12" w:type="dxa"/>
            <w:tcBorders/>
          </w:tcPr>
          <w:p>
            <w:pPr>
              <w:pStyle w:val="Style27"/>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7124"/>
            <w:bookmarkStart w:id="15" w:name="_Ref125367124"/>
            <w:bookmarkEnd w:id="15"/>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764"/>
            <w:bookmarkStart w:id="17" w:name="_Ref125360764"/>
            <w:bookmarkEnd w:id="17"/>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12" w:type="dxa"/>
            <w:tcBorders/>
          </w:tcPr>
          <w:p>
            <w:pPr>
              <w:pStyle w:val="Style27"/>
              <w:widowControl w:val="false"/>
              <w:suppressAutoHyphens w:val="true"/>
              <w:spacing w:before="60" w:after="60"/>
              <w:rPr/>
            </w:pPr>
            <w:r>
              <w:rPr>
                <w:rFonts w:eastAsia="Calibri" w:cs=""/>
                <w:kern w:val="0"/>
                <w:sz w:val="24"/>
                <w:szCs w:val="24"/>
                <w:lang w:val="ru-RU" w:eastAsia="en-US" w:bidi="ar-SA"/>
              </w:rPr>
              <w:t xml:space="preserve">Электронная торговая площадка: Электронная (торговая) площадка: </w:t>
            </w:r>
            <w:hyperlink r:id="rId3">
              <w:r>
                <w:rPr>
                  <w:rStyle w:val="Hyperlink"/>
                  <w:rFonts w:eastAsia="Calibri" w:cs=""/>
                  <w:kern w:val="0"/>
                  <w:sz w:val="24"/>
                  <w:szCs w:val="24"/>
                  <w:lang w:val="ru-RU" w:eastAsia="en-US" w:bidi="ar-SA"/>
                </w:rPr>
                <w:t>https://tender.lot-online.ru</w:t>
              </w:r>
            </w:hyperlink>
          </w:p>
          <w:p>
            <w:pPr>
              <w:pStyle w:val="Normal"/>
              <w:widowControl w:val="false"/>
              <w:suppressAutoHyphens w:val="true"/>
              <w:spacing w:before="0" w:after="0"/>
              <w:jc w:val="left"/>
              <w:rPr>
                <w:bCs/>
                <w:sz w:val="24"/>
                <w:szCs w:val="24"/>
                <w:highlight w:val="none"/>
                <w:shd w:fill="auto" w:val="clear"/>
              </w:rPr>
            </w:pPr>
            <w:r>
              <w:rPr>
                <w:bCs/>
                <w:sz w:val="24"/>
                <w:szCs w:val="24"/>
                <w:shd w:fill="auto" w:val="clear"/>
              </w:rPr>
            </w:r>
          </w:p>
          <w:p>
            <w:pPr>
              <w:pStyle w:val="Style27"/>
              <w:widowControl w:val="false"/>
              <w:suppressAutoHyphens w:val="true"/>
              <w:spacing w:before="60" w:after="60"/>
              <w:rPr/>
            </w:pPr>
            <w:r>
              <w:rPr>
                <w:rStyle w:val="Style8"/>
                <w:rFonts w:eastAsia="Calibri" w:cs=""/>
                <w:i w:val="false"/>
                <w:iCs w:val="false"/>
                <w:kern w:val="0"/>
                <w:sz w:val="24"/>
                <w:szCs w:val="24"/>
                <w:shd w:fill="auto" w:val="clear"/>
                <w:lang w:val="ru-RU" w:eastAsia="en-US" w:bidi="ar-SA"/>
              </w:rPr>
              <w:t>Регламент РАД, в соответствии с которым проводится закупка, размещен по адресу:</w:t>
            </w:r>
          </w:p>
          <w:p>
            <w:pPr>
              <w:pStyle w:val="Style27"/>
              <w:widowControl w:val="false"/>
              <w:suppressAutoHyphens w:val="true"/>
              <w:spacing w:before="60" w:after="60"/>
              <w:rPr/>
            </w:pPr>
            <w:hyperlink r:id="rId4" w:tgtFrame="https://tender.lot-online.ru/app/EtpDocList/page">
              <w:r>
                <w:rPr>
                  <w:rStyle w:val="Hyperlink"/>
                  <w:rFonts w:eastAsia="Calibri" w:cs=""/>
                  <w:kern w:val="0"/>
                  <w:sz w:val="26"/>
                  <w:szCs w:val="22"/>
                  <w:lang w:val="ru-RU" w:eastAsia="en-US" w:bidi="ar-SA"/>
                </w:rPr>
                <w:t>https://tender.lot-online.ru/app/EtpDocList/page</w:t>
              </w:r>
            </w:hyperlink>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970"/>
            <w:bookmarkStart w:id="19" w:name="_Ref125360970"/>
            <w:bookmarkEnd w:id="19"/>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7"/>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88"/>
            <w:bookmarkStart w:id="21" w:name="_Ref125360988"/>
            <w:bookmarkEnd w:id="21"/>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12"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6"/>
                <w:b/>
              </w:rPr>
            </w:pPr>
            <w:r>
              <w:rPr>
                <w:rStyle w:val="Style16"/>
                <w:b/>
                <w:i w:val="false"/>
                <w:sz w:val="24"/>
                <w:szCs w:val="26"/>
                <w:shd w:fill="auto" w:val="clear"/>
              </w:rPr>
              <w:t>Контактный телефон: (4162) 397-</w:t>
            </w:r>
            <w:r>
              <w:rPr>
                <w:rStyle w:val="Style16"/>
                <w:b/>
                <w:sz w:val="24"/>
                <w:szCs w:val="26"/>
                <w:shd w:fill="auto" w:val="clear"/>
              </w:rPr>
              <w:t>307</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54"/>
            <w:bookmarkStart w:id="23" w:name="_Ref125360954"/>
            <w:bookmarkEnd w:id="23"/>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12" w:type="dxa"/>
            <w:tcBorders/>
          </w:tcPr>
          <w:p>
            <w:pPr>
              <w:pStyle w:val="Tableheader"/>
              <w:widowControl w:val="false"/>
              <w:suppressAutoHyphens w:val="true"/>
              <w:spacing w:before="0" w:after="0"/>
              <w:jc w:val="left"/>
              <w:rPr>
                <w:b w:val="false"/>
                <w:sz w:val="24"/>
              </w:rPr>
            </w:pPr>
            <w:r>
              <w:rPr>
                <w:b w:val="false"/>
                <w:sz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b w:val="false"/>
                <w:sz w:val="24"/>
              </w:rPr>
            </w:pPr>
            <w:r>
              <w:rPr>
                <w:b w:val="false"/>
                <w:sz w:val="24"/>
              </w:rPr>
              <w:t>Место нахождения: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Почтовый адрес: 675000, Амурская обл., г. Благовещенск, ул. Шевченко, 32</w:t>
            </w:r>
          </w:p>
          <w:p>
            <w:pPr>
              <w:pStyle w:val="Tableheader"/>
              <w:widowControl w:val="false"/>
              <w:suppressAutoHyphens w:val="true"/>
              <w:spacing w:before="0" w:after="0"/>
              <w:jc w:val="left"/>
              <w:rPr>
                <w:b w:val="false"/>
                <w:sz w:val="24"/>
              </w:rPr>
            </w:pPr>
            <w:r>
              <w:rPr>
                <w:b w:val="false"/>
                <w:sz w:val="24"/>
              </w:rPr>
              <w:t>Адрес электронной почты doc@drsk.ru</w:t>
            </w:r>
          </w:p>
          <w:p>
            <w:pPr>
              <w:pStyle w:val="Tableheader"/>
              <w:widowControl w:val="false"/>
              <w:suppressAutoHyphens w:val="true"/>
              <w:spacing w:before="120" w:after="120"/>
              <w:rPr>
                <w:rStyle w:val="Style16"/>
                <w:b/>
              </w:rPr>
            </w:pPr>
            <w:r>
              <w:rPr>
                <w:rStyle w:val="Style16"/>
                <w:b/>
                <w:sz w:val="24"/>
                <w:shd w:fill="auto" w:val="clear"/>
              </w:rPr>
              <w:t>Контактный телефон: (4162) 397-307</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1238"/>
            <w:bookmarkStart w:id="25" w:name="_Ref125361238"/>
            <w:bookmarkEnd w:id="25"/>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12" w:type="dxa"/>
            <w:tcBorders/>
          </w:tcPr>
          <w:p>
            <w:pPr>
              <w:pStyle w:val="Style27"/>
              <w:widowControl w:val="false"/>
              <w:suppressAutoHyphens w:val="true"/>
              <w:spacing w:before="60" w:after="60"/>
              <w:rPr>
                <w:rStyle w:val="Style8"/>
                <w:rFonts w:ascii="Times New Roman" w:hAnsi="Times New Roman" w:eastAsia="Calibri" w:cs=""/>
                <w:kern w:val="0"/>
                <w:sz w:val="26"/>
                <w:szCs w:val="22"/>
                <w:lang w:val="ru-RU" w:eastAsia="en-US" w:bidi="ar-SA"/>
              </w:rPr>
            </w:pPr>
            <w:r>
              <w:rPr>
                <w:rStyle w:val="Style8"/>
                <w:b w:val="false"/>
                <w:i w:val="false"/>
                <w:iCs w:val="false"/>
                <w:sz w:val="24"/>
                <w:shd w:fill="auto" w:val="clear"/>
                <w:lang w:val="ru-RU"/>
              </w:rPr>
              <w:t>Контактное лицо: Игнатова Татьяна Анатольевна Контактный телефон: 8 (4162) 397-307</w:t>
            </w:r>
          </w:p>
          <w:p>
            <w:pPr>
              <w:pStyle w:val="Style27"/>
              <w:widowControl w:val="false"/>
              <w:suppressAutoHyphens w:val="true"/>
              <w:spacing w:before="60" w:after="60"/>
              <w:rPr>
                <w:rStyle w:val="Style8"/>
              </w:rPr>
            </w:pPr>
            <w:r>
              <w:rPr>
                <w:rStyle w:val="Style8"/>
                <w:i w:val="false"/>
                <w:iCs w:val="false"/>
                <w:sz w:val="24"/>
                <w:shd w:fill="auto" w:val="clear"/>
              </w:rPr>
              <w:t xml:space="preserve">Адрес электронной почты: </w:t>
            </w:r>
            <w:hyperlink r:id="rId5">
              <w:r>
                <w:rPr>
                  <w:rStyle w:val="Hyperlink"/>
                  <w:i w:val="false"/>
                  <w:iCs w:val="false"/>
                  <w:sz w:val="24"/>
                  <w:shd w:fill="auto" w:val="clear"/>
                </w:rPr>
                <w:t>ignato</w:t>
              </w:r>
              <w:r>
                <w:rPr>
                  <w:rStyle w:val="Hyperlink"/>
                  <w:sz w:val="24"/>
                </w:rPr>
                <w:t>va-ta@drsk.ru</w:t>
              </w:r>
            </w:hyperlink>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2694"/>
            <w:bookmarkStart w:id="27" w:name="_Ref125362694"/>
            <w:bookmarkEnd w:id="27"/>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63"/>
            <w:bookmarkStart w:id="29" w:name="_Ref125360963"/>
            <w:bookmarkEnd w:id="29"/>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12" w:type="dxa"/>
            <w:tcBorders/>
          </w:tcPr>
          <w:p>
            <w:pPr>
              <w:pStyle w:val="Style27"/>
              <w:widowControl w:val="false"/>
              <w:suppressAutoHyphens w:val="true"/>
              <w:spacing w:before="60" w:after="60"/>
              <w:rPr/>
            </w:pPr>
            <w:r>
              <w:rPr>
                <w:rStyle w:val="Style8"/>
                <w:rFonts w:eastAsia="Calibri" w:cs=""/>
                <w:b w:val="false"/>
                <w:bCs w:val="false"/>
                <w:i w:val="false"/>
                <w:iCs w:val="false"/>
                <w:kern w:val="0"/>
                <w:sz w:val="26"/>
                <w:szCs w:val="22"/>
                <w:shd w:fill="auto" w:val="clear"/>
                <w:lang w:val="ru-RU" w:eastAsia="en-US" w:bidi="ar-SA"/>
              </w:rPr>
              <w:t>14.07.26</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2837"/>
            <w:bookmarkStart w:id="31" w:name="_Ref125362837"/>
            <w:bookmarkEnd w:id="31"/>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14 317 302,44 руб., без учета НДС.</w:t>
            </w:r>
          </w:p>
          <w:p>
            <w:pPr>
              <w:pStyle w:val="Style27"/>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3076"/>
            <w:bookmarkStart w:id="33" w:name="_Ref125363076"/>
            <w:bookmarkEnd w:id="33"/>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2995"/>
            <w:bookmarkStart w:id="35" w:name="_Ref125362995"/>
            <w:bookmarkEnd w:id="35"/>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12" w:type="dxa"/>
            <w:tcBorders/>
          </w:tcPr>
          <w:p>
            <w:pPr>
              <w:pStyle w:val="Style27"/>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 </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предоставляется.</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475086"/>
            <w:bookmarkStart w:id="37" w:name="_Ref125475086"/>
            <w:bookmarkEnd w:id="37"/>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0779"/>
            <w:bookmarkStart w:id="39" w:name="_Ref125360779"/>
            <w:bookmarkEnd w:id="39"/>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14.07.2026</w:t>
            </w:r>
          </w:p>
          <w:p>
            <w:pPr>
              <w:pStyle w:val="Style27"/>
              <w:widowControl w:val="false"/>
              <w:suppressAutoHyphens w:val="true"/>
              <w:spacing w:before="60" w:after="60"/>
              <w:rPr/>
            </w:pPr>
            <w:r>
              <w:rPr/>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w:t>
            </w:r>
          </w:p>
          <w:p>
            <w:pPr>
              <w:pStyle w:val="Style27"/>
              <w:widowControl w:val="false"/>
              <w:suppressAutoHyphens w:val="true"/>
              <w:spacing w:before="60" w:after="60"/>
              <w:rPr>
                <w:sz w:val="28"/>
                <w:szCs w:val="24"/>
              </w:rPr>
            </w:pPr>
            <w:r>
              <w:rPr>
                <w:rFonts w:eastAsia="Calibri" w:cs=""/>
                <w:kern w:val="0"/>
                <w:sz w:val="28"/>
                <w:szCs w:val="24"/>
                <w:lang w:val="ru-RU" w:eastAsia="en-US" w:bidi="ar-SA"/>
              </w:rPr>
              <w:t>22.07.2026 г. в 09 ч. 00 мин.</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t>(по московскому времени).</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7"/>
              <w:widowControl w:val="false"/>
              <w:suppressAutoHyphens w:val="true"/>
              <w:spacing w:before="60" w:after="60"/>
              <w:rPr>
                <w:sz w:val="28"/>
                <w:szCs w:val="24"/>
              </w:rPr>
            </w:pPr>
            <w:r>
              <w:rPr>
                <w:rFonts w:eastAsia="Calibri" w:cs=""/>
                <w:kern w:val="0"/>
                <w:sz w:val="28"/>
                <w:szCs w:val="24"/>
                <w:lang w:val="ru-RU" w:eastAsia="en-US" w:bidi="ar-SA"/>
              </w:rPr>
              <w:t>22.07.2026 г. в 09 ч. 00 мин.</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t>(по московскому времени).</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6197"/>
            <w:bookmarkStart w:id="41" w:name="_Ref125476197"/>
            <w:bookmarkEnd w:id="41"/>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2733"/>
            <w:bookmarkStart w:id="43" w:name="_Ref125362733"/>
            <w:bookmarkEnd w:id="43"/>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w:t>
            </w:r>
          </w:p>
        </w:tc>
        <w:tc>
          <w:tcPr>
            <w:tcW w:w="5812" w:type="dxa"/>
            <w:tcBorders/>
          </w:tcPr>
          <w:p>
            <w:pPr>
              <w:pStyle w:val="Style27"/>
              <w:widowControl w:val="false"/>
              <w:suppressAutoHyphens w:val="true"/>
              <w:spacing w:before="60" w:after="60"/>
              <w:rPr>
                <w:sz w:val="28"/>
                <w:szCs w:val="24"/>
              </w:rPr>
            </w:pPr>
            <w:r>
              <w:rPr>
                <w:rFonts w:eastAsia="Calibri" w:cs=""/>
                <w:kern w:val="0"/>
                <w:sz w:val="28"/>
                <w:szCs w:val="24"/>
                <w:lang w:val="ru-RU" w:eastAsia="en-US" w:bidi="ar-SA"/>
              </w:rPr>
              <w:t xml:space="preserve">27.07.2026 г. </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32898515"/>
            <w:bookmarkStart w:id="45" w:name="_Ref132898515"/>
            <w:bookmarkEnd w:id="45"/>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12" w:type="dxa"/>
            <w:tcBorders/>
          </w:tcPr>
          <w:p>
            <w:pPr>
              <w:pStyle w:val="Style27"/>
              <w:widowControl w:val="false"/>
              <w:suppressAutoHyphens w:val="true"/>
              <w:spacing w:before="60" w:after="60"/>
              <w:rPr/>
            </w:pPr>
            <w:r>
              <w:rPr>
                <w:rStyle w:val="Style8"/>
                <w:rFonts w:eastAsia="Calibri" w:cs=""/>
                <w:kern w:val="0"/>
                <w:sz w:val="28"/>
                <w:szCs w:val="24"/>
                <w:shd w:fill="auto" w:val="clear"/>
                <w:lang w:val="ru-RU" w:eastAsia="en-US" w:bidi="ar-SA"/>
              </w:rPr>
              <w:t xml:space="preserve">10.08.2026 г. </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57"/>
            <w:bookmarkStart w:id="47" w:name="_Ref125362757"/>
            <w:bookmarkEnd w:id="47"/>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12" w:type="dxa"/>
            <w:tcBorders/>
          </w:tcPr>
          <w:p>
            <w:pPr>
              <w:pStyle w:val="Style27"/>
              <w:widowControl w:val="false"/>
              <w:suppressAutoHyphens w:val="true"/>
              <w:spacing w:before="60" w:after="60"/>
              <w:rPr/>
            </w:pPr>
            <w:r>
              <w:rPr>
                <w:rStyle w:val="Style8"/>
                <w:rFonts w:eastAsia="Calibri" w:cs=""/>
                <w:kern w:val="0"/>
                <w:sz w:val="28"/>
                <w:szCs w:val="24"/>
                <w:shd w:fill="auto" w:val="clear"/>
                <w:lang w:val="ru-RU" w:eastAsia="en-US" w:bidi="ar-SA"/>
              </w:rPr>
              <w:t xml:space="preserve">10.08.2026 г. </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366047"/>
            <w:bookmarkStart w:id="49" w:name="_Ref125366047"/>
            <w:bookmarkEnd w:id="49"/>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1769"/>
            <w:bookmarkStart w:id="51" w:name="_Ref125361769"/>
            <w:bookmarkEnd w:id="51"/>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606"/>
            <w:bookmarkStart w:id="53" w:name="_Ref125366606"/>
            <w:bookmarkEnd w:id="53"/>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12" w:type="dxa"/>
            <w:tcBorders/>
          </w:tcPr>
          <w:p>
            <w:pPr>
              <w:pStyle w:val="Style27"/>
              <w:widowControl w:val="false"/>
              <w:suppressAutoHyphens w:val="true"/>
              <w:spacing w:before="60" w:after="60"/>
              <w:rPr/>
            </w:pPr>
            <w:r>
              <w:rPr>
                <w:rFonts w:eastAsia="Calibri" w:cs=""/>
                <w:kern w:val="0"/>
                <w:sz w:val="26"/>
                <w:szCs w:val="22"/>
                <w:lang w:val="ru-RU" w:eastAsia="en-US" w:bidi="ar-SA"/>
              </w:rPr>
              <w:t>Один победитель.</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6813"/>
            <w:bookmarkStart w:id="55" w:name="_Ref125366813"/>
            <w:bookmarkEnd w:id="55"/>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2" w:type="dxa"/>
            <w:tcBorders/>
          </w:tcPr>
          <w:p>
            <w:pPr>
              <w:pStyle w:val="Tableheader"/>
              <w:widowControl w:val="false"/>
              <w:suppressAutoHyphens w:val="true"/>
              <w:spacing w:before="120" w:after="120"/>
              <w:rPr>
                <w:highlight w:val="none"/>
                <w:shd w:fill="auto" w:val="clear"/>
              </w:rPr>
            </w:pPr>
            <w:r>
              <w:rPr>
                <w:b w:val="false"/>
                <w:sz w:val="26"/>
                <w:szCs w:val="26"/>
                <w:shd w:fill="auto" w:val="clear"/>
              </w:rPr>
              <w:t>П</w:t>
            </w:r>
            <w:r>
              <w:rPr>
                <w:b w:val="false"/>
                <w:sz w:val="24"/>
                <w:szCs w:val="24"/>
                <w:shd w:fill="auto" w:val="clear"/>
              </w:rPr>
              <w:t>очтовый адрес: 675004, Благовещенск, ул. Шевченко, 32, каб. 214</w:t>
            </w:r>
          </w:p>
          <w:p>
            <w:pPr>
              <w:pStyle w:val="Style27"/>
              <w:widowControl w:val="false"/>
              <w:suppressAutoHyphens w:val="true"/>
              <w:spacing w:before="60" w:after="60"/>
              <w:rPr/>
            </w:pPr>
            <w:r>
              <w:rPr>
                <w:rStyle w:val="Style8"/>
                <w:rFonts w:eastAsia="Calibri" w:cs=""/>
                <w:b w:val="false"/>
                <w:kern w:val="0"/>
                <w:sz w:val="26"/>
                <w:szCs w:val="22"/>
                <w:shd w:fill="auto" w:val="clear"/>
                <w:lang w:val="ru-RU" w:eastAsia="en-US" w:bidi="ar-SA"/>
              </w:rPr>
              <w:t>Контактное лицо для приема документов (Ф.И.О.): Ярый В.С.</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8490"/>
            <w:bookmarkStart w:id="57" w:name="_Ref125368490"/>
            <w:bookmarkEnd w:id="57"/>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12" w:type="dxa"/>
            <w:tcBorders/>
          </w:tcPr>
          <w:p>
            <w:pPr>
              <w:pStyle w:val="Style27"/>
              <w:widowControl w:val="false"/>
              <w:suppressAutoHyphens w:val="true"/>
              <w:spacing w:before="60" w:after="60"/>
              <w:rPr/>
            </w:pPr>
            <w:r>
              <w:rPr>
                <w:rFonts w:eastAsia="Calibri" w:cs=""/>
                <w:kern w:val="0"/>
                <w:sz w:val="26"/>
                <w:szCs w:val="22"/>
                <w:lang w:val="ru-RU" w:eastAsia="en-US" w:bidi="ar-SA"/>
              </w:rPr>
              <w:t>Отсутствуют.</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4"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12"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tc>
      </w:tr>
    </w:tbl>
    <w:p>
      <w:pPr>
        <w:pStyle w:val="Style21"/>
        <w:rPr/>
      </w:pPr>
      <w:bookmarkStart w:id="58" w:name="_Ref125360073"/>
      <w:bookmarkStart w:id="59" w:name="_Ref125360337"/>
      <w:bookmarkStart w:id="60" w:name="_Toc186224233"/>
      <w:r>
        <w:rPr/>
        <w:t>Общие положения</w:t>
      </w:r>
      <w:bookmarkEnd w:id="58"/>
      <w:bookmarkEnd w:id="59"/>
      <w:bookmarkEnd w:id="60"/>
    </w:p>
    <w:p>
      <w:pPr>
        <w:pStyle w:val="Style22"/>
        <w:rPr/>
      </w:pPr>
      <w:bookmarkStart w:id="61" w:name="_Toc186224234"/>
      <w:r>
        <w:rPr/>
        <w:t>Общие сведения о закупке</w:t>
      </w:r>
      <w:bookmarkEnd w:id="61"/>
    </w:p>
    <w:p>
      <w:pPr>
        <w:pStyle w:val="Style23"/>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3"/>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3"/>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w:t>
      </w:r>
    </w:p>
    <w:p>
      <w:pPr>
        <w:pStyle w:val="Style23"/>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2"/>
        <w:rPr/>
      </w:pPr>
      <w:bookmarkStart w:id="62" w:name="_Toc186224235"/>
      <w:r>
        <w:rPr/>
        <w:t>Правовой статус документов</w:t>
      </w:r>
      <w:bookmarkEnd w:id="62"/>
    </w:p>
    <w:p>
      <w:pPr>
        <w:pStyle w:val="Style23"/>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3"/>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3"/>
        <w:keepNext w:val="true"/>
        <w:rPr/>
      </w:pPr>
      <w:bookmarkStart w:id="6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5.2.8</w:t>
      </w:r>
      <w:r>
        <w:rPr/>
        <w:fldChar w:fldCharType="end"/>
      </w:r>
      <w:bookmarkEnd w:id="63"/>
      <w:r>
        <w:rPr/>
        <w:t>.</w:t>
      </w:r>
    </w:p>
    <w:p>
      <w:pPr>
        <w:pStyle w:val="Style23"/>
        <w:rPr/>
      </w:pPr>
      <w:r>
        <w:rPr/>
        <w:t>Заключенный по результатам закупки Договор, в том числе, фиксирует все достигнутые сторонами договоренности.</w:t>
      </w:r>
    </w:p>
    <w:p>
      <w:pPr>
        <w:pStyle w:val="Style23"/>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3"/>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3"/>
        <w:rPr/>
      </w:pPr>
      <w:r>
        <w:rPr/>
        <w:t>Иные документы Организатора и Участников не определяют права и обязанности сторон в связи с данной закупкой.</w:t>
      </w:r>
    </w:p>
    <w:p>
      <w:pPr>
        <w:pStyle w:val="Style23"/>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2"/>
        <w:rPr/>
      </w:pPr>
      <w:bookmarkStart w:id="64" w:name="_Ref125363536"/>
      <w:bookmarkStart w:id="65" w:name="_Toc186224236"/>
      <w:r>
        <w:rPr/>
        <w:t>Обжалование</w:t>
      </w:r>
      <w:bookmarkEnd w:id="64"/>
      <w:bookmarkEnd w:id="65"/>
    </w:p>
    <w:p>
      <w:pPr>
        <w:pStyle w:val="Style23"/>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3"/>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3"/>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4"/>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4"/>
        <w:rPr/>
      </w:pPr>
      <w:r>
        <w:rPr/>
        <w:t>признать заявление Участника необоснованным.</w:t>
      </w:r>
    </w:p>
    <w:p>
      <w:pPr>
        <w:pStyle w:val="Style23"/>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3"/>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4"/>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4"/>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7"/>
        <w:ind w:left="1134" w:hanging="0"/>
        <w:rPr/>
      </w:pPr>
      <w:r>
        <w:rPr/>
        <w:t>Закупочная комиссия определяется в соответствии с Положением о закупке.</w:t>
      </w:r>
    </w:p>
    <w:p>
      <w:pPr>
        <w:pStyle w:val="Style22"/>
        <w:rPr/>
      </w:pPr>
      <w:bookmarkStart w:id="66" w:name="_Toc186224237"/>
      <w:r>
        <w:rPr/>
        <w:t>Особые положения при проведении закупки с использованием ЭП</w:t>
      </w:r>
      <w:bookmarkEnd w:id="66"/>
    </w:p>
    <w:p>
      <w:pPr>
        <w:pStyle w:val="Style23"/>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3"/>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3"/>
        <w:rPr/>
      </w:pPr>
      <w:r>
        <w:rPr/>
        <w:t>Правила проведения закупки в том числе определяются Регламентом ЭП.</w:t>
      </w:r>
    </w:p>
    <w:p>
      <w:pPr>
        <w:pStyle w:val="Style23"/>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3"/>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2"/>
        <w:rPr/>
      </w:pPr>
      <w:bookmarkStart w:id="67" w:name="_Toc186224238"/>
      <w:r>
        <w:rPr/>
        <w:t>Прочие положения</w:t>
      </w:r>
      <w:bookmarkEnd w:id="67"/>
    </w:p>
    <w:p>
      <w:pPr>
        <w:pStyle w:val="Style23"/>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3"/>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3"/>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1"/>
        <w:rPr/>
      </w:pPr>
      <w:bookmarkStart w:id="68" w:name="_Ref125361210"/>
      <w:bookmarkStart w:id="69" w:name="_Toc186224239"/>
      <w:r>
        <w:rPr/>
        <w:t>Требования к Участникам</w:t>
      </w:r>
      <w:bookmarkEnd w:id="68"/>
      <w:bookmarkEnd w:id="69"/>
    </w:p>
    <w:p>
      <w:pPr>
        <w:pStyle w:val="Style22"/>
        <w:rPr/>
      </w:pPr>
      <w:bookmarkStart w:id="70" w:name="_Ref127524530"/>
      <w:bookmarkStart w:id="71" w:name="_Toc186224240"/>
      <w:r>
        <w:rPr/>
        <w:t>Общие требования к Участникам</w:t>
      </w:r>
      <w:bookmarkEnd w:id="70"/>
      <w:bookmarkEnd w:id="71"/>
    </w:p>
    <w:p>
      <w:pPr>
        <w:pStyle w:val="Style23"/>
        <w:rPr/>
      </w:pPr>
      <w:bookmarkStart w:id="72"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72"/>
    </w:p>
    <w:p>
      <w:pPr>
        <w:pStyle w:val="Style23"/>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3"/>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w:t>
      </w:r>
    </w:p>
    <w:p>
      <w:pPr>
        <w:pStyle w:val="Style23"/>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4"/>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4"/>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3"/>
        <w:keepNext w:val="true"/>
        <w:rPr/>
      </w:pPr>
      <w:r>
        <w:rPr/>
        <w:t>В рамках требований к Участникам могут быть установлены дополнительные требования:</w:t>
      </w:r>
    </w:p>
    <w:p>
      <w:pPr>
        <w:pStyle w:val="Style24"/>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4"/>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3"/>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73" w:name="_Hlk132706049"/>
      <w:r>
        <w:rPr/>
        <w:t>если иное не установлено в Документации о закупке</w:t>
      </w:r>
      <w:bookmarkEnd w:id="73"/>
      <w:r>
        <w:rPr/>
        <w:t>.</w:t>
      </w:r>
    </w:p>
    <w:p>
      <w:pPr>
        <w:pStyle w:val="Style22"/>
        <w:rPr/>
      </w:pPr>
      <w:bookmarkStart w:id="74" w:name="_Ref130305355"/>
      <w:bookmarkStart w:id="75" w:name="_Ref130308062"/>
      <w:bookmarkStart w:id="76" w:name="_Ref130308111"/>
      <w:bookmarkStart w:id="77" w:name="_Ref130308203"/>
      <w:bookmarkStart w:id="78" w:name="_Ref130308255"/>
      <w:bookmarkStart w:id="79" w:name="_Toc186224241"/>
      <w:bookmarkStart w:id="80" w:name="_Ref125361969"/>
      <w:bookmarkStart w:id="81" w:name="_Ref125361976"/>
      <w:r>
        <w:rPr/>
        <w:t>Коллективные участники</w:t>
      </w:r>
      <w:bookmarkEnd w:id="74"/>
      <w:bookmarkEnd w:id="75"/>
      <w:bookmarkEnd w:id="76"/>
      <w:bookmarkEnd w:id="77"/>
      <w:bookmarkEnd w:id="78"/>
      <w:bookmarkEnd w:id="79"/>
      <w:bookmarkEnd w:id="80"/>
      <w:bookmarkEnd w:id="81"/>
    </w:p>
    <w:p>
      <w:pPr>
        <w:pStyle w:val="Style23"/>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3"/>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bookmarkStart w:id="82" w:name="_Ref125366972"/>
      <w:r>
        <w:rPr/>
        <w:t>Члены Коллективного участника заключают между собой соглашение (предоставляется Победителем Заказчику перед заключением Договора, в соответствии с пунктом </w:t>
      </w:r>
      <w:r>
        <w:rPr/>
        <w:fldChar w:fldCharType="begin"/>
      </w:r>
      <w:r>
        <w:rPr/>
        <w:instrText xml:space="preserve"> REF _Ref125361554 \w \h </w:instrText>
      </w:r>
      <w:r>
        <w:rPr/>
        <w:fldChar w:fldCharType="separate"/>
      </w:r>
      <w:r>
        <w:rPr/>
        <w:t>5.2.5г)</w:t>
      </w:r>
      <w:r>
        <w:rPr/>
        <w:fldChar w:fldCharType="end"/>
      </w:r>
      <w:r>
        <w:rPr/>
        <w:t>), соответствующее нормам ГК РФ, и отвечающее следующим требованиям:</w:t>
      </w:r>
      <w:bookmarkEnd w:id="82"/>
    </w:p>
    <w:p>
      <w:pPr>
        <w:pStyle w:val="Style24"/>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4"/>
        <w:rPr/>
      </w:pPr>
      <w:r>
        <w:rPr/>
        <w:t>в соглашении должно быть приведено распределение номенклатуры, объемов, с приведением % от общей стоимости продукции (без указания стоимости в рублях), а также сроков поставки продукции между членами Коллективного участника;</w:t>
      </w:r>
    </w:p>
    <w:p>
      <w:pPr>
        <w:pStyle w:val="Style24"/>
        <w:rPr/>
      </w:pPr>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w:t>
      </w:r>
    </w:p>
    <w:p>
      <w:pPr>
        <w:pStyle w:val="Style24"/>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4"/>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4"/>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3"/>
        <w:rPr/>
      </w:pPr>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1"/>
          </w:rPr>
          <w:t>Приложение № 4</w:t>
        </w:r>
      </w:hyperlink>
      <w:r>
        <w:rPr/>
        <w:t>) на то, что он представляет интересы Коллективного участника.</w:t>
      </w:r>
    </w:p>
    <w:p>
      <w:pPr>
        <w:pStyle w:val="Style23"/>
        <w:rPr/>
      </w:pPr>
      <w:bookmarkStart w:id="83"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83"/>
    </w:p>
    <w:p>
      <w:pPr>
        <w:pStyle w:val="Style23"/>
        <w:rPr/>
      </w:pPr>
      <w:r>
        <w:rPr/>
        <w:t>При рассмотрении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указанных специальных допусков, лицензий, разрешительных документов, членства в саморегулируемых организациях в соответствии с законодательством (с уровнем ответственности пропорционально порученному объему поставки продукции).</w:t>
      </w:r>
    </w:p>
    <w:p>
      <w:pPr>
        <w:pStyle w:val="Style23"/>
        <w:rPr/>
      </w:pPr>
      <w:bookmarkStart w:id="84" w:name="_Ref135034010"/>
      <w:r>
        <w:rPr/>
        <w:t xml:space="preserve">При оценке заявки Коллективного участника по квалификационным критериям оценки (в случае их установления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членов Коллективного участника (</w:t>
      </w:r>
      <w:bookmarkStart w:id="85" w:name="_Hlk132709364"/>
      <w:r>
        <w:rPr/>
        <w:t>наличие требуемого опыта, обеспеченность материально-техническими ресурсами и кадровыми ресурсами</w:t>
      </w:r>
      <w:bookmarkEnd w:id="85"/>
      <w:r>
        <w:rPr/>
        <w:t>) суммируются. Не подлежащие суммированию показатели, в том числе показатели, относящиеся к качественным характеристикам требуемого опыта,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указанного опыта работы и других показателей, не подлежащих суммированию.</w:t>
      </w:r>
      <w:bookmarkEnd w:id="84"/>
    </w:p>
    <w:p>
      <w:pPr>
        <w:pStyle w:val="Style23"/>
        <w:keepNext w:val="true"/>
        <w:rPr/>
      </w:pPr>
      <w:bookmarkStart w:id="86"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86"/>
    </w:p>
    <w:p>
      <w:pPr>
        <w:pStyle w:val="Style24"/>
        <w:rPr/>
      </w:pPr>
      <w:r>
        <w:rPr/>
        <w:t>принимать участие в этой же закупке самостоятельно;</w:t>
      </w:r>
    </w:p>
    <w:p>
      <w:pPr>
        <w:pStyle w:val="Style24"/>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7"/>
        <w:ind w:left="1134" w:hanging="0"/>
        <w:rPr/>
      </w:pPr>
      <w:r>
        <w:rPr/>
        <w:t>В случае невыполнения данного требования все заявки с участием таких лиц будут отклонены без рассмотрения по существу.</w:t>
      </w:r>
    </w:p>
    <w:p>
      <w:pPr>
        <w:pStyle w:val="Style23"/>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1"/>
          </w:rPr>
          <w:t>Приложение № 3</w:t>
        </w:r>
      </w:hyperlink>
      <w:r>
        <w:rPr>
          <w:rStyle w:val="Style11"/>
        </w:rPr>
        <w:t>)</w:t>
      </w:r>
      <w:r>
        <w:rPr/>
        <w:t>, а также при несоблюдении вышеуказанных норм настоящего подраздела заявка такого Коллективного участника отклоняется.</w:t>
      </w:r>
    </w:p>
    <w:p>
      <w:pPr>
        <w:pStyle w:val="Style23"/>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3"/>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2"/>
        <w:rPr/>
      </w:pPr>
      <w:bookmarkStart w:id="87" w:name="_Ref125361702"/>
      <w:bookmarkStart w:id="88" w:name="_Toc186224242"/>
      <w:r>
        <w:rPr/>
        <w:t>Генеральные подрядчики</w:t>
      </w:r>
      <w:bookmarkEnd w:id="87"/>
      <w:bookmarkEnd w:id="88"/>
    </w:p>
    <w:p>
      <w:pPr>
        <w:pStyle w:val="Style23"/>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3"/>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r>
        <w:rPr/>
        <w:t>Генеральный подрядчик:</w:t>
      </w:r>
    </w:p>
    <w:p>
      <w:pPr>
        <w:pStyle w:val="Style24"/>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4"/>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keepNext w:val="true"/>
        <w:rPr/>
      </w:pPr>
      <w:r>
        <w:rPr/>
        <w:t>Каждый субподрядчик из привлекаемых Генеральным подрядчиком должен отвечать:</w:t>
      </w:r>
    </w:p>
    <w:p>
      <w:pPr>
        <w:pStyle w:val="Style24"/>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ind w:left="1134" w:hanging="0"/>
        <w:rPr/>
      </w:pPr>
      <w:bookmarkStart w:id="89"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89"/>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3"/>
        <w:rPr/>
      </w:pPr>
      <w:bookmarkStart w:id="90"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90"/>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1"/>
        <w:rPr/>
      </w:pPr>
      <w:bookmarkStart w:id="91" w:name="_Ref125361211"/>
      <w:bookmarkStart w:id="92" w:name="_Ref125367098"/>
      <w:bookmarkStart w:id="93" w:name="_Ref125367107"/>
      <w:bookmarkStart w:id="94" w:name="_Ref125367974"/>
      <w:bookmarkStart w:id="95" w:name="_Toc186224243"/>
      <w:r>
        <w:rPr/>
        <w:t>Порядок проведения закупки</w:t>
      </w:r>
      <w:bookmarkEnd w:id="91"/>
      <w:bookmarkEnd w:id="92"/>
      <w:bookmarkEnd w:id="93"/>
      <w:bookmarkEnd w:id="94"/>
      <w:bookmarkEnd w:id="95"/>
    </w:p>
    <w:p>
      <w:pPr>
        <w:pStyle w:val="Style22"/>
        <w:rPr/>
      </w:pPr>
      <w:bookmarkStart w:id="96" w:name="_Ref126141932"/>
      <w:bookmarkStart w:id="97" w:name="_Toc186224244"/>
      <w:r>
        <w:rPr/>
        <w:t>Общий порядок проведения закупки</w:t>
      </w:r>
      <w:bookmarkEnd w:id="96"/>
      <w:bookmarkEnd w:id="97"/>
    </w:p>
    <w:p>
      <w:pPr>
        <w:pStyle w:val="Style23"/>
        <w:keepNext w:val="true"/>
        <w:spacing w:before="120" w:after="120"/>
        <w:rPr/>
      </w:pPr>
      <w:r>
        <w:rPr/>
        <w:t>Закупка проводится в следующем порядке:</w:t>
      </w:r>
    </w:p>
    <w:tbl>
      <w:tblPr>
        <w:tblStyle w:val="af8"/>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7"/>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7"/>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3219"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98" w:name="_Ref130286532"/>
      <w:bookmarkStart w:id="99" w:name="_Toc186224245"/>
      <w:r>
        <w:rPr/>
        <w:t>Официальное размещение Извещения и Документации о закупке</w:t>
      </w:r>
      <w:bookmarkEnd w:id="98"/>
      <w:bookmarkEnd w:id="99"/>
    </w:p>
    <w:p>
      <w:pPr>
        <w:pStyle w:val="Style23"/>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3"/>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3"/>
        <w:rPr/>
      </w:pPr>
      <w:bookmarkStart w:id="100"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00"/>
    </w:p>
    <w:p>
      <w:pPr>
        <w:pStyle w:val="Style23"/>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2"/>
        <w:rPr/>
      </w:pPr>
      <w:bookmarkStart w:id="101" w:name="_Ref130281199"/>
      <w:bookmarkStart w:id="102" w:name="_Ref130394681"/>
      <w:bookmarkStart w:id="103" w:name="_Toc186224246"/>
      <w:r>
        <w:rPr/>
        <w:t>Подготовка заявки</w:t>
      </w:r>
      <w:bookmarkEnd w:id="101"/>
      <w:bookmarkEnd w:id="102"/>
      <w:bookmarkEnd w:id="103"/>
    </w:p>
    <w:p>
      <w:pPr>
        <w:pStyle w:val="Style23"/>
        <w:rPr/>
      </w:pPr>
      <w:r>
        <w:rPr/>
        <w:t>Участник должен подготовить заявку с учетом требований Документации о закупке.</w:t>
      </w:r>
    </w:p>
    <w:p>
      <w:pPr>
        <w:pStyle w:val="Style23"/>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3"/>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3"/>
        <w:rPr/>
      </w:pPr>
      <w:r>
        <w:rPr/>
        <w:t xml:space="preserve">Непосредственно перед подачей заявки Участник должен разделить подготовленные документы на отдельные части: </w:t>
      </w:r>
      <w:bookmarkStart w:id="104" w:name="_Hlk132886098"/>
      <w:r>
        <w:rPr/>
        <w:t>первую часть, вторую часть и ценовое предложение</w:t>
      </w:r>
      <w:bookmarkEnd w:id="104"/>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3"/>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3"/>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3"/>
        <w:rPr/>
      </w:pPr>
      <w:bookmarkStart w:id="105" w:name="_Ref130394854"/>
      <w:bookmarkStart w:id="106"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05"/>
      <w:bookmarkEnd w:id="106"/>
    </w:p>
    <w:p>
      <w:pPr>
        <w:pStyle w:val="Style23"/>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3"/>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3"/>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3"/>
        <w:rPr/>
      </w:pPr>
      <w:bookmarkStart w:id="107" w:name="_Ref125370700"/>
      <w:bookmarkStart w:id="108"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3"/>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7"/>
      <w:bookmarkEnd w:id="108"/>
    </w:p>
    <w:p>
      <w:pPr>
        <w:pStyle w:val="Style23"/>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3"/>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4"/>
        <w:rPr/>
      </w:pPr>
      <w:r>
        <w:rPr/>
        <w:t>внутренние противоречия между различными частями и (или) документами заявки, в том числе по тексту внутри одного документа;</w:t>
      </w:r>
    </w:p>
    <w:p>
      <w:pPr>
        <w:pStyle w:val="Style24"/>
        <w:rPr/>
      </w:pPr>
      <w:bookmarkStart w:id="109" w:name="_Ref125370398"/>
      <w:bookmarkStart w:id="110" w:name="_Ref125714384"/>
      <w:r>
        <w:rPr/>
        <w:t>противоречия между документами заявки и сведениями, указанными Участником в структурированных формах на ЭП.</w:t>
      </w:r>
      <w:bookmarkEnd w:id="109"/>
      <w:bookmarkEnd w:id="110"/>
    </w:p>
    <w:p>
      <w:pPr>
        <w:pStyle w:val="Style23"/>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4"/>
        <w:rPr/>
      </w:pPr>
      <w:r>
        <w:rPr/>
        <w:t>полномочий таких органов / лиц на оформление этих документов;</w:t>
      </w:r>
    </w:p>
    <w:p>
      <w:pPr>
        <w:pStyle w:val="Style24"/>
        <w:rPr/>
      </w:pPr>
      <w:r>
        <w:rPr/>
        <w:t>формы, объема и содержания этих документов.</w:t>
      </w:r>
    </w:p>
    <w:p>
      <w:pPr>
        <w:pStyle w:val="Style23"/>
        <w:keepNext w:val="true"/>
        <w:rPr/>
      </w:pPr>
      <w:r>
        <w:rPr/>
        <w:t>Участник должен подготовить заявку с соблюдением следующих условий:</w:t>
      </w:r>
    </w:p>
    <w:p>
      <w:pPr>
        <w:pStyle w:val="Style24"/>
        <w:rPr/>
      </w:pPr>
      <w:r>
        <w:rPr/>
        <w:t>документы заявки могут предоставляться как в графическом виде (в том числе в виде скан-копии, рекомендуемый формат: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lang w:val="en-US"/>
        </w:rPr>
        <w:t>pdf</w:t>
      </w:r>
      <w:r>
        <w:rPr/>
        <w:t>);</w:t>
      </w:r>
    </w:p>
    <w:p>
      <w:pPr>
        <w:pStyle w:val="Style24"/>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4"/>
        <w:rPr/>
      </w:pPr>
      <w:r>
        <w:rPr/>
        <w:t>все файлы не должны иметь защиты от их открытия, изменения, копирования их содержимого или их печати;</w:t>
      </w:r>
    </w:p>
    <w:p>
      <w:pPr>
        <w:pStyle w:val="Style24"/>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4"/>
        <w:rPr/>
      </w:pPr>
      <w:r>
        <w:rPr/>
        <w:t>если какой-либо документ представлен в нечитаемом виде, данный документ считается непредставленным.</w:t>
      </w:r>
    </w:p>
    <w:p>
      <w:pPr>
        <w:pStyle w:val="Style23"/>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2"/>
        <w:rPr/>
      </w:pPr>
      <w:bookmarkStart w:id="111" w:name="_Ref130394205"/>
      <w:bookmarkStart w:id="112" w:name="_Ref130394785"/>
      <w:bookmarkStart w:id="113" w:name="_Ref130394802"/>
      <w:bookmarkStart w:id="114" w:name="_Toc186224247"/>
      <w:bookmarkStart w:id="115" w:name="_Ref125361260"/>
      <w:bookmarkStart w:id="116" w:name="_Ref125362071"/>
      <w:bookmarkStart w:id="117" w:name="_Ref125366672"/>
      <w:r>
        <w:rPr/>
        <w:t>Разъяснение Документации о закупке</w:t>
      </w:r>
      <w:bookmarkEnd w:id="111"/>
      <w:bookmarkEnd w:id="112"/>
      <w:bookmarkEnd w:id="113"/>
      <w:bookmarkEnd w:id="114"/>
      <w:bookmarkEnd w:id="115"/>
      <w:bookmarkEnd w:id="116"/>
      <w:bookmarkEnd w:id="117"/>
    </w:p>
    <w:p>
      <w:pPr>
        <w:pStyle w:val="Style23"/>
        <w:rPr/>
      </w:pPr>
      <w:r>
        <w:rPr/>
        <w:t>Участники вправе обратиться к Организатору за разъяснениями Документации о закупке.</w:t>
      </w:r>
    </w:p>
    <w:p>
      <w:pPr>
        <w:pStyle w:val="Style23"/>
        <w:rPr/>
      </w:pPr>
      <w:r>
        <w:rPr/>
        <w:t>Запросы подаются в соответствии с Регламентами и инструкциями Оператора ЭП, опубликованными на сайте соответствующей ЭП.</w:t>
      </w:r>
    </w:p>
    <w:p>
      <w:pPr>
        <w:pStyle w:val="Style23"/>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3"/>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3"/>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3"/>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3"/>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2"/>
        <w:rPr/>
      </w:pPr>
      <w:bookmarkStart w:id="118" w:name="_Ref125362076"/>
      <w:bookmarkStart w:id="119" w:name="_Ref125363891"/>
      <w:bookmarkStart w:id="120" w:name="_Ref125364404"/>
      <w:bookmarkStart w:id="121" w:name="_Toc186224248"/>
      <w:r>
        <w:rPr/>
        <w:t>Изменения Извещения и (или) Документации о закупке</w:t>
      </w:r>
      <w:bookmarkEnd w:id="118"/>
      <w:bookmarkEnd w:id="119"/>
      <w:bookmarkEnd w:id="120"/>
      <w:bookmarkEnd w:id="121"/>
    </w:p>
    <w:p>
      <w:pPr>
        <w:pStyle w:val="Style23"/>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3"/>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4"/>
        <w:rPr/>
      </w:pPr>
      <w:r>
        <w:rPr/>
        <w:t>рассмотрения первых частей заявок;</w:t>
      </w:r>
    </w:p>
    <w:p>
      <w:pPr>
        <w:pStyle w:val="Style24"/>
        <w:rPr/>
      </w:pPr>
      <w:r>
        <w:rPr/>
        <w:t>рассмотрения вторых частей заявок и ценовых предложений;</w:t>
      </w:r>
    </w:p>
    <w:p>
      <w:pPr>
        <w:pStyle w:val="Style24"/>
        <w:rPr/>
      </w:pPr>
      <w:r>
        <w:rPr/>
        <w:t>подведения итогов закупки;</w:t>
      </w:r>
    </w:p>
    <w:p>
      <w:pPr>
        <w:pStyle w:val="Style27"/>
        <w:ind w:left="1134" w:hanging="0"/>
        <w:rPr/>
      </w:pPr>
      <w:bookmarkStart w:id="122" w:name="_Ref125550844"/>
      <w:r>
        <w:rPr/>
        <w:t>в пределах срока действия заявок и с уведомлением Участников, подавших заявки.</w:t>
      </w:r>
      <w:bookmarkEnd w:id="122"/>
    </w:p>
    <w:p>
      <w:pPr>
        <w:pStyle w:val="Style23"/>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3"/>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23"/>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2"/>
        <w:rPr/>
      </w:pPr>
      <w:bookmarkStart w:id="123" w:name="_Ref125362119"/>
      <w:bookmarkStart w:id="124" w:name="_Toc186224249"/>
      <w:r>
        <w:rPr/>
        <w:t>Подача заявок и их прием</w:t>
      </w:r>
      <w:bookmarkEnd w:id="123"/>
      <w:bookmarkEnd w:id="124"/>
    </w:p>
    <w:p>
      <w:pPr>
        <w:pStyle w:val="Style23"/>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3"/>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3"/>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3"/>
        <w:rPr/>
      </w:pPr>
      <w:r>
        <w:rPr/>
        <w:t>Заявка должна быть подписана электронной подписью лица, которое является уполномоченным представителем Участника.</w:t>
      </w:r>
    </w:p>
    <w:p>
      <w:pPr>
        <w:pStyle w:val="Style23"/>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3"/>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3"/>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2"/>
        <w:rPr/>
      </w:pPr>
      <w:bookmarkStart w:id="125" w:name="_Ref125362130"/>
      <w:bookmarkStart w:id="126" w:name="_Ref125362192"/>
      <w:bookmarkStart w:id="127" w:name="_Ref125363819"/>
      <w:bookmarkStart w:id="128" w:name="_Ref125365136"/>
      <w:bookmarkStart w:id="129" w:name="_Toc186224250"/>
      <w:r>
        <w:rPr/>
        <w:t>Изменение и отзыв заявок</w:t>
      </w:r>
      <w:bookmarkEnd w:id="125"/>
      <w:bookmarkEnd w:id="126"/>
      <w:bookmarkEnd w:id="127"/>
      <w:bookmarkEnd w:id="128"/>
      <w:bookmarkEnd w:id="129"/>
    </w:p>
    <w:p>
      <w:pPr>
        <w:pStyle w:val="Style23"/>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3"/>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3"/>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3"/>
        <w:rPr/>
      </w:pPr>
      <w:r>
        <w:rPr/>
        <w:t>Изменения и отзыв заявки осуществляется посредством функционала ЭП (подробный порядок определяется Регламентом ЭП).</w:t>
      </w:r>
    </w:p>
    <w:p>
      <w:pPr>
        <w:pStyle w:val="Style22"/>
        <w:rPr/>
      </w:pPr>
      <w:bookmarkStart w:id="130" w:name="_Ref132816188"/>
      <w:bookmarkStart w:id="131" w:name="_Toc186224251"/>
      <w:r>
        <w:rPr/>
        <w:t>Открытие доступа к первым частям заявок</w:t>
      </w:r>
      <w:bookmarkEnd w:id="130"/>
      <w:bookmarkEnd w:id="131"/>
    </w:p>
    <w:p>
      <w:pPr>
        <w:pStyle w:val="Style23"/>
        <w:rPr/>
      </w:pPr>
      <w:bookmarkStart w:id="132"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32"/>
    </w:p>
    <w:p>
      <w:pPr>
        <w:pStyle w:val="Style23"/>
        <w:rPr/>
      </w:pPr>
      <w:bookmarkStart w:id="133"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33"/>
    </w:p>
    <w:p>
      <w:pPr>
        <w:pStyle w:val="Style22"/>
        <w:rPr/>
      </w:pPr>
      <w:bookmarkStart w:id="134" w:name="_Ref125362364"/>
      <w:bookmarkStart w:id="135" w:name="_Ref125366689"/>
      <w:bookmarkStart w:id="136" w:name="_Toc186224252"/>
      <w:r>
        <w:rPr/>
        <w:t>Рассмотрение первых частей заявок (отборочная стадия)</w:t>
      </w:r>
      <w:bookmarkEnd w:id="134"/>
      <w:bookmarkEnd w:id="135"/>
      <w:bookmarkEnd w:id="136"/>
    </w:p>
    <w:p>
      <w:pPr>
        <w:pStyle w:val="Style23"/>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3"/>
        <w:rPr/>
      </w:pPr>
      <w:r>
        <w:rPr/>
        <w:t>Рассмотрение первых частей заявок проводится на основании представленных в составе заявки документов и сведений.</w:t>
      </w:r>
    </w:p>
    <w:p>
      <w:pPr>
        <w:pStyle w:val="Style23"/>
        <w:keepNext w:val="true"/>
        <w:rPr/>
      </w:pPr>
      <w:bookmarkStart w:id="137"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37"/>
    </w:p>
    <w:p>
      <w:pPr>
        <w:pStyle w:val="Style24"/>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4"/>
        <w:rPr/>
      </w:pPr>
      <w:r>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4"/>
        <w:rPr/>
      </w:pPr>
      <w:r>
        <w:rPr/>
        <w:t>несоответствие предлагаемых договорных условий требованиям Документации о закупке;</w:t>
      </w:r>
    </w:p>
    <w:p>
      <w:pPr>
        <w:pStyle w:val="Style24"/>
        <w:rPr/>
      </w:pPr>
      <w:r>
        <w:rPr/>
        <w:t>наличие в документах первой части заявки сведений об Участники и (или) о его ценовом предложении.</w:t>
      </w:r>
    </w:p>
    <w:p>
      <w:pPr>
        <w:pStyle w:val="Style23"/>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идентификационные номера, присваиваемые Оператором ЭП;</w:t>
      </w:r>
    </w:p>
    <w:p>
      <w:pPr>
        <w:pStyle w:val="Style24"/>
        <w:keepNext w:val="true"/>
        <w:rPr/>
      </w:pPr>
      <w:r>
        <w:rPr/>
        <w:t>результаты рассмотрения первых частей заявок с указанием, в том числе:</w:t>
      </w:r>
    </w:p>
    <w:p>
      <w:pPr>
        <w:pStyle w:val="Style25"/>
        <w:rPr/>
      </w:pPr>
      <w:r>
        <w:rPr/>
        <w:t>количества заявок, которые были отклонены по результатам рассмотрения первых частей заявок;</w:t>
      </w:r>
    </w:p>
    <w:p>
      <w:pPr>
        <w:pStyle w:val="Style25"/>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38" w:name="_Ref132801184"/>
      <w:bookmarkStart w:id="139" w:name="_Toc186224253"/>
      <w:r>
        <w:rPr/>
        <w:t>Открытие доступа ко вторым частям заявок и ценовым предложениям</w:t>
      </w:r>
      <w:bookmarkEnd w:id="138"/>
      <w:bookmarkEnd w:id="139"/>
    </w:p>
    <w:p>
      <w:pPr>
        <w:pStyle w:val="Style23"/>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2"/>
        <w:rPr/>
      </w:pPr>
      <w:bookmarkStart w:id="140" w:name="_Ref132797154"/>
      <w:bookmarkStart w:id="141" w:name="_Toc186224254"/>
      <w:r>
        <w:rPr/>
        <w:t>Рассмотрение вторых частей заявок (отборочная стадия), в том числе (при необходимости) проведение аккредитации, и ценовых предложений</w:t>
      </w:r>
      <w:bookmarkEnd w:id="140"/>
      <w:bookmarkEnd w:id="141"/>
    </w:p>
    <w:p>
      <w:pPr>
        <w:pStyle w:val="Style23"/>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3"/>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3"/>
        <w:keepNext w:val="true"/>
        <w:rPr/>
      </w:pPr>
      <w:r>
        <w:rPr/>
        <w:t>При выявлении в рамках рассмотрения ценовых предложений наличия арифметических ошибок, в том числе:</w:t>
      </w:r>
    </w:p>
    <w:p>
      <w:pPr>
        <w:pStyle w:val="Style24"/>
        <w:rPr/>
      </w:pPr>
      <w:r>
        <w:rPr/>
        <w:t>в результате суммирования единичных расценок;</w:t>
      </w:r>
    </w:p>
    <w:p>
      <w:pPr>
        <w:pStyle w:val="Style24"/>
        <w:rPr/>
      </w:pPr>
      <w:r>
        <w:rPr/>
        <w:t>в итогах умножения единичных расценок на объем продукции;</w:t>
      </w:r>
    </w:p>
    <w:p>
      <w:pPr>
        <w:pStyle w:val="Style24"/>
        <w:rPr/>
      </w:pPr>
      <w:r>
        <w:rPr/>
        <w:t>в вычислении суммы НДС и итоговой стоимости заявки с учетом НДС);</w:t>
      </w:r>
    </w:p>
    <w:p>
      <w:pPr>
        <w:pStyle w:val="Style24"/>
        <w:rPr/>
      </w:pPr>
      <w:r>
        <w:rPr/>
        <w:t>иных внутренних противоречий в составе заявки,</w:t>
      </w:r>
    </w:p>
    <w:p>
      <w:pPr>
        <w:pStyle w:val="Style27"/>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3"/>
        <w:keepNext w:val="true"/>
        <w:rPr/>
      </w:pPr>
      <w:bookmarkStart w:id="142"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42"/>
    </w:p>
    <w:p>
      <w:pPr>
        <w:pStyle w:val="Style24"/>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5"/>
        <w:rPr/>
      </w:pPr>
      <w:r>
        <w:rPr/>
        <w:t>противоречий между документами заявки и сведениями, указанными Участником в структурированных формах на ЭП;</w:t>
      </w:r>
    </w:p>
    <w:p>
      <w:pPr>
        <w:pStyle w:val="Style24"/>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4"/>
        <w:rPr/>
      </w:pPr>
      <w:r>
        <w:rPr/>
        <w:t>несоответствие Участников требованиям Документации о закупке;</w:t>
      </w:r>
    </w:p>
    <w:p>
      <w:pPr>
        <w:pStyle w:val="Style24"/>
        <w:rPr/>
      </w:pPr>
      <w:r>
        <w:rPr/>
        <w:t>несоответствие привлекаемых субподрядчиков (соисполнителей) требованиям Документации о закупке;</w:t>
      </w:r>
    </w:p>
    <w:p>
      <w:pPr>
        <w:pStyle w:val="Style24"/>
        <w:rPr/>
      </w:pPr>
      <w:r>
        <w:rPr/>
        <w:t>превышение ценового предложения над установленным размером НМЦ.</w:t>
      </w:r>
    </w:p>
    <w:p>
      <w:pPr>
        <w:pStyle w:val="Style23"/>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7"/>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4"/>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24"/>
        <w:keepNext w:val="true"/>
        <w:rPr/>
      </w:pPr>
      <w:r>
        <w:rPr/>
        <w:t>результаты рассмотрения вторых частей заявок и ценовых предложений с указанием, в том числе:</w:t>
      </w:r>
    </w:p>
    <w:p>
      <w:pPr>
        <w:pStyle w:val="Style25"/>
        <w:rPr/>
      </w:pPr>
      <w:r>
        <w:rPr/>
        <w:t>количества заявок, которые были отклонены по результатам рассмотрения вторых частей заявок и ценовых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43" w:name="_Ref125362381"/>
      <w:bookmarkStart w:id="144" w:name="_Ref125362425"/>
      <w:bookmarkStart w:id="145" w:name="_Ref125362464"/>
      <w:bookmarkStart w:id="146" w:name="_Ref125362610"/>
      <w:bookmarkStart w:id="147" w:name="_Toc186224255"/>
      <w:r>
        <w:rPr/>
        <w:t>Дополнительные запросы разъяснений заявок</w:t>
      </w:r>
      <w:bookmarkEnd w:id="143"/>
      <w:bookmarkEnd w:id="144"/>
      <w:bookmarkEnd w:id="145"/>
      <w:bookmarkEnd w:id="146"/>
      <w:bookmarkEnd w:id="147"/>
    </w:p>
    <w:p>
      <w:pPr>
        <w:pStyle w:val="Style23"/>
        <w:rPr/>
      </w:pPr>
      <w:bookmarkStart w:id="148"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48"/>
    </w:p>
    <w:p>
      <w:pPr>
        <w:pStyle w:val="Style24"/>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5"/>
        <w:rPr/>
      </w:pPr>
      <w:r>
        <w:rPr/>
        <w:t>соответствия Участника требованиям Документации о закупке;</w:t>
      </w:r>
    </w:p>
    <w:p>
      <w:pPr>
        <w:pStyle w:val="Style25"/>
        <w:rPr/>
      </w:pPr>
      <w:bookmarkStart w:id="149" w:name="_Hlk132793683"/>
      <w:r>
        <w:rPr/>
        <w:t>наличия соответствующих полномочий на подписание заявки от имени Участника у лица, подписавшего заявку</w:t>
      </w:r>
      <w:bookmarkEnd w:id="149"/>
      <w:r>
        <w:rPr/>
        <w:t>;</w:t>
      </w:r>
    </w:p>
    <w:p>
      <w:pPr>
        <w:pStyle w:val="Style25"/>
        <w:rPr/>
      </w:pPr>
      <w:r>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4"/>
        <w:rPr/>
      </w:pPr>
      <w:bookmarkStart w:id="150"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4"/>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50"/>
    </w:p>
    <w:p>
      <w:pPr>
        <w:pStyle w:val="Style23"/>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3"/>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3"/>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3"/>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3"/>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3"/>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3"/>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22"/>
        <w:rPr/>
      </w:pPr>
      <w:bookmarkStart w:id="151" w:name="_Ref125362626"/>
      <w:bookmarkStart w:id="152" w:name="_Ref125365335"/>
      <w:bookmarkStart w:id="153" w:name="_Ref125365519"/>
      <w:bookmarkStart w:id="154" w:name="_Ref125366534"/>
      <w:bookmarkStart w:id="155" w:name="_Ref125369041"/>
      <w:bookmarkStart w:id="156" w:name="_Ref125369308"/>
      <w:bookmarkStart w:id="157" w:name="_Toc186224256"/>
      <w:r>
        <w:rPr/>
        <w:t>Оценка и сопоставление заявок</w:t>
      </w:r>
      <w:bookmarkEnd w:id="151"/>
      <w:bookmarkEnd w:id="152"/>
      <w:bookmarkEnd w:id="153"/>
      <w:bookmarkEnd w:id="154"/>
      <w:bookmarkEnd w:id="155"/>
      <w:bookmarkEnd w:id="156"/>
      <w:bookmarkEnd w:id="157"/>
    </w:p>
    <w:p>
      <w:pPr>
        <w:pStyle w:val="Style23"/>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3"/>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3"/>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3"/>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3"/>
        <w:rPr/>
      </w:pPr>
      <w:r>
        <w:rPr/>
        <w:t>Результаты оценки и сопоставления заявок указываются в итоговом протоколе по результатам закупки.</w:t>
      </w:r>
    </w:p>
    <w:p>
      <w:pPr>
        <w:pStyle w:val="Style22"/>
        <w:rPr/>
      </w:pPr>
      <w:bookmarkStart w:id="158" w:name="_Ref186219943"/>
      <w:bookmarkStart w:id="159" w:name="_Ref132816300"/>
      <w:bookmarkStart w:id="160" w:name="_Toc186224257"/>
      <w:bookmarkStart w:id="161" w:name="_Ref130985951"/>
      <w:bookmarkStart w:id="162" w:name="_Ref125366064"/>
      <w:bookmarkStart w:id="163" w:name="_Ref125369991"/>
      <w:bookmarkStart w:id="164" w:name="_Ref125370507"/>
      <w:bookmarkStart w:id="165" w:name="_Ref130458671"/>
      <w:r>
        <w:rPr/>
        <w:t>Применение законодательства о национальном режиме</w:t>
      </w:r>
      <w:bookmarkEnd w:id="158"/>
      <w:bookmarkEnd w:id="159"/>
      <w:bookmarkEnd w:id="160"/>
      <w:bookmarkEnd w:id="161"/>
      <w:bookmarkEnd w:id="162"/>
      <w:bookmarkEnd w:id="163"/>
      <w:bookmarkEnd w:id="164"/>
      <w:bookmarkEnd w:id="165"/>
    </w:p>
    <w:p>
      <w:pPr>
        <w:pStyle w:val="Style23"/>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_Ref130455226 \r \h </w:instrText>
      </w:r>
      <w:r>
        <w:rPr/>
        <w:fldChar w:fldCharType="separate"/>
      </w:r>
      <w:r>
        <w:rPr/>
        <w:t>4.18</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3"/>
        <w:rPr/>
      </w:pPr>
      <w:r>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rPr>
          <w:t>Технических требованиях (Приложение № 1)</w:t>
        </w:r>
      </w:hyperlink>
      <w:r>
        <w:rPr/>
        <w:t>.</w:t>
      </w:r>
    </w:p>
    <w:p>
      <w:pPr>
        <w:pStyle w:val="Style22"/>
        <w:rPr/>
      </w:pPr>
      <w:bookmarkStart w:id="166" w:name="_Ref125362658"/>
      <w:bookmarkStart w:id="167" w:name="_Ref125366091"/>
      <w:bookmarkStart w:id="168" w:name="_Ref125367242"/>
      <w:bookmarkStart w:id="169" w:name="_Toc186224259"/>
      <w:r>
        <w:rPr/>
        <w:t>Подведение итогов закупки (определение Победителя)</w:t>
      </w:r>
      <w:bookmarkEnd w:id="166"/>
      <w:bookmarkEnd w:id="167"/>
      <w:bookmarkEnd w:id="168"/>
      <w:bookmarkEnd w:id="169"/>
    </w:p>
    <w:p>
      <w:pPr>
        <w:pStyle w:val="Style23"/>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3"/>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3"/>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3"/>
        <w:keepNext w:val="true"/>
        <w:rPr/>
      </w:pPr>
      <w:bookmarkStart w:id="170"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70"/>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4"/>
        <w:keepNext w:val="true"/>
        <w:rPr/>
      </w:pPr>
      <w:r>
        <w:rPr/>
        <w:t>результаты рассмотрения заявок с указанием, в том числе:</w:t>
      </w:r>
    </w:p>
    <w:p>
      <w:pPr>
        <w:pStyle w:val="Style25"/>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5"/>
        <w:rPr/>
      </w:pPr>
      <w:r>
        <w:rPr/>
        <w:t>количества заявок, которые были отклонены;</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4"/>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4"/>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4"/>
        <w:rPr/>
      </w:pPr>
      <w:r>
        <w:rPr/>
        <w:t>причины, по которым закупка признана несостоявшейся (в случае ее признания таковой),</w:t>
      </w:r>
    </w:p>
    <w:p>
      <w:pPr>
        <w:pStyle w:val="Style27"/>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3"/>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3"/>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3"/>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2"/>
        <w:rPr/>
      </w:pPr>
      <w:bookmarkStart w:id="171" w:name="_Ref125364149"/>
      <w:bookmarkStart w:id="172" w:name="_Ref125364187"/>
      <w:bookmarkStart w:id="173" w:name="_Ref125365305"/>
      <w:bookmarkStart w:id="174" w:name="_Ref125365570"/>
      <w:bookmarkStart w:id="175" w:name="_Ref125366631"/>
      <w:bookmarkStart w:id="176" w:name="_Ref125366796"/>
      <w:bookmarkStart w:id="177" w:name="_Toc186224260"/>
      <w:r>
        <w:rPr/>
        <w:t>Признание закупки несостоявшейся</w:t>
      </w:r>
      <w:bookmarkEnd w:id="171"/>
      <w:bookmarkEnd w:id="172"/>
      <w:bookmarkEnd w:id="173"/>
      <w:bookmarkEnd w:id="174"/>
      <w:bookmarkEnd w:id="175"/>
      <w:bookmarkEnd w:id="176"/>
      <w:bookmarkEnd w:id="177"/>
    </w:p>
    <w:p>
      <w:pPr>
        <w:pStyle w:val="Style23"/>
        <w:keepNext w:val="true"/>
        <w:rPr/>
      </w:pPr>
      <w:r>
        <w:rPr/>
        <w:t>Закупка признается несостоявшейся в следующих случаях:</w:t>
      </w:r>
    </w:p>
    <w:p>
      <w:pPr>
        <w:pStyle w:val="Style24"/>
        <w:rPr/>
      </w:pPr>
      <w:r>
        <w:rPr/>
        <w:t>если по окончанию срока подачи заявок поступило менее 2 (двух) заявок (с учетом возможных отзывов заявок);</w:t>
      </w:r>
    </w:p>
    <w:p>
      <w:pPr>
        <w:pStyle w:val="Style24"/>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3"/>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3"/>
        <w:keepNext w:val="true"/>
        <w:rPr/>
      </w:pPr>
      <w:r>
        <w:rPr/>
        <w:t>В случае признания закупки несостоявшейся Заказчик вправе (с учетом условий, предусмотренных Положением о закупке):</w:t>
      </w:r>
    </w:p>
    <w:p>
      <w:pPr>
        <w:pStyle w:val="Style24"/>
        <w:rPr/>
      </w:pPr>
      <w:r>
        <w:rPr/>
        <w:t>принять решение о проведении повторной закупки (в том числе с возможностью снятия признака закупки только среди субъектов МСП);</w:t>
      </w:r>
    </w:p>
    <w:p>
      <w:pPr>
        <w:pStyle w:val="Style24"/>
        <w:rPr/>
      </w:pPr>
      <w:r>
        <w:rPr/>
        <w:t>заключить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w:t>
      </w:r>
    </w:p>
    <w:p>
      <w:pPr>
        <w:pStyle w:val="Style24"/>
        <w:rPr/>
      </w:pPr>
      <w:r>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2"/>
        <w:rPr/>
      </w:pPr>
      <w:bookmarkStart w:id="178" w:name="_Ref132816134"/>
      <w:bookmarkStart w:id="179" w:name="_Ref132816141"/>
      <w:bookmarkStart w:id="180" w:name="_Toc186224261"/>
      <w:bookmarkStart w:id="181" w:name="_Ref126141962"/>
      <w:r>
        <w:rPr/>
        <w:t>Отказ от проведения закупки</w:t>
      </w:r>
      <w:bookmarkEnd w:id="181"/>
      <w:r>
        <w:rPr/>
        <w:t xml:space="preserve"> (отмена закупки)</w:t>
      </w:r>
      <w:bookmarkEnd w:id="178"/>
      <w:bookmarkEnd w:id="179"/>
      <w:bookmarkEnd w:id="180"/>
    </w:p>
    <w:p>
      <w:pPr>
        <w:pStyle w:val="Style23"/>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3"/>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3"/>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2"/>
        <w:rPr/>
      </w:pPr>
      <w:bookmarkStart w:id="182" w:name="_Ref130455226"/>
      <w:bookmarkStart w:id="183" w:name="_Toc186224262"/>
      <w:r>
        <w:rPr/>
        <w:t>Особенности проведения закупки с необходимостью обеспечения заявки</w:t>
      </w:r>
      <w:bookmarkEnd w:id="182"/>
      <w:bookmarkEnd w:id="183"/>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3"/>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3"/>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3"/>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3"/>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3"/>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4"/>
        <w:rPr/>
      </w:pPr>
      <w:r>
        <w:rPr/>
        <w:t>независимая гарантия должна быть безотзывной и безусловной (гарантия по первому требованию);</w:t>
      </w:r>
    </w:p>
    <w:p>
      <w:pPr>
        <w:pStyle w:val="Style24"/>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4"/>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4"/>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4"/>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4"/>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4"/>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4"/>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4"/>
        <w:rPr/>
      </w:pPr>
      <w:bookmarkStart w:id="184" w:name="_Ref132716380"/>
      <w:r>
        <w:rPr/>
        <w:t>независимая гарантия должна быть выдана организацией из числа указанных в части 1 статьи 45 Закона 44-ФЗ;</w:t>
      </w:r>
      <w:bookmarkEnd w:id="184"/>
    </w:p>
    <w:p>
      <w:pPr>
        <w:pStyle w:val="Style24"/>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4"/>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3"/>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3"/>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3"/>
        <w:rPr/>
      </w:pPr>
      <w:r>
        <w:rPr/>
        <w:t>При многолотовой закупке (подраздел </w:t>
      </w:r>
      <w:r>
        <w:rPr/>
        <w:fldChar w:fldCharType="begin"/>
      </w:r>
      <w:r>
        <w:rPr/>
        <w:instrText xml:space="preserve"> REF _Ref149317181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3"/>
        <w:rPr/>
      </w:pPr>
      <w:r>
        <w:rPr/>
        <w:t>Подать заявку (принять участие в закупке) могут только Участники, предоставившие надлежащее обеспечение их заявок.</w:t>
      </w:r>
    </w:p>
    <w:p>
      <w:pPr>
        <w:pStyle w:val="Style23"/>
        <w:rPr/>
      </w:pPr>
      <w:r>
        <w:rPr/>
        <w:t>Требование об обеспечении заявки в равной мере распространяется на всех Участников.</w:t>
      </w:r>
    </w:p>
    <w:p>
      <w:pPr>
        <w:pStyle w:val="Style23"/>
        <w:keepNext w:val="true"/>
        <w:rPr/>
      </w:pPr>
      <w:bookmarkStart w:id="185"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5"/>
    </w:p>
    <w:p>
      <w:pPr>
        <w:pStyle w:val="Style24"/>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4"/>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3"/>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4"/>
        <w:rPr/>
      </w:pPr>
      <w:r>
        <w:rPr/>
        <w:t>принятия решения об отказе от проведения закупки – всем Участникам, подавшим заявки к моменту принятия такого решения;</w:t>
      </w:r>
    </w:p>
    <w:p>
      <w:pPr>
        <w:pStyle w:val="Style24"/>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4"/>
        <w:rPr/>
      </w:pPr>
      <w:r>
        <w:rPr/>
        <w:t>официального размещения итогового протокола по результатам закупки – всем Участникам, кроме Победителя;</w:t>
      </w:r>
    </w:p>
    <w:p>
      <w:pPr>
        <w:pStyle w:val="Style24"/>
        <w:rPr/>
      </w:pPr>
      <w:r>
        <w:rPr/>
        <w:t>заключения Договора по результатам закупки – Победителю, с которым заключен Договор;</w:t>
      </w:r>
    </w:p>
    <w:p>
      <w:pPr>
        <w:pStyle w:val="Style24"/>
        <w:rPr/>
      </w:pPr>
      <w:r>
        <w:rPr/>
        <w:t>признания закупки несостоявшейся – Участнику, которому обеспечение не было возвращено по иным основаниям.</w:t>
      </w:r>
    </w:p>
    <w:p>
      <w:pPr>
        <w:pStyle w:val="Style23"/>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2"/>
        <w:rPr/>
      </w:pPr>
      <w:bookmarkStart w:id="186" w:name="_Ref149317181"/>
      <w:bookmarkStart w:id="187" w:name="_Toc186224263"/>
      <w:bookmarkStart w:id="188" w:name="_Ref130225422"/>
      <w:r>
        <w:rPr/>
        <w:t>Особенности проведения многолотовой закупки</w:t>
      </w:r>
      <w:bookmarkEnd w:id="186"/>
      <w:bookmarkEnd w:id="187"/>
      <w:bookmarkEnd w:id="188"/>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3"/>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3"/>
        <w:keepNext w:val="true"/>
        <w:rPr/>
      </w:pPr>
      <w:r>
        <w:rPr/>
        <w:t>В случае подачи заявки на несколько лотов дополнительно должны быть соблюдены следующие требования:</w:t>
      </w:r>
    </w:p>
    <w:p>
      <w:pPr>
        <w:pStyle w:val="Style24"/>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4"/>
        <w:rPr/>
      </w:pPr>
      <w:r>
        <w:rPr/>
        <w:t xml:space="preserve">Коммерческое предложение (форма 3), Техническое предложение (форма 4), Календарный график (форма 5), План распределения объемов поставки продукции (форма 11)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3"/>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30"/>
        <w:keepNext w:val="true"/>
        <w:rPr/>
      </w:pPr>
      <w:r>
        <w:rPr/>
        <w:t>[Дополнение (в случае проведения закупки с выбором нескольких победителей):]</w:t>
      </w:r>
    </w:p>
    <w:p>
      <w:pPr>
        <w:pStyle w:val="Style22"/>
        <w:rPr/>
      </w:pPr>
      <w:bookmarkStart w:id="189" w:name="_Ref125366312"/>
      <w:bookmarkStart w:id="190" w:name="_Toc186224264"/>
      <w:r>
        <w:rPr/>
        <w:t>Особенности проведения закупки с выбором нескольких победителей</w:t>
      </w:r>
      <w:bookmarkEnd w:id="189"/>
      <w:bookmarkEnd w:id="190"/>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4"/>
        <w:rPr/>
      </w:pPr>
      <w:bookmarkStart w:id="191"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191"/>
    </w:p>
    <w:p>
      <w:pPr>
        <w:pStyle w:val="Style24"/>
        <w:rPr/>
      </w:pPr>
      <w:bookmarkStart w:id="192"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192"/>
    </w:p>
    <w:p>
      <w:pPr>
        <w:pStyle w:val="Style23"/>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1"/>
          </w:rPr>
          <w:t>Проекта договора (Приложение № 2)</w:t>
        </w:r>
      </w:hyperlink>
      <w:r>
        <w:rPr/>
        <w:t>.</w:t>
      </w:r>
    </w:p>
    <w:p>
      <w:pPr>
        <w:pStyle w:val="Style23"/>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4.15</w:t>
      </w:r>
      <w:r>
        <w:rPr/>
        <w:fldChar w:fldCharType="end"/>
      </w:r>
      <w:r>
        <w:rPr/>
        <w:t>.</w:t>
      </w:r>
    </w:p>
    <w:p>
      <w:pPr>
        <w:pStyle w:val="Style30"/>
        <w:rPr/>
      </w:pPr>
      <w:r>
        <w:rPr/>
        <w:t>[Окончание дополнения]</w:t>
      </w:r>
    </w:p>
    <w:p>
      <w:pPr>
        <w:pStyle w:val="Style21"/>
        <w:rPr/>
      </w:pPr>
      <w:bookmarkStart w:id="193" w:name="_Ref126142429"/>
      <w:bookmarkStart w:id="194" w:name="_Ref130224037"/>
      <w:bookmarkStart w:id="195" w:name="_Toc186224265"/>
      <w:bookmarkStart w:id="196" w:name="_Ref125361212"/>
      <w:bookmarkStart w:id="197" w:name="_Ref125362671"/>
      <w:bookmarkStart w:id="198" w:name="_Ref125363439"/>
      <w:bookmarkStart w:id="199" w:name="_Ref125366769"/>
      <w:bookmarkStart w:id="200" w:name="_Ref125367083"/>
      <w:bookmarkStart w:id="201" w:name="_Ref125367087"/>
      <w:r>
        <w:rPr/>
        <w:t>Порядок заключения Договора</w:t>
      </w:r>
      <w:bookmarkEnd w:id="193"/>
      <w:bookmarkEnd w:id="194"/>
      <w:bookmarkEnd w:id="195"/>
      <w:bookmarkEnd w:id="196"/>
      <w:bookmarkEnd w:id="197"/>
      <w:bookmarkEnd w:id="198"/>
      <w:bookmarkEnd w:id="199"/>
      <w:bookmarkEnd w:id="200"/>
      <w:bookmarkEnd w:id="201"/>
    </w:p>
    <w:p>
      <w:pPr>
        <w:pStyle w:val="Style22"/>
        <w:rPr/>
      </w:pPr>
      <w:bookmarkStart w:id="202" w:name="_Toc186224266"/>
      <w:r>
        <w:rPr/>
        <w:t>Общие положения</w:t>
      </w:r>
      <w:bookmarkEnd w:id="202"/>
    </w:p>
    <w:p>
      <w:pPr>
        <w:pStyle w:val="Style23"/>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2"/>
        <w:rPr/>
      </w:pPr>
      <w:bookmarkStart w:id="203" w:name="_Ref138341423"/>
      <w:bookmarkStart w:id="204" w:name="_Toc186224267"/>
      <w:bookmarkStart w:id="205" w:name="_Ref125366947"/>
      <w:bookmarkStart w:id="206" w:name="_Ref125368755"/>
      <w:r>
        <w:rPr/>
        <w:t>Заключение Договора</w:t>
      </w:r>
      <w:bookmarkEnd w:id="203"/>
      <w:bookmarkEnd w:id="204"/>
      <w:bookmarkEnd w:id="205"/>
      <w:bookmarkEnd w:id="206"/>
    </w:p>
    <w:p>
      <w:pPr>
        <w:pStyle w:val="Style23"/>
        <w:rPr/>
      </w:pPr>
      <w:bookmarkStart w:id="207" w:name="_Ref125362935"/>
      <w:bookmarkStart w:id="208"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07"/>
      <w:bookmarkEnd w:id="208"/>
    </w:p>
    <w:p>
      <w:pPr>
        <w:pStyle w:val="Style23"/>
        <w:rPr/>
      </w:pPr>
      <w:r>
        <w:rPr/>
        <w:t>Договор не может быть заключен, если это запрещено законодательством о национальном режиме в случаях, установленных в подразделе </w:t>
      </w:r>
      <w:r>
        <w:rPr/>
        <w:fldChar w:fldCharType="begin"/>
      </w:r>
      <w:r>
        <w:rPr/>
        <w:instrText xml:space="preserve"> REF _Ref186219943 \r \h </w:instrText>
      </w:r>
      <w:r>
        <w:rPr/>
        <w:fldChar w:fldCharType="separate"/>
      </w:r>
      <w:r>
        <w:rPr/>
        <w:t>4.14</w:t>
      </w:r>
      <w:r>
        <w:rPr/>
        <w:fldChar w:fldCharType="end"/>
      </w:r>
      <w:r>
        <w:rPr/>
        <w:t>.</w:t>
      </w:r>
    </w:p>
    <w:p>
      <w:pPr>
        <w:pStyle w:val="Style23"/>
        <w:rPr/>
      </w:pPr>
      <w:bookmarkStart w:id="209" w:name="_Ref125363464"/>
      <w:r>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09"/>
    </w:p>
    <w:p>
      <w:pPr>
        <w:pStyle w:val="Style23"/>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3"/>
        <w:keepNext w:val="true"/>
        <w:rPr/>
      </w:pPr>
      <w:bookmarkStart w:id="210"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xml:space="preserve">), следующие документы (скан-копии в формате </w:t>
      </w:r>
      <w:r>
        <w:rPr>
          <w:lang w:val="en-US"/>
        </w:rPr>
        <w:t>pdf</w:t>
      </w:r>
      <w:r>
        <w:rPr/>
        <w:t>)</w:t>
      </w:r>
      <w:r>
        <w:rPr>
          <w:rStyle w:val="FootnoteReference"/>
        </w:rPr>
        <w:footnoteReference w:id="12"/>
      </w:r>
      <w:r>
        <w:rPr/>
        <w:t>:</w:t>
      </w:r>
      <w:bookmarkEnd w:id="210"/>
    </w:p>
    <w:p>
      <w:pPr>
        <w:pStyle w:val="Style24"/>
        <w:keepNext w:val="true"/>
        <w:rPr/>
      </w:pPr>
      <w:r>
        <w:rPr/>
        <w:t>для юридического лица:</w:t>
      </w:r>
    </w:p>
    <w:p>
      <w:pPr>
        <w:pStyle w:val="Style25"/>
        <w:rPr/>
      </w:pPr>
      <w:r>
        <w:rPr/>
        <w:t>копия устава в действующей редакции с отметкой ИФНС либо копия нотариально заверенного устава (с отметкой нотариуса);</w:t>
      </w:r>
    </w:p>
    <w:p>
      <w:pPr>
        <w:pStyle w:val="Style25"/>
        <w:rPr/>
      </w:pPr>
      <w:bookmarkStart w:id="211"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11"/>
    </w:p>
    <w:p>
      <w:pPr>
        <w:pStyle w:val="Style25"/>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4"/>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4"/>
        <w:rPr/>
      </w:pPr>
      <w:r>
        <w:rPr/>
        <w:t>для физического лица: нотариально заверенная копия всех страниц документа, удостоверяющего личность (паспорта);</w:t>
      </w:r>
    </w:p>
    <w:p>
      <w:pPr>
        <w:pStyle w:val="Style24"/>
        <w:rPr/>
      </w:pPr>
      <w:bookmarkStart w:id="212"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12"/>
    </w:p>
    <w:p>
      <w:pPr>
        <w:pStyle w:val="Style23"/>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3"/>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3"/>
        <w:keepNext w:val="true"/>
        <w:rPr/>
      </w:pPr>
      <w:bookmarkStart w:id="213"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3"/>
    </w:p>
    <w:p>
      <w:pPr>
        <w:pStyle w:val="Style24"/>
        <w:rPr/>
      </w:pPr>
      <w:r>
        <w:rPr/>
        <w:t>итоговый протокол по результатам закупки;</w:t>
      </w:r>
    </w:p>
    <w:p>
      <w:pPr>
        <w:pStyle w:val="Style24"/>
        <w:rPr/>
      </w:pPr>
      <w:r>
        <w:rPr/>
        <w:t>Извещение и Документация о закупке со всеми изменениями;</w:t>
      </w:r>
    </w:p>
    <w:p>
      <w:pPr>
        <w:pStyle w:val="Style24"/>
        <w:rPr/>
      </w:pPr>
      <w:r>
        <w:rPr/>
        <w:t>заявка Победителя со всеми дополнениями и разъяснениями.</w:t>
      </w:r>
    </w:p>
    <w:p>
      <w:pPr>
        <w:pStyle w:val="Style23"/>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3"/>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3"/>
        <w:rPr/>
      </w:pPr>
      <w:bookmarkStart w:id="214"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14"/>
    </w:p>
    <w:p>
      <w:pPr>
        <w:pStyle w:val="Style23"/>
        <w:rPr/>
      </w:pPr>
      <w:bookmarkStart w:id="215"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16"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16"/>
      <w:r>
        <w:rPr/>
        <w:t>.</w:t>
      </w:r>
      <w:bookmarkEnd w:id="215"/>
    </w:p>
    <w:p>
      <w:pPr>
        <w:pStyle w:val="Style23"/>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2"/>
        <w:rPr/>
      </w:pPr>
      <w:bookmarkStart w:id="217" w:name="_Ref125367068"/>
      <w:bookmarkStart w:id="218" w:name="_Toc186224268"/>
      <w:r>
        <w:rPr/>
        <w:t>Уклонение Победителя от заключения Договора</w:t>
      </w:r>
      <w:bookmarkEnd w:id="217"/>
      <w:bookmarkEnd w:id="218"/>
    </w:p>
    <w:p>
      <w:pPr>
        <w:pStyle w:val="Style23"/>
        <w:keepNext w:val="true"/>
        <w:rPr/>
      </w:pPr>
      <w:r>
        <w:rPr/>
        <w:t>Если Победитель закупки:</w:t>
      </w:r>
    </w:p>
    <w:p>
      <w:pPr>
        <w:pStyle w:val="Style24"/>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4"/>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5.2.8</w:t>
      </w:r>
      <w:r>
        <w:rPr/>
        <w:fldChar w:fldCharType="end"/>
      </w:r>
      <w:r>
        <w:rPr/>
        <w:t>;</w:t>
      </w:r>
    </w:p>
    <w:p>
      <w:pPr>
        <w:pStyle w:val="Style24"/>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4"/>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4"/>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4"/>
        <w:rPr/>
      </w:pPr>
      <w:r>
        <w:rPr/>
        <w:t>не выполнит другие условия, прямо предусмотренные Документацией о закупке,</w:t>
      </w:r>
    </w:p>
    <w:p>
      <w:pPr>
        <w:pStyle w:val="Style27"/>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1"/>
        <w:rPr/>
      </w:pPr>
      <w:bookmarkStart w:id="219" w:name="_Ref125363016"/>
      <w:bookmarkStart w:id="220" w:name="_Ref125363023"/>
      <w:bookmarkStart w:id="221" w:name="_Ref125363034"/>
      <w:bookmarkStart w:id="222" w:name="_Ref125363600"/>
      <w:bookmarkStart w:id="223" w:name="_Ref125363752"/>
      <w:bookmarkStart w:id="224" w:name="_Ref125364088"/>
      <w:bookmarkStart w:id="225" w:name="_Ref125364201"/>
      <w:bookmarkStart w:id="226" w:name="_Ref125370732"/>
      <w:bookmarkStart w:id="227" w:name="_Ref125370741"/>
      <w:bookmarkStart w:id="228" w:name="_Ref125370746"/>
      <w:bookmarkStart w:id="229" w:name="_Ref125370750"/>
      <w:bookmarkStart w:id="230" w:name="_Ref125370843"/>
      <w:bookmarkStart w:id="231" w:name="Прил01_ТехТребования"/>
      <w:bookmarkStart w:id="232" w:name="_Toc186224269"/>
      <w:r>
        <w:rPr/>
        <w:t>Приложение № 1 – Технические требования</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Style22"/>
        <w:rPr/>
      </w:pPr>
      <w:bookmarkStart w:id="233" w:name="_Toc186224270"/>
      <w:r>
        <w:rPr/>
        <w:t>Пояснения к Техническим требованиям</w:t>
      </w:r>
      <w:bookmarkEnd w:id="233"/>
    </w:p>
    <w:p>
      <w:pPr>
        <w:pStyle w:val="Style23"/>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1"/>
        <w:rPr/>
      </w:pPr>
      <w:bookmarkStart w:id="234" w:name="_Ref125361746"/>
      <w:bookmarkStart w:id="235" w:name="_Ref125363040"/>
      <w:bookmarkStart w:id="236" w:name="_Ref125363605"/>
      <w:bookmarkStart w:id="237" w:name="_Ref125363759"/>
      <w:bookmarkStart w:id="238" w:name="_Ref125364081"/>
      <w:bookmarkStart w:id="239" w:name="_Ref125364206"/>
      <w:bookmarkStart w:id="240" w:name="_Ref125370754"/>
      <w:bookmarkStart w:id="241" w:name="Прил02_ПроектДоговора"/>
      <w:bookmarkStart w:id="242" w:name="_Toc186224271"/>
      <w:r>
        <w:rPr/>
        <w:t>Приложение № 2 – Проект договора</w:t>
      </w:r>
      <w:bookmarkEnd w:id="234"/>
      <w:bookmarkEnd w:id="235"/>
      <w:bookmarkEnd w:id="236"/>
      <w:bookmarkEnd w:id="237"/>
      <w:bookmarkEnd w:id="238"/>
      <w:bookmarkEnd w:id="239"/>
      <w:bookmarkEnd w:id="240"/>
      <w:bookmarkEnd w:id="241"/>
      <w:bookmarkEnd w:id="242"/>
    </w:p>
    <w:p>
      <w:pPr>
        <w:pStyle w:val="Style22"/>
        <w:rPr/>
      </w:pPr>
      <w:bookmarkStart w:id="243" w:name="_Toc186224272"/>
      <w:r>
        <w:rPr/>
        <w:t>Пояснения к Проекту договора</w:t>
      </w:r>
      <w:bookmarkEnd w:id="243"/>
    </w:p>
    <w:p>
      <w:pPr>
        <w:pStyle w:val="Style23"/>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3"/>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3"/>
        <w:rPr/>
      </w:pPr>
      <w:r>
        <w:rPr/>
        <w:t>В соответствии с пунктом </w:t>
      </w:r>
      <w:r>
        <w:rPr/>
        <w:fldChar w:fldCharType="begin"/>
      </w:r>
      <w:r>
        <w:rPr/>
        <w:instrText xml:space="preserve"> REF _Ref49437111 \r \h </w:instrText>
      </w:r>
      <w:r>
        <w:rPr/>
        <w:fldChar w:fldCharType="separate"/>
      </w:r>
      <w:r>
        <w:rPr/>
        <w:t>5.2.11</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3"/>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44" w:name="_MON_1736255517"/>
      <w:bookmarkEnd w:id="244"/>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pt;height:50.25pt;mso-wrap-distance-right:0pt" filled="f" o:ole="">
            <v:imagedata r:id="rId13" o:title=""/>
          </v:shape>
          <o:OLEObject Type="Embed" ProgID="Word.Document.12" ShapeID="ole_rId12" DrawAspect="Icon" ObjectID="_115209201" r:id="rId12"/>
        </w:object>
      </w:r>
    </w:p>
    <w:p>
      <w:pPr>
        <w:pStyle w:val="Style21"/>
        <w:rPr/>
      </w:pPr>
      <w:bookmarkStart w:id="245" w:name="_Ref125361494"/>
      <w:bookmarkStart w:id="246" w:name="_Ref125361908"/>
      <w:bookmarkStart w:id="247" w:name="_Ref125365476"/>
      <w:bookmarkStart w:id="248" w:name="_Ref125370013"/>
      <w:bookmarkStart w:id="249" w:name="Прил03_ТребованияУчастникам"/>
      <w:bookmarkStart w:id="250" w:name="_Toc186224273"/>
      <w:r>
        <w:rPr/>
        <w:t>Приложение № 3 – Требования к Участникам</w:t>
      </w:r>
      <w:bookmarkEnd w:id="245"/>
      <w:bookmarkEnd w:id="246"/>
      <w:bookmarkEnd w:id="247"/>
      <w:bookmarkEnd w:id="248"/>
      <w:bookmarkEnd w:id="249"/>
      <w:bookmarkEnd w:id="250"/>
    </w:p>
    <w:p>
      <w:pPr>
        <w:pStyle w:val="Style22"/>
        <w:rPr/>
      </w:pPr>
      <w:bookmarkStart w:id="251" w:name="_Toc186224274"/>
      <w:r>
        <w:rPr/>
        <w:t>Пояснения к требованиям к Участникам</w:t>
      </w:r>
      <w:bookmarkEnd w:id="251"/>
    </w:p>
    <w:p>
      <w:pPr>
        <w:pStyle w:val="Style23"/>
        <w:rPr/>
      </w:pPr>
      <w:bookmarkStart w:id="252"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52"/>
    </w:p>
    <w:p>
      <w:pPr>
        <w:pStyle w:val="Style22"/>
        <w:spacing w:before="360" w:after="120"/>
        <w:rPr/>
      </w:pPr>
      <w:bookmarkStart w:id="253" w:name="_Ref125361435"/>
      <w:bookmarkStart w:id="254" w:name="_Ref125361590"/>
      <w:bookmarkStart w:id="255" w:name="_Ref125361617"/>
      <w:bookmarkStart w:id="256" w:name="_Ref125361832"/>
      <w:bookmarkStart w:id="257" w:name="_Ref125361846"/>
      <w:bookmarkStart w:id="258" w:name="_Ref125361926"/>
      <w:bookmarkStart w:id="259" w:name="_Ref125366879"/>
      <w:bookmarkStart w:id="260" w:name="_Ref125368812"/>
      <w:bookmarkStart w:id="261" w:name="_Ref125368895"/>
      <w:bookmarkStart w:id="262" w:name="_Ref125369088"/>
      <w:bookmarkStart w:id="263" w:name="_Ref125370058"/>
      <w:bookmarkStart w:id="264" w:name="_Ref125370064"/>
      <w:bookmarkStart w:id="265" w:name="_Ref125370071"/>
      <w:bookmarkStart w:id="266" w:name="_Toc186224275"/>
      <w:r>
        <w:rPr/>
        <w:t>Обязательные требования</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7" w:name="_Ref125552433"/>
            <w:bookmarkStart w:id="268" w:name="_Ref125552433"/>
            <w:bookmarkEnd w:id="268"/>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7"/>
              <w:widowControl w:val="false"/>
              <w:numPr>
                <w:ilvl w:val="0"/>
                <w:numId w:val="14"/>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7"/>
              <w:widowControl w:val="false"/>
              <w:numPr>
                <w:ilvl w:val="0"/>
                <w:numId w:val="15"/>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7"/>
              <w:widowControl w:val="false"/>
              <w:numPr>
                <w:ilvl w:val="0"/>
                <w:numId w:val="14"/>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7"/>
              <w:widowControl w:val="false"/>
              <w:numPr>
                <w:ilvl w:val="0"/>
                <w:numId w:val="15"/>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7"/>
              <w:widowControl w:val="false"/>
              <w:numPr>
                <w:ilvl w:val="0"/>
                <w:numId w:val="15"/>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numPr>
                <w:ilvl w:val="0"/>
                <w:numId w:val="15"/>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15"/>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9" w:name="_Ref132893662"/>
            <w:bookmarkStart w:id="270" w:name="_Ref132893662"/>
            <w:bookmarkEnd w:id="270"/>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1" w:name="_Ref139029906"/>
            <w:bookmarkStart w:id="272" w:name="_Ref139029906"/>
            <w:bookmarkEnd w:id="272"/>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3" w:name="_Ref186220330"/>
            <w:bookmarkStart w:id="274" w:name="_Ref186220330"/>
            <w:bookmarkEnd w:id="274"/>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5" w:name="_Ref186220335"/>
            <w:bookmarkStart w:id="276" w:name="_Ref186220335"/>
            <w:bookmarkEnd w:id="276"/>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2"/>
        <w:spacing w:before="360" w:after="120"/>
        <w:rPr/>
      </w:pPr>
      <w:bookmarkStart w:id="277" w:name="_Ref125361442"/>
      <w:bookmarkStart w:id="278" w:name="_Ref125361633"/>
      <w:bookmarkStart w:id="279" w:name="_Ref125361671"/>
      <w:bookmarkStart w:id="280" w:name="_Ref125361869"/>
      <w:bookmarkStart w:id="281" w:name="_Ref125361937"/>
      <w:bookmarkStart w:id="282" w:name="_Ref125365459"/>
      <w:bookmarkStart w:id="283" w:name="_Ref125367521"/>
      <w:bookmarkStart w:id="284" w:name="_Ref125367539"/>
      <w:bookmarkStart w:id="285" w:name="_Ref125368818"/>
      <w:bookmarkStart w:id="286" w:name="_Ref125368901"/>
      <w:bookmarkStart w:id="287" w:name="_Ref125368916"/>
      <w:bookmarkStart w:id="288" w:name="_Ref125369099"/>
      <w:bookmarkStart w:id="289" w:name="_Ref125370079"/>
      <w:bookmarkStart w:id="290" w:name="_Ref125709153"/>
      <w:bookmarkStart w:id="291" w:name="_Ref125709250"/>
      <w:bookmarkStart w:id="292" w:name="_Ref125709401"/>
      <w:bookmarkStart w:id="293" w:name="_Ref125709888"/>
      <w:bookmarkStart w:id="294" w:name="_Toc186224276"/>
      <w:r>
        <w:rPr/>
        <w:t>Специальные требования</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tbl>
      <w:tblPr>
        <w:tblStyle w:val="af8"/>
        <w:tblW w:w="5000" w:type="pct"/>
        <w:jc w:val="left"/>
        <w:tblInd w:w="-5" w:type="dxa"/>
        <w:tblLayout w:type="fixed"/>
        <w:tblCellMar>
          <w:top w:w="0" w:type="dxa"/>
          <w:left w:w="57" w:type="dxa"/>
          <w:bottom w:w="0" w:type="dxa"/>
          <w:right w:w="57" w:type="dxa"/>
        </w:tblCellMar>
        <w:tblLook w:val="04a0" w:noVBand="1" w:noHBand="0" w:lastColumn="0" w:firstColumn="1" w:lastRow="0" w:firstRow="1"/>
      </w:tblPr>
      <w:tblGrid>
        <w:gridCol w:w="1127"/>
        <w:gridCol w:w="5676"/>
        <w:gridCol w:w="8333"/>
      </w:tblGrid>
      <w:tr>
        <w:trPr>
          <w:cnfStyle w:val="100000000000" w:firstRow="1" w:lastRow="0" w:firstColumn="0" w:lastColumn="0" w:oddVBand="0" w:evenVBand="0" w:oddHBand="0" w:evenHBand="0" w:firstRowFirstColumn="0" w:firstRowLastColumn="0" w:lastRowFirstColumn="0" w:lastRowLastColumn="0"/>
        </w:trPr>
        <w:tc>
          <w:tcPr>
            <w:tcW w:w="11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6"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33"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7" w:type="dxa"/>
            <w:tcBorders/>
          </w:tcPr>
          <w:p>
            <w:pPr>
              <w:pStyle w:val="Style27"/>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6" w:type="dxa"/>
            <w:tcBorders/>
          </w:tcPr>
          <w:p>
            <w:pPr>
              <w:pStyle w:val="Style34"/>
              <w:keepNext w:val="true"/>
              <w:widowControl w:val="false"/>
              <w:spacing w:before="60" w:after="60"/>
              <w:jc w:val="both"/>
              <w:rPr>
                <w:sz w:val="24"/>
                <w:szCs w:val="24"/>
              </w:rPr>
            </w:pPr>
            <w:r>
              <w:rPr>
                <w:sz w:val="24"/>
                <w:szCs w:val="24"/>
              </w:rPr>
              <w:t xml:space="preserve">В соответствии со ст. 55.8 Градостроительного кодекса РФ от 29.12.2004 № 190-ФЗ: </w:t>
            </w:r>
          </w:p>
          <w:p>
            <w:pPr>
              <w:pStyle w:val="Style34"/>
              <w:widowControl w:val="false"/>
              <w:ind w:left="0" w:right="0" w:firstLine="306"/>
              <w:jc w:val="both"/>
              <w:rPr/>
            </w:pPr>
            <w:r>
              <w:rPr>
                <w:rStyle w:val="Style17"/>
                <w:sz w:val="24"/>
                <w:szCs w:val="24"/>
              </w:rPr>
              <w:t>Участник закупки должен быть членом саморегулируемой организации, основанной на членстве лиц</w:t>
            </w:r>
            <w:r>
              <w:rPr>
                <w:rStyle w:val="Style17"/>
                <w:i/>
                <w:iCs/>
                <w:sz w:val="24"/>
                <w:szCs w:val="24"/>
              </w:rPr>
              <w:t>:</w:t>
            </w:r>
          </w:p>
          <w:p>
            <w:pPr>
              <w:pStyle w:val="Style34"/>
              <w:widowControl w:val="false"/>
              <w:tabs>
                <w:tab w:val="clear" w:pos="708"/>
                <w:tab w:val="left" w:pos="599" w:leader="none"/>
              </w:tabs>
              <w:ind w:left="0" w:right="0" w:firstLine="316"/>
              <w:jc w:val="both"/>
              <w:rPr/>
            </w:pPr>
            <w:r>
              <w:rPr>
                <w:rStyle w:val="Style17"/>
                <w:sz w:val="24"/>
                <w:szCs w:val="24"/>
              </w:rPr>
              <w:t>а)осуществляющих  строительство,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r>
              <w:rPr>
                <w:rStyle w:val="Style17"/>
                <w:b/>
                <w:bCs/>
                <w:position w:val="7"/>
                <w:sz w:val="24"/>
                <w:szCs w:val="24"/>
              </w:rPr>
              <w:t xml:space="preserve"> [1]</w:t>
            </w:r>
            <w:r>
              <w:rPr>
                <w:rStyle w:val="Style17"/>
                <w:sz w:val="24"/>
                <w:szCs w:val="24"/>
              </w:rPr>
              <w:t>;</w:t>
            </w:r>
          </w:p>
          <w:p>
            <w:pPr>
              <w:pStyle w:val="Style34"/>
              <w:widowControl w:val="false"/>
              <w:jc w:val="both"/>
              <w:rPr/>
            </w:pPr>
            <w:r>
              <w:rPr>
                <w:rStyle w:val="Style17"/>
                <w:sz w:val="24"/>
                <w:szCs w:val="24"/>
              </w:rPr>
              <w:t xml:space="preserve">     </w:t>
            </w:r>
            <w:r>
              <w:rPr>
                <w:rStyle w:val="Style17"/>
                <w:sz w:val="24"/>
                <w:szCs w:val="24"/>
              </w:rPr>
              <w:t>Участник должен иметь право выполнять работы в отношении объектов</w:t>
            </w:r>
            <w:r>
              <w:rPr>
                <w:rStyle w:val="Style17"/>
                <w:i/>
                <w:iCs/>
                <w:sz w:val="24"/>
                <w:szCs w:val="24"/>
              </w:rPr>
              <w:t>:</w:t>
            </w:r>
          </w:p>
          <w:p>
            <w:pPr>
              <w:pStyle w:val="Style34"/>
              <w:widowControl w:val="false"/>
              <w:ind w:left="0" w:right="0" w:firstLine="327"/>
              <w:jc w:val="both"/>
              <w:rPr>
                <w:sz w:val="24"/>
                <w:szCs w:val="24"/>
              </w:rPr>
            </w:pPr>
            <w:r>
              <w:rPr>
                <w:sz w:val="24"/>
                <w:szCs w:val="24"/>
              </w:rPr>
              <w:t>- капитального строительства (кроме особо опасных, технически сложных и уникальных объектов, объектов использования атомной энергии).</w:t>
            </w:r>
          </w:p>
          <w:p>
            <w:pPr>
              <w:pStyle w:val="Style34"/>
              <w:widowControl w:val="false"/>
              <w:jc w:val="both"/>
              <w:rPr>
                <w:rFonts w:eastAsia="Cambria"/>
                <w:sz w:val="24"/>
                <w:szCs w:val="24"/>
                <w:highlight w:val="none"/>
                <w:shd w:fill="FFFF00" w:val="clear"/>
              </w:rPr>
            </w:pPr>
            <w:r>
              <w:rPr>
                <w:rFonts w:eastAsia="Cambria"/>
                <w:sz w:val="24"/>
                <w:szCs w:val="24"/>
                <w:shd w:fill="FFFF00" w:val="clear"/>
              </w:rPr>
              <w:t>[1] Наличие членства в СРО в области строительства, реконструкции, капитального ремонта объектов капитального строительства по договору строительного подряда не требуется в случае, если размер обязательств по такому договору не превышает десяти миллионов рублей.</w:t>
            </w:r>
          </w:p>
        </w:tc>
        <w:tc>
          <w:tcPr>
            <w:tcW w:w="8333" w:type="dxa"/>
            <w:tcBorders/>
          </w:tcPr>
          <w:p>
            <w:pPr>
              <w:pStyle w:val="Style34"/>
              <w:keepNext w:val="true"/>
              <w:widowControl w:val="false"/>
              <w:spacing w:lineRule="auto" w:line="252" w:before="60" w:after="60"/>
              <w:jc w:val="both"/>
              <w:rPr/>
            </w:pPr>
            <w:r>
              <w:rPr>
                <w:rStyle w:val="Style17"/>
                <w:rFonts w:eastAsia="Calibri"/>
                <w:sz w:val="24"/>
                <w:szCs w:val="24"/>
              </w:rPr>
              <w:t>В соответствии с Федеральным законом от 30.12.2021 № 447-ФЗ «О внесении изменений в Градостроительный кодекс Российской Федерации и отдельные законодательные акты Российской Федерации» в статью 55.17 Градостроительного кодекса Российской Федерации проверка наличия сведений об участнике закупки, а также оценки соответствия уровня ответственности участника осуществляется по общедоступному ресурсу</w:t>
            </w:r>
            <w:r>
              <w:rPr>
                <w:rStyle w:val="Style17"/>
                <w:rFonts w:eastAsia="Calibri"/>
                <w:i/>
                <w:iCs/>
                <w:sz w:val="24"/>
                <w:szCs w:val="24"/>
              </w:rPr>
              <w:t xml:space="preserve">: </w:t>
            </w:r>
          </w:p>
          <w:p>
            <w:pPr>
              <w:pStyle w:val="Style34"/>
              <w:keepNext w:val="true"/>
              <w:widowControl w:val="false"/>
              <w:spacing w:lineRule="auto" w:line="252" w:before="60" w:after="60"/>
              <w:jc w:val="both"/>
              <w:rPr/>
            </w:pPr>
            <w:r>
              <w:rPr>
                <w:rStyle w:val="Style17"/>
                <w:rFonts w:eastAsia="Calibri"/>
                <w:sz w:val="24"/>
                <w:szCs w:val="24"/>
              </w:rPr>
              <w:t>   </w:t>
            </w:r>
            <w:r>
              <w:rPr>
                <w:rStyle w:val="Style17"/>
                <w:rFonts w:eastAsia="Calibri"/>
                <w:sz w:val="24"/>
                <w:szCs w:val="24"/>
              </w:rPr>
              <w:t>- Национальное объединение строителей НОСТРОЙ - сервис «Единый реестр членов СРО» (</w:t>
            </w:r>
            <w:hyperlink r:id="rId18" w:tgtFrame="_top">
              <w:r>
                <w:rPr>
                  <w:rStyle w:val="Hyperlink"/>
                  <w:rFonts w:eastAsia="Calibri"/>
                  <w:color w:val="0563C1"/>
                  <w:sz w:val="24"/>
                  <w:szCs w:val="24"/>
                  <w:lang w:val="en-US"/>
                </w:rPr>
                <w:t>http</w:t>
              </w:r>
            </w:hyperlink>
            <w:hyperlink r:id="rId19" w:tgtFrame="_top">
              <w:r>
                <w:rPr>
                  <w:rStyle w:val="Hyperlink"/>
                  <w:rFonts w:eastAsia="Calibri"/>
                  <w:color w:val="0563C1"/>
                  <w:sz w:val="24"/>
                  <w:szCs w:val="24"/>
                </w:rPr>
                <w:t>://</w:t>
              </w:r>
            </w:hyperlink>
            <w:hyperlink r:id="rId20" w:tgtFrame="_top">
              <w:r>
                <w:rPr>
                  <w:rStyle w:val="Hyperlink"/>
                  <w:rFonts w:eastAsia="Calibri"/>
                  <w:color w:val="0563C1"/>
                  <w:sz w:val="24"/>
                  <w:szCs w:val="24"/>
                  <w:lang w:val="en-US"/>
                </w:rPr>
                <w:t>reestr</w:t>
              </w:r>
            </w:hyperlink>
            <w:hyperlink r:id="rId21" w:tgtFrame="_top">
              <w:r>
                <w:rPr>
                  <w:rStyle w:val="Hyperlink"/>
                  <w:rFonts w:eastAsia="Calibri"/>
                  <w:color w:val="0563C1"/>
                  <w:sz w:val="24"/>
                  <w:szCs w:val="24"/>
                </w:rPr>
                <w:t>.</w:t>
              </w:r>
            </w:hyperlink>
            <w:hyperlink r:id="rId22" w:tgtFrame="_top">
              <w:r>
                <w:rPr>
                  <w:rStyle w:val="Hyperlink"/>
                  <w:rFonts w:eastAsia="Calibri"/>
                  <w:color w:val="0563C1"/>
                  <w:sz w:val="24"/>
                  <w:szCs w:val="24"/>
                  <w:lang w:val="en-US"/>
                </w:rPr>
                <w:t>nostroy</w:t>
              </w:r>
            </w:hyperlink>
            <w:hyperlink r:id="rId23" w:tgtFrame="_top">
              <w:r>
                <w:rPr>
                  <w:rStyle w:val="Hyperlink"/>
                  <w:rFonts w:eastAsia="Calibri"/>
                  <w:color w:val="0563C1"/>
                  <w:sz w:val="24"/>
                  <w:szCs w:val="24"/>
                </w:rPr>
                <w:t>.</w:t>
              </w:r>
            </w:hyperlink>
            <w:hyperlink r:id="rId24" w:tgtFrame="_top">
              <w:r>
                <w:rPr>
                  <w:rStyle w:val="Hyperlink"/>
                  <w:rFonts w:eastAsia="Calibri"/>
                  <w:color w:val="0563C1"/>
                  <w:sz w:val="24"/>
                  <w:szCs w:val="24"/>
                  <w:lang w:val="en-US"/>
                </w:rPr>
                <w:t>ru</w:t>
              </w:r>
            </w:hyperlink>
            <w:hyperlink r:id="rId25" w:tgtFrame="_top">
              <w:r>
                <w:rPr>
                  <w:rStyle w:val="Hyperlink"/>
                  <w:rFonts w:eastAsia="Calibri"/>
                  <w:color w:val="0563C1"/>
                  <w:sz w:val="24"/>
                  <w:szCs w:val="24"/>
                </w:rPr>
                <w:t>/</w:t>
              </w:r>
            </w:hyperlink>
            <w:r>
              <w:rPr>
                <w:rStyle w:val="Style17"/>
                <w:rFonts w:eastAsia="Calibri"/>
                <w:sz w:val="24"/>
                <w:szCs w:val="24"/>
              </w:rPr>
              <w:t xml:space="preserve">).     </w:t>
            </w:r>
          </w:p>
          <w:p>
            <w:pPr>
              <w:pStyle w:val="Style34"/>
              <w:keepNext w:val="true"/>
              <w:widowControl w:val="false"/>
              <w:spacing w:lineRule="auto" w:line="252" w:before="60" w:after="60"/>
              <w:jc w:val="both"/>
              <w:rPr>
                <w:rFonts w:eastAsia="Calibri"/>
                <w:sz w:val="24"/>
                <w:szCs w:val="24"/>
              </w:rPr>
            </w:pPr>
            <w:r>
              <w:rPr>
                <w:rFonts w:eastAsia="Calibri"/>
                <w:sz w:val="24"/>
                <w:szCs w:val="24"/>
              </w:rPr>
              <w:t>     </w:t>
            </w:r>
            <w:r>
              <w:rPr>
                <w:rFonts w:eastAsia="Calibri"/>
                <w:sz w:val="24"/>
                <w:szCs w:val="24"/>
              </w:rPr>
              <w:t>Данные из реестра членов СРО, формируемые на вышеуказанном/ых ресурсе/ах проверяются на дату окончания срока подачи заявок, установленную в Извещении/Документации о закупке, должны включать в себя сведения об уровне ответственности участника:</w:t>
            </w:r>
          </w:p>
          <w:p>
            <w:pPr>
              <w:pStyle w:val="Style34"/>
              <w:keepNext w:val="true"/>
              <w:widowControl w:val="false"/>
              <w:spacing w:lineRule="auto" w:line="252" w:before="60" w:after="60"/>
              <w:jc w:val="both"/>
              <w:rPr>
                <w:rFonts w:eastAsia="Calibri"/>
                <w:sz w:val="24"/>
                <w:szCs w:val="24"/>
              </w:rPr>
            </w:pPr>
            <w:r>
              <w:rPr>
                <w:rFonts w:eastAsia="Calibri"/>
                <w:sz w:val="24"/>
                <w:szCs w:val="24"/>
              </w:rPr>
              <w:t>- по компенсационному фонду возмещения вреда,</w:t>
            </w:r>
          </w:p>
          <w:p>
            <w:pPr>
              <w:pStyle w:val="Style34"/>
              <w:keepNext w:val="true"/>
              <w:widowControl w:val="false"/>
              <w:spacing w:lineRule="auto" w:line="252" w:before="60" w:after="60"/>
              <w:jc w:val="both"/>
              <w:rPr>
                <w:rFonts w:eastAsia="Calibri"/>
                <w:sz w:val="24"/>
                <w:szCs w:val="24"/>
              </w:rPr>
            </w:pPr>
            <w:r>
              <w:rPr>
                <w:rFonts w:eastAsia="Calibri"/>
                <w:sz w:val="24"/>
                <w:szCs w:val="24"/>
              </w:rPr>
              <w:t>- по компенсационному фонду обеспечения договорных обязательств.</w:t>
            </w:r>
          </w:p>
          <w:p>
            <w:pPr>
              <w:pStyle w:val="Style34"/>
              <w:keepNext w:val="true"/>
              <w:widowControl w:val="false"/>
              <w:spacing w:lineRule="auto" w:line="252" w:before="60" w:after="60"/>
              <w:jc w:val="both"/>
              <w:rPr>
                <w:rFonts w:eastAsia="Calibri"/>
                <w:sz w:val="24"/>
                <w:szCs w:val="24"/>
              </w:rPr>
            </w:pPr>
            <w:r>
              <w:rPr>
                <w:rFonts w:eastAsia="Calibri"/>
                <w:sz w:val="24"/>
                <w:szCs w:val="24"/>
              </w:rPr>
              <w:t xml:space="preserve">     </w:t>
            </w:r>
            <w:r>
              <w:rPr>
                <w:rFonts w:eastAsia="Calibri"/>
                <w:sz w:val="24"/>
                <w:szCs w:val="24"/>
              </w:rPr>
              <w:t>Проверка соответствия уровня ответственности участника по компенсационному фонду возмещения вреда будет осуществляться исходя из предложенной участником стоимости (включая налоги и сборы (с учетом НДС)) строительства, реконструкции, капитального ремонта объектов капитального строительства.</w:t>
            </w:r>
          </w:p>
          <w:p>
            <w:pPr>
              <w:pStyle w:val="Style34"/>
              <w:keepNext w:val="true"/>
              <w:widowControl w:val="false"/>
              <w:spacing w:before="60" w:after="60"/>
              <w:jc w:val="both"/>
              <w:rPr>
                <w:rFonts w:eastAsia="Cambria"/>
                <w:sz w:val="24"/>
                <w:szCs w:val="24"/>
              </w:rPr>
            </w:pPr>
            <w:r>
              <w:rPr>
                <w:rFonts w:eastAsia="Cambria"/>
                <w:sz w:val="24"/>
                <w:szCs w:val="24"/>
              </w:rPr>
              <w:t xml:space="preserve">      </w:t>
            </w:r>
            <w:r>
              <w:rPr>
                <w:rFonts w:eastAsia="Cambria"/>
                <w:sz w:val="24"/>
                <w:szCs w:val="24"/>
              </w:rPr>
              <w:t xml:space="preserve">По компенсационному фонду обеспечения договорных обязательств из предложенной участником стоимости (включая налоги и сборы (с учетом НДС)) строительства, реконструкции, капитального ремонта объектов капитального строительства, </w:t>
            </w:r>
          </w:p>
          <w:p>
            <w:pPr>
              <w:pStyle w:val="Style34"/>
              <w:keepNext w:val="true"/>
              <w:widowControl w:val="false"/>
              <w:spacing w:before="60" w:after="60"/>
              <w:jc w:val="both"/>
              <w:rPr>
                <w:rFonts w:eastAsia="Cambria"/>
                <w:sz w:val="24"/>
                <w:szCs w:val="24"/>
              </w:rPr>
            </w:pPr>
            <w:r>
              <w:rPr>
                <w:rFonts w:eastAsia="Cambria"/>
                <w:sz w:val="24"/>
                <w:szCs w:val="24"/>
              </w:rPr>
              <w:t xml:space="preserve">    </w:t>
            </w:r>
            <w:r>
              <w:rPr>
                <w:rFonts w:eastAsia="Cambria"/>
                <w:sz w:val="24"/>
                <w:szCs w:val="24"/>
              </w:rPr>
              <w:t>при этом   проверка соответствия уровня ответственности участника по компенсационному фонду обеспечения договорных обязательств в строительстве, реконструкции, капитальном ремонте объектов капитального строительства осуществляется с учетом стоимости (в случае их наличия в технических требованиях) поставки оборудования и материально-технических ресурсов.</w:t>
            </w:r>
          </w:p>
          <w:p>
            <w:pPr>
              <w:pStyle w:val="Style34"/>
              <w:keepNext w:val="true"/>
              <w:widowControl w:val="false"/>
              <w:rPr/>
            </w:pPr>
            <w:r>
              <w:rPr>
                <w:rStyle w:val="Style17"/>
                <w:bCs/>
                <w:sz w:val="24"/>
                <w:szCs w:val="24"/>
              </w:rPr>
              <w:t xml:space="preserve">     </w:t>
            </w:r>
            <w:r>
              <w:rPr>
                <w:rStyle w:val="Style17"/>
                <w:bCs/>
                <w:sz w:val="24"/>
                <w:szCs w:val="24"/>
              </w:rPr>
              <w:t xml:space="preserve">Требование является </w:t>
            </w:r>
            <w:r>
              <w:rPr>
                <w:rStyle w:val="Style17"/>
                <w:b/>
                <w:bCs/>
                <w:sz w:val="24"/>
                <w:szCs w:val="24"/>
              </w:rPr>
              <w:t>обязательным</w:t>
            </w:r>
            <w:r>
              <w:rPr>
                <w:rStyle w:val="Style17"/>
                <w:bCs/>
                <w:sz w:val="24"/>
                <w:szCs w:val="24"/>
              </w:rPr>
              <w:t>, неисполнение которого повлечет отклонение заявки.</w:t>
            </w:r>
          </w:p>
          <w:p>
            <w:pPr>
              <w:pStyle w:val="Style34"/>
              <w:widowControl w:val="false"/>
              <w:jc w:val="both"/>
              <w:rPr>
                <w:rFonts w:eastAsia="Cambria"/>
                <w:sz w:val="24"/>
                <w:szCs w:val="24"/>
              </w:rPr>
            </w:pPr>
            <w:r>
              <w:rPr>
                <w:rFonts w:eastAsia="Cambria"/>
                <w:sz w:val="24"/>
                <w:szCs w:val="24"/>
              </w:rPr>
            </w:r>
          </w:p>
        </w:tc>
      </w:tr>
    </w:tbl>
    <w:p>
      <w:pPr>
        <w:pStyle w:val="Style22"/>
        <w:spacing w:before="360" w:after="120"/>
        <w:rPr/>
      </w:pPr>
      <w:bookmarkStart w:id="295" w:name="_Ref125361531"/>
      <w:bookmarkStart w:id="296" w:name="_Ref125369111"/>
      <w:bookmarkStart w:id="297" w:name="_Ref125370085"/>
      <w:bookmarkStart w:id="298" w:name="_Ref125370145"/>
      <w:bookmarkStart w:id="299" w:name="_Ref125370151"/>
      <w:bookmarkStart w:id="300" w:name="_Ref125552455"/>
      <w:bookmarkStart w:id="301" w:name="_Ref125553500"/>
      <w:bookmarkStart w:id="302" w:name="_Ref125553692"/>
      <w:bookmarkStart w:id="303" w:name="_Ref125553703"/>
      <w:bookmarkStart w:id="304" w:name="_Ref125709228"/>
      <w:bookmarkStart w:id="305" w:name="_Toc186224277"/>
      <w:r>
        <w:rPr/>
        <w:t>Дополнительные требования к Коллективным участникам</w:t>
      </w:r>
      <w:bookmarkEnd w:id="295"/>
      <w:bookmarkEnd w:id="296"/>
      <w:bookmarkEnd w:id="297"/>
      <w:bookmarkEnd w:id="298"/>
      <w:bookmarkEnd w:id="299"/>
      <w:bookmarkEnd w:id="300"/>
      <w:bookmarkEnd w:id="301"/>
      <w:bookmarkEnd w:id="302"/>
      <w:bookmarkEnd w:id="303"/>
      <w:bookmarkEnd w:id="304"/>
      <w:bookmarkEnd w:id="305"/>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6" w:name="_Ref125553738"/>
            <w:bookmarkStart w:id="307" w:name="_Ref125553738"/>
            <w:bookmarkEnd w:id="307"/>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8" w:name="_Ref125370162"/>
            <w:bookmarkStart w:id="309" w:name="_Ref125370162"/>
            <w:bookmarkEnd w:id="309"/>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_Ref135034010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3.2.7</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2"/>
        <w:spacing w:before="360" w:after="120"/>
        <w:rPr/>
      </w:pPr>
      <w:bookmarkStart w:id="310" w:name="_Ref125361823"/>
      <w:bookmarkStart w:id="311" w:name="_Ref125362031"/>
      <w:bookmarkStart w:id="312" w:name="_Ref125369117"/>
      <w:bookmarkStart w:id="313" w:name="_Ref125370173"/>
      <w:bookmarkStart w:id="314" w:name="_Ref125370180"/>
      <w:bookmarkStart w:id="315" w:name="_Ref125370209"/>
      <w:bookmarkStart w:id="316" w:name="_Ref125709777"/>
      <w:bookmarkStart w:id="317" w:name="_Ref125709973"/>
      <w:bookmarkStart w:id="318" w:name="_Toc186224278"/>
      <w:r>
        <w:rPr/>
        <w:t>Дополнительные требования к Генеральным подрядчикам</w:t>
      </w:r>
      <w:bookmarkEnd w:id="310"/>
      <w:bookmarkEnd w:id="311"/>
      <w:bookmarkEnd w:id="312"/>
      <w:bookmarkEnd w:id="313"/>
      <w:bookmarkEnd w:id="314"/>
      <w:bookmarkEnd w:id="315"/>
      <w:bookmarkEnd w:id="316"/>
      <w:bookmarkEnd w:id="317"/>
      <w:bookmarkEnd w:id="318"/>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7"/>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9" w:name="_Ref125370187"/>
            <w:bookmarkStart w:id="320" w:name="_Ref125370187"/>
            <w:bookmarkEnd w:id="320"/>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1" w:name="_Ref125370193"/>
            <w:bookmarkStart w:id="322" w:name="_Ref125370193"/>
            <w:bookmarkEnd w:id="322"/>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7"/>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3" w:name="_Ref125553847"/>
            <w:bookmarkStart w:id="324" w:name="_Ref125553847"/>
            <w:bookmarkEnd w:id="324"/>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26"/>
          <w:headerReference w:type="first" r:id="rId27"/>
          <w:footerReference w:type="default" r:id="rId28"/>
          <w:footerReference w:type="first" r:id="rId2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1"/>
        <w:rPr/>
      </w:pPr>
      <w:bookmarkStart w:id="325" w:name="_Toc186224279"/>
      <w:bookmarkStart w:id="326" w:name="Прил04_ФормыЗаявки"/>
      <w:bookmarkEnd w:id="326"/>
      <w:r>
        <w:rPr/>
        <w:t>Приложение № 4 – Образцы форм документов, включаемых в состав заявки</w:t>
      </w:r>
      <w:bookmarkEnd w:id="325"/>
    </w:p>
    <w:p>
      <w:pPr>
        <w:pStyle w:val="Style22"/>
        <w:rPr/>
      </w:pPr>
      <w:bookmarkStart w:id="327" w:name="_Toc186224280"/>
      <w:r>
        <w:rPr/>
        <w:t>Пояснения к Образцам форм документов, включаемых в состав заявки</w:t>
      </w:r>
      <w:bookmarkEnd w:id="327"/>
    </w:p>
    <w:p>
      <w:pPr>
        <w:pStyle w:val="Style23"/>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1"/>
        <w:rPr/>
      </w:pPr>
      <w:bookmarkStart w:id="328" w:name="_Toc186224281"/>
      <w:bookmarkStart w:id="329" w:name="Прил05_ФормыПобедителя"/>
      <w:bookmarkEnd w:id="329"/>
      <w:r>
        <w:rPr/>
        <w:t>Приложение № 5 – Образцы форм документов, предоставляемых Победителем</w:t>
      </w:r>
      <w:bookmarkEnd w:id="328"/>
    </w:p>
    <w:p>
      <w:pPr>
        <w:pStyle w:val="Style22"/>
        <w:rPr/>
      </w:pPr>
      <w:bookmarkStart w:id="330" w:name="_Toc186224282"/>
      <w:r>
        <w:rPr/>
        <w:t>Пояснения к Образцам форм документов, предоставляемых Победителем</w:t>
      </w:r>
      <w:bookmarkEnd w:id="330"/>
    </w:p>
    <w:p>
      <w:pPr>
        <w:pStyle w:val="Style23"/>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2"/>
        <w:rPr/>
      </w:pPr>
      <w:bookmarkStart w:id="331" w:name="_Ref130395470"/>
      <w:bookmarkStart w:id="332" w:name="_Toc186224283"/>
      <w:r>
        <w:rPr/>
        <w:t>Форма справки «Сведения о цепочке собственников, включая бенефициаров (в том числе конечных)»</w:t>
      </w:r>
      <w:bookmarkEnd w:id="331"/>
      <w:bookmarkEnd w:id="332"/>
    </w:p>
    <w:p>
      <w:pPr>
        <w:pStyle w:val="Style23"/>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3"/>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33" w:name="_MON_1741074142"/>
    </w:p>
    <w:p>
      <w:pPr>
        <w:pStyle w:val="Style27"/>
        <w:jc w:val="center"/>
        <w:rPr/>
      </w:pPr>
      <w:bookmarkEnd w:id="333"/>
      <w:r>
        <w:rPr/>
        <w:object>
          <v:shapetype id="_x0000_tole_rId30" coordsize="21600,21600" o:spt="ole_rId3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0" type="_x0000_tole_rId30" style="width:78pt;height:50.25pt;mso-wrap-distance-right:0pt" filled="f" o:ole="">
            <v:imagedata r:id="rId31" o:title=""/>
          </v:shape>
          <o:OLEObject Type="Embed" ProgID="Word.Document.12" ShapeID="ole_rId30" DrawAspect="Icon" ObjectID="_231670566" r:id="rId30"/>
        </w:object>
      </w:r>
    </w:p>
    <w:p>
      <w:pPr>
        <w:pStyle w:val="Style22"/>
        <w:rPr/>
      </w:pPr>
      <w:bookmarkStart w:id="334" w:name="_Ref130395475"/>
      <w:bookmarkStart w:id="335" w:name="_Toc186224284"/>
      <w:r>
        <w:rPr/>
        <w:t>Форма «Заверение об обстоятельствах»</w:t>
      </w:r>
      <w:bookmarkEnd w:id="334"/>
      <w:bookmarkEnd w:id="335"/>
    </w:p>
    <w:p>
      <w:pPr>
        <w:pStyle w:val="Style23"/>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3"/>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3"/>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3"/>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36" w:name="_MON_1741074184"/>
    </w:p>
    <w:p>
      <w:pPr>
        <w:pStyle w:val="Style27"/>
        <w:spacing w:before="120" w:after="120"/>
        <w:jc w:val="center"/>
        <w:rPr/>
      </w:pPr>
      <w:bookmarkEnd w:id="336"/>
      <w:r>
        <w:rPr/>
        <w:object>
          <v:shapetype id="_x0000_tole_rId32" coordsize="21600,21600" o:spt="ole_rId3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2" type="_x0000_tole_rId32" style="width:78pt;height:50.25pt;mso-wrap-distance-right:0pt;mso-wrap-distance-bottom:6pt" filled="f" o:ole="">
            <v:imagedata r:id="rId33" o:title=""/>
          </v:shape>
          <o:OLEObject Type="Embed" ProgID="Word.Document.12" ShapeID="ole_rId32" DrawAspect="Icon" ObjectID="_596603423" r:id="rId32"/>
        </w:object>
      </w:r>
    </w:p>
    <w:p>
      <w:pPr>
        <w:pStyle w:val="Style21"/>
        <w:rPr/>
      </w:pPr>
      <w:bookmarkStart w:id="337" w:name="_Toc186224285"/>
      <w:bookmarkStart w:id="338" w:name="_Ref125362865"/>
      <w:bookmarkStart w:id="339" w:name="_Ref125362900"/>
      <w:bookmarkStart w:id="340" w:name="Прил06_СоставЗаявки"/>
      <w:bookmarkEnd w:id="340"/>
      <w:r>
        <w:rPr/>
        <w:t>Приложение № 6 – Состав заявки</w:t>
      </w:r>
      <w:bookmarkEnd w:id="337"/>
      <w:bookmarkEnd w:id="338"/>
      <w:bookmarkEnd w:id="339"/>
    </w:p>
    <w:p>
      <w:pPr>
        <w:pStyle w:val="Style22"/>
        <w:rPr/>
      </w:pPr>
      <w:bookmarkStart w:id="341" w:name="_Toc186224286"/>
      <w:r>
        <w:rPr/>
        <w:t>Состав заявки</w:t>
      </w:r>
      <w:bookmarkEnd w:id="341"/>
    </w:p>
    <w:p>
      <w:pPr>
        <w:pStyle w:val="Style23"/>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rPr>
          <w:t>Приложении № 4</w:t>
        </w:r>
      </w:hyperlink>
      <w:r>
        <w:rPr/>
        <w:t>):</w:t>
      </w:r>
    </w:p>
    <w:tbl>
      <w:tblPr>
        <w:tblStyle w:val="af8"/>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указание сведений, позволяющих каким-либо образом идентифицировать лидера коллективного участника, члена коллективного участника, генеральный подрядчик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Календарный график (форма 5);</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6);</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8"/>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Style w:val="Style11"/>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8"/>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32888537"/>
            <w:bookmarkStart w:id="343" w:name="_Ref132888537"/>
            <w:bookmarkEnd w:id="343"/>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0389408"/>
            <w:bookmarkStart w:id="345" w:name="_Ref130389408"/>
            <w:bookmarkEnd w:id="345"/>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30389413"/>
            <w:bookmarkStart w:id="347" w:name="_Ref130389413"/>
            <w:bookmarkEnd w:id="347"/>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30389419"/>
            <w:bookmarkStart w:id="349" w:name="_Ref130389419"/>
            <w:bookmarkEnd w:id="349"/>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34"/>
          <w:headerReference w:type="first" r:id="rId35"/>
          <w:footerReference w:type="default" r:id="rId36"/>
          <w:footerReference w:type="first" r:id="rId3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1"/>
        <w:rPr/>
      </w:pPr>
      <w:bookmarkStart w:id="350" w:name="_Ref125365264"/>
      <w:bookmarkStart w:id="351" w:name="_Toc186224287"/>
      <w:bookmarkStart w:id="352" w:name="Прил07_ОтборочныеКритерии"/>
      <w:bookmarkEnd w:id="352"/>
      <w:r>
        <w:rPr/>
        <w:t>Приложение № 7 – Отборочные критерии рассмотрения заявок</w:t>
      </w:r>
      <w:bookmarkEnd w:id="350"/>
      <w:bookmarkEnd w:id="351"/>
    </w:p>
    <w:p>
      <w:pPr>
        <w:pStyle w:val="Style22"/>
        <w:spacing w:before="360" w:after="120"/>
        <w:rPr>
          <w:rStyle w:val="Style8"/>
          <w:i w:val="false"/>
          <w:i w:val="false"/>
          <w:iCs w:val="false"/>
          <w:shd w:fill="auto" w:val="clear"/>
        </w:rPr>
      </w:pPr>
      <w:bookmarkStart w:id="353" w:name="_Toc186224288"/>
      <w:r>
        <w:rPr>
          <w:rStyle w:val="Style8"/>
          <w:i w:val="false"/>
          <w:iCs w:val="false"/>
          <w:shd w:fill="auto" w:val="clear"/>
        </w:rPr>
        <w:t>Отборочные критерии рассмотрения первых частей заявок</w:t>
      </w:r>
      <w:bookmarkEnd w:id="353"/>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354" w:name="_Toc186224290"/>
      <w:bookmarkStart w:id="355" w:name="_Hlk132891087"/>
      <w:r>
        <w:rPr>
          <w:rStyle w:val="Style8"/>
          <w:i w:val="false"/>
          <w:iCs w:val="false"/>
          <w:shd w:fill="auto" w:val="clear"/>
        </w:rPr>
        <w:t>Отборочные критерии рассмотрения вторых частей заявок</w:t>
      </w:r>
      <w:bookmarkEnd w:id="354"/>
      <w:bookmarkEnd w:id="355"/>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6" w:name="_Ref132890414"/>
            <w:bookmarkStart w:id="357" w:name="_Ref132890414"/>
            <w:bookmarkEnd w:id="357"/>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7"/>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358" w:name="_Toc186224291"/>
      <w:r>
        <w:rPr>
          <w:rStyle w:val="Style8"/>
          <w:i w:val="false"/>
          <w:iCs w:val="false"/>
          <w:shd w:fill="auto" w:val="clear"/>
        </w:rPr>
        <w:t>Отборочные критерии рассмотрения ценовых предложений</w:t>
      </w:r>
      <w:bookmarkEnd w:id="358"/>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7"/>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2"/>
        <w:rPr>
          <w:rStyle w:val="Style8"/>
          <w:i w:val="false"/>
          <w:i w:val="false"/>
          <w:iCs w:val="false"/>
          <w:shd w:fill="auto" w:val="clear"/>
        </w:rPr>
      </w:pPr>
      <w:bookmarkStart w:id="359" w:name="_Toc186224292"/>
      <w:r>
        <w:rPr>
          <w:rStyle w:val="Style8"/>
          <w:i w:val="false"/>
          <w:iCs w:val="false"/>
          <w:shd w:fill="auto" w:val="clear"/>
        </w:rPr>
        <w:t>Дополнительные критерии проверки заявок на соответствие условиям Документации о закупке</w:t>
      </w:r>
      <w:bookmarkEnd w:id="359"/>
    </w:p>
    <w:p>
      <w:pPr>
        <w:pStyle w:val="Style27"/>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7"/>
              <w:widowControl w:val="false"/>
              <w:numPr>
                <w:ilvl w:val="0"/>
                <w:numId w:val="13"/>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в заявке в форме Коммерческого предложения информации о стране происхождения товара</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7"/>
        <w:keepNext w:val="true"/>
        <w:tabs>
          <w:tab w:val="clear" w:pos="708"/>
          <w:tab w:val="left" w:pos="851" w:leader="none"/>
        </w:tabs>
        <w:spacing w:before="240" w:after="0"/>
        <w:rPr>
          <w:b/>
          <w:bCs/>
        </w:rPr>
      </w:pPr>
      <w:r>
        <w:rPr>
          <w:b/>
          <w:bCs/>
        </w:rPr>
        <w:t>* Направления оценки заявок:</w:t>
      </w:r>
    </w:p>
    <w:p>
      <w:pPr>
        <w:pStyle w:val="Style27"/>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7"/>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7"/>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7"/>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7"/>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8"/>
          <w:headerReference w:type="first" r:id="rId39"/>
          <w:footerReference w:type="default" r:id="rId40"/>
          <w:footerReference w:type="first" r:id="rId4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1"/>
        <w:rPr/>
      </w:pPr>
      <w:bookmarkStart w:id="360" w:name="_Ref125361648"/>
      <w:bookmarkStart w:id="361" w:name="_Ref125361951"/>
      <w:bookmarkStart w:id="362" w:name="_Ref125366013"/>
      <w:bookmarkStart w:id="363" w:name="_Ref125366280"/>
      <w:bookmarkStart w:id="364" w:name="_Ref125366285"/>
      <w:bookmarkStart w:id="365" w:name="_Ref125368140"/>
      <w:bookmarkStart w:id="366" w:name="_Ref125368150"/>
      <w:bookmarkStart w:id="367" w:name="_Ref125368165"/>
      <w:bookmarkStart w:id="368" w:name="_Ref125368172"/>
      <w:bookmarkStart w:id="369" w:name="_Ref125368184"/>
      <w:bookmarkStart w:id="370" w:name="_Ref125368283"/>
      <w:bookmarkStart w:id="371" w:name="_Ref125368291"/>
      <w:bookmarkStart w:id="372" w:name="_Ref125368302"/>
      <w:bookmarkStart w:id="373" w:name="_Ref125368313"/>
      <w:bookmarkStart w:id="374" w:name="_Ref125368331"/>
      <w:bookmarkStart w:id="375" w:name="_Ref125369021"/>
      <w:bookmarkStart w:id="376" w:name="_Ref125369438"/>
      <w:bookmarkStart w:id="377" w:name="_Toc186224293"/>
      <w:bookmarkStart w:id="378" w:name="Прил08_ПорядокОценки"/>
      <w:bookmarkEnd w:id="378"/>
      <w:r>
        <w:rPr/>
        <w:t>Приложение № 8 – Порядок и критерии оценки и сопоставления заявок</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Style22"/>
        <w:rPr/>
      </w:pPr>
      <w:bookmarkStart w:id="379" w:name="_Toc186224294"/>
      <w:r>
        <w:rPr/>
        <w:t>Порядок и критерии оценки и сопоставления заявок</w:t>
      </w:r>
      <w:bookmarkEnd w:id="379"/>
    </w:p>
    <w:p>
      <w:pPr>
        <w:pStyle w:val="Style23"/>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27"/>
        <w:spacing w:before="120" w:after="120"/>
        <w:ind w:left="1134" w:hanging="0"/>
        <w:rPr>
          <w:rStyle w:val="Style8"/>
        </w:rPr>
      </w:pPr>
      <w:r>
        <w:rPr/>
      </w:r>
    </w:p>
    <w:tbl>
      <w:tblPr>
        <w:tblW w:w="14034" w:type="dxa"/>
        <w:jc w:val="left"/>
        <w:tblInd w:w="1061" w:type="dxa"/>
        <w:tblLayout w:type="fixed"/>
        <w:tblCellMar>
          <w:top w:w="0" w:type="dxa"/>
          <w:left w:w="62" w:type="dxa"/>
          <w:bottom w:w="0" w:type="dxa"/>
          <w:right w:w="57" w:type="dxa"/>
        </w:tblCellMar>
      </w:tblPr>
      <w:tblGrid>
        <w:gridCol w:w="1532"/>
        <w:gridCol w:w="1269"/>
        <w:gridCol w:w="1594"/>
        <w:gridCol w:w="1701"/>
        <w:gridCol w:w="1841"/>
        <w:gridCol w:w="1986"/>
        <w:gridCol w:w="4110"/>
      </w:tblGrid>
      <w:tr>
        <w:trPr/>
        <w:tc>
          <w:tcPr>
            <w:tcW w:w="1532" w:type="dxa"/>
            <w:vMerge w:val="restart"/>
            <w:tcBorders>
              <w:top w:val="single" w:sz="4" w:space="0" w:color="7F7F7F"/>
              <w:left w:val="single" w:sz="4" w:space="0" w:color="7F7F7F"/>
              <w:bottom w:val="single" w:sz="4" w:space="0" w:color="7F7F7F"/>
              <w:right w:val="single" w:sz="4" w:space="0" w:color="7F7F7F"/>
            </w:tcBorders>
          </w:tcPr>
          <w:p>
            <w:pPr>
              <w:pStyle w:val="Style27"/>
              <w:keepNext w:val="true"/>
              <w:keepLines w:val="false"/>
              <w:widowControl w:val="false"/>
              <w:suppressAutoHyphens w:val="true"/>
              <w:spacing w:before="60" w:after="60"/>
              <w:jc w:val="center"/>
              <w:rPr/>
            </w:pPr>
            <w:r>
              <w:rPr>
                <w:rFonts w:eastAsia="Calibri"/>
                <w:b/>
                <w:kern w:val="0"/>
                <w:sz w:val="18"/>
                <w:szCs w:val="18"/>
                <w:lang w:val="ru-RU" w:eastAsia="en-US" w:bidi="ar-SA"/>
              </w:rPr>
              <w:t>Номер критерия оценки в</w:t>
            </w:r>
            <w:r>
              <w:rPr>
                <w:rFonts w:eastAsia="Calibri"/>
                <w:b/>
                <w:kern w:val="0"/>
                <w:sz w:val="18"/>
                <w:szCs w:val="18"/>
                <w:lang w:val="en-US" w:eastAsia="en-US" w:bidi="ar-SA"/>
              </w:rPr>
              <w:t> </w:t>
            </w:r>
            <w:r>
              <w:rPr>
                <w:rFonts w:eastAsia="Calibri"/>
                <w:b/>
                <w:kern w:val="0"/>
                <w:sz w:val="18"/>
                <w:szCs w:val="18"/>
                <w:lang w:val="ru-RU" w:eastAsia="en-US" w:bidi="ar-SA"/>
              </w:rPr>
              <w:t>структуре</w:t>
            </w:r>
          </w:p>
        </w:tc>
        <w:tc>
          <w:tcPr>
            <w:tcW w:w="1269" w:type="dxa"/>
            <w:vMerge w:val="restart"/>
            <w:tcBorders>
              <w:top w:val="single" w:sz="4" w:space="0" w:color="7F7F7F"/>
              <w:left w:val="single" w:sz="4" w:space="0" w:color="7F7F7F"/>
              <w:bottom w:val="single" w:sz="4" w:space="0" w:color="7F7F7F"/>
              <w:right w:val="single" w:sz="4" w:space="0" w:color="7F7F7F"/>
            </w:tcBorders>
          </w:tcPr>
          <w:p>
            <w:pPr>
              <w:pStyle w:val="Style27"/>
              <w:keepNext w:val="true"/>
              <w:keepLines w:val="false"/>
              <w:widowControl w:val="false"/>
              <w:suppressAutoHyphens w:val="true"/>
              <w:spacing w:before="60" w:after="60"/>
              <w:jc w:val="center"/>
              <w:rPr>
                <w:rFonts w:eastAsia="Calibri"/>
                <w:b/>
                <w:kern w:val="0"/>
                <w:sz w:val="18"/>
                <w:szCs w:val="18"/>
                <w:lang w:val="ru-RU" w:eastAsia="en-US" w:bidi="ar-SA"/>
              </w:rPr>
            </w:pPr>
            <w:r>
              <w:rPr>
                <w:rFonts w:eastAsia="Calibri"/>
                <w:b/>
                <w:kern w:val="0"/>
                <w:sz w:val="18"/>
                <w:szCs w:val="18"/>
                <w:lang w:val="ru-RU" w:eastAsia="en-US" w:bidi="ar-SA"/>
              </w:rPr>
              <w:t>Вид критерия оценки / направление оценки заявок</w:t>
            </w:r>
          </w:p>
        </w:tc>
        <w:tc>
          <w:tcPr>
            <w:tcW w:w="3295" w:type="dxa"/>
            <w:gridSpan w:val="2"/>
            <w:tcBorders>
              <w:top w:val="single" w:sz="4" w:space="0" w:color="7F7F7F"/>
              <w:left w:val="single" w:sz="4" w:space="0" w:color="7F7F7F"/>
              <w:bottom w:val="single" w:sz="4" w:space="0" w:color="7F7F7F"/>
              <w:right w:val="single" w:sz="4" w:space="0" w:color="7F7F7F"/>
            </w:tcBorders>
          </w:tcPr>
          <w:p>
            <w:pPr>
              <w:pStyle w:val="Style27"/>
              <w:keepNext w:val="true"/>
              <w:keepLines w:val="false"/>
              <w:widowControl w:val="false"/>
              <w:suppressAutoHyphens w:val="true"/>
              <w:spacing w:before="60" w:after="60"/>
              <w:jc w:val="center"/>
              <w:rPr>
                <w:rFonts w:eastAsia="Calibri"/>
                <w:b/>
                <w:kern w:val="0"/>
                <w:sz w:val="18"/>
                <w:szCs w:val="18"/>
                <w:lang w:val="ru-RU" w:eastAsia="en-US" w:bidi="ar-SA"/>
              </w:rPr>
            </w:pPr>
            <w:r>
              <w:rPr>
                <w:rFonts w:eastAsia="Calibri"/>
                <w:b/>
                <w:kern w:val="0"/>
                <w:sz w:val="18"/>
                <w:szCs w:val="18"/>
                <w:lang w:val="ru-RU" w:eastAsia="en-US" w:bidi="ar-SA"/>
              </w:rPr>
              <w:t>Наименование критерия оценки</w:t>
            </w:r>
          </w:p>
        </w:tc>
        <w:tc>
          <w:tcPr>
            <w:tcW w:w="1841" w:type="dxa"/>
            <w:vMerge w:val="restart"/>
            <w:tcBorders>
              <w:top w:val="single" w:sz="4" w:space="0" w:color="7F7F7F"/>
              <w:left w:val="single" w:sz="4" w:space="0" w:color="7F7F7F"/>
              <w:bottom w:val="single" w:sz="4" w:space="0" w:color="7F7F7F"/>
              <w:right w:val="single" w:sz="4" w:space="0" w:color="7F7F7F"/>
            </w:tcBorders>
          </w:tcPr>
          <w:p>
            <w:pPr>
              <w:pStyle w:val="Style27"/>
              <w:keepNext w:val="true"/>
              <w:keepLines w:val="false"/>
              <w:widowControl w:val="false"/>
              <w:suppressAutoHyphens w:val="true"/>
              <w:spacing w:before="60" w:after="60"/>
              <w:jc w:val="center"/>
              <w:rPr>
                <w:rFonts w:eastAsia="Calibri"/>
                <w:b/>
                <w:kern w:val="0"/>
                <w:sz w:val="18"/>
                <w:szCs w:val="18"/>
                <w:lang w:val="ru-RU" w:eastAsia="en-US" w:bidi="ar-SA"/>
              </w:rPr>
            </w:pPr>
            <w:r>
              <w:rPr>
                <w:rFonts w:eastAsia="Calibri"/>
                <w:b/>
                <w:kern w:val="0"/>
                <w:sz w:val="18"/>
                <w:szCs w:val="18"/>
                <w:lang w:val="ru-RU" w:eastAsia="en-US" w:bidi="ar-SA"/>
              </w:rPr>
              <w:t>Значимость</w:t>
              <w:br/>
              <w:t>критерия оценки</w:t>
            </w:r>
          </w:p>
        </w:tc>
        <w:tc>
          <w:tcPr>
            <w:tcW w:w="1986" w:type="dxa"/>
            <w:vMerge w:val="restart"/>
            <w:tcBorders>
              <w:top w:val="single" w:sz="4" w:space="0" w:color="7F7F7F"/>
              <w:left w:val="single" w:sz="4" w:space="0" w:color="7F7F7F"/>
              <w:bottom w:val="single" w:sz="4" w:space="0" w:color="7F7F7F"/>
              <w:right w:val="single" w:sz="4" w:space="0" w:color="7F7F7F"/>
            </w:tcBorders>
          </w:tcPr>
          <w:p>
            <w:pPr>
              <w:pStyle w:val="Style27"/>
              <w:keepNext w:val="true"/>
              <w:keepLines w:val="false"/>
              <w:widowControl w:val="false"/>
              <w:suppressAutoHyphens w:val="true"/>
              <w:spacing w:before="60" w:after="60"/>
              <w:jc w:val="center"/>
              <w:rPr>
                <w:rFonts w:eastAsia="Calibri"/>
                <w:b/>
                <w:kern w:val="0"/>
                <w:sz w:val="18"/>
                <w:szCs w:val="18"/>
                <w:lang w:val="ru-RU" w:eastAsia="en-US" w:bidi="ar-SA"/>
              </w:rPr>
            </w:pPr>
            <w:r>
              <w:rPr>
                <w:rFonts w:eastAsia="Calibri"/>
                <w:b/>
                <w:kern w:val="0"/>
                <w:sz w:val="18"/>
                <w:szCs w:val="18"/>
                <w:lang w:val="ru-RU" w:eastAsia="en-US" w:bidi="ar-SA"/>
              </w:rPr>
              <w:t>Содержание частного критерия оценки</w:t>
            </w:r>
          </w:p>
        </w:tc>
        <w:tc>
          <w:tcPr>
            <w:tcW w:w="4110" w:type="dxa"/>
            <w:vMerge w:val="restart"/>
            <w:tcBorders>
              <w:top w:val="single" w:sz="4" w:space="0" w:color="7F7F7F"/>
              <w:left w:val="single" w:sz="4" w:space="0" w:color="7F7F7F"/>
              <w:bottom w:val="single" w:sz="4" w:space="0" w:color="7F7F7F"/>
              <w:right w:val="single" w:sz="4" w:space="0" w:color="7F7F7F"/>
            </w:tcBorders>
          </w:tcPr>
          <w:p>
            <w:pPr>
              <w:pStyle w:val="Style27"/>
              <w:keepNext w:val="true"/>
              <w:keepLines w:val="false"/>
              <w:widowControl w:val="false"/>
              <w:suppressAutoHyphens w:val="true"/>
              <w:spacing w:before="60" w:after="60"/>
              <w:jc w:val="center"/>
              <w:rPr>
                <w:rFonts w:eastAsia="Calibri"/>
                <w:b/>
                <w:kern w:val="0"/>
                <w:sz w:val="18"/>
                <w:szCs w:val="18"/>
                <w:lang w:val="ru-RU" w:eastAsia="en-US" w:bidi="ar-SA"/>
              </w:rPr>
            </w:pPr>
            <w:r>
              <w:rPr>
                <w:rFonts w:eastAsia="Calibri"/>
                <w:b/>
                <w:kern w:val="0"/>
                <w:sz w:val="18"/>
                <w:szCs w:val="18"/>
                <w:lang w:val="ru-RU" w:eastAsia="en-US" w:bidi="ar-SA"/>
              </w:rPr>
              <w:t>Расчет оценки предпочтительности заявки</w:t>
            </w:r>
          </w:p>
        </w:tc>
      </w:tr>
      <w:tr>
        <w:trPr/>
        <w:tc>
          <w:tcPr>
            <w:tcW w:w="1532"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1269"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1594"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rFonts w:eastAsia="Calibri"/>
                <w:b/>
                <w:bCs/>
                <w:kern w:val="0"/>
                <w:sz w:val="18"/>
                <w:szCs w:val="18"/>
                <w:lang w:val="ru-RU" w:eastAsia="en-US" w:bidi="ar-SA"/>
              </w:rPr>
            </w:pPr>
            <w:r>
              <w:rPr>
                <w:rFonts w:eastAsia="Calibri"/>
                <w:b/>
                <w:bCs/>
                <w:kern w:val="0"/>
                <w:sz w:val="18"/>
                <w:szCs w:val="18"/>
                <w:lang w:val="ru-RU" w:eastAsia="en-US" w:bidi="ar-SA"/>
              </w:rPr>
              <w:t>критерий оценки первого уровня</w:t>
            </w:r>
          </w:p>
        </w:tc>
        <w:tc>
          <w:tcPr>
            <w:tcW w:w="1701"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rFonts w:eastAsia="Calibri"/>
                <w:b/>
                <w:bCs/>
                <w:kern w:val="0"/>
                <w:sz w:val="18"/>
                <w:szCs w:val="18"/>
                <w:lang w:val="ru-RU" w:eastAsia="en-US" w:bidi="ar-SA"/>
              </w:rPr>
            </w:pPr>
            <w:r>
              <w:rPr>
                <w:rFonts w:eastAsia="Calibri"/>
                <w:b/>
                <w:bCs/>
                <w:kern w:val="0"/>
                <w:sz w:val="18"/>
                <w:szCs w:val="18"/>
                <w:lang w:val="ru-RU" w:eastAsia="en-US" w:bidi="ar-SA"/>
              </w:rPr>
              <w:t>критерий оценки второго уровня</w:t>
            </w:r>
          </w:p>
        </w:tc>
        <w:tc>
          <w:tcPr>
            <w:tcW w:w="1841"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1986"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c>
          <w:tcPr>
            <w:tcW w:w="4110"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pPr>
            <w:r>
              <w:rPr/>
            </w:r>
          </w:p>
        </w:tc>
      </w:tr>
      <w:tr>
        <w:trPr/>
        <w:tc>
          <w:tcPr>
            <w:tcW w:w="1532"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ind w:left="0" w:right="0" w:hanging="0"/>
              <w:rPr>
                <w:rFonts w:eastAsia="Calibri"/>
                <w:sz w:val="18"/>
                <w:szCs w:val="18"/>
              </w:rPr>
            </w:pPr>
            <w:r>
              <w:rPr>
                <w:rFonts w:eastAsia="Calibri"/>
                <w:sz w:val="18"/>
                <w:szCs w:val="18"/>
              </w:rPr>
              <w:t>1.</w:t>
            </w:r>
          </w:p>
        </w:tc>
        <w:tc>
          <w:tcPr>
            <w:tcW w:w="1269"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ind w:left="0" w:right="0" w:hanging="0"/>
              <w:rPr>
                <w:rFonts w:eastAsia="Calibri"/>
                <w:sz w:val="18"/>
                <w:szCs w:val="18"/>
              </w:rPr>
            </w:pPr>
            <w:r>
              <w:rPr>
                <w:rFonts w:eastAsia="Calibri"/>
                <w:sz w:val="18"/>
                <w:szCs w:val="18"/>
              </w:rPr>
              <w:t>Цена</w:t>
            </w:r>
          </w:p>
        </w:tc>
        <w:tc>
          <w:tcPr>
            <w:tcW w:w="1594" w:type="dxa"/>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jc w:val="left"/>
              <w:rPr/>
            </w:pPr>
            <w:r>
              <w:rPr>
                <w:sz w:val="20"/>
                <w:szCs w:val="22"/>
              </w:rPr>
              <w:t>Понижающий коэффициент</w:t>
            </w:r>
            <w:r>
              <w:rPr>
                <w:rFonts w:eastAsia="Calibri"/>
                <w:sz w:val="20"/>
                <w:szCs w:val="22"/>
              </w:rPr>
              <w:t xml:space="preserve"> </w:t>
            </w:r>
            <w:r>
              <w:rPr>
                <w:sz w:val="20"/>
                <w:szCs w:val="22"/>
                <w:lang w:val="en-US"/>
              </w:rPr>
              <w:t>K</w:t>
            </w:r>
            <w:r>
              <w:rPr>
                <w:sz w:val="20"/>
                <w:szCs w:val="22"/>
                <w:vertAlign w:val="subscript"/>
              </w:rPr>
              <w:t>1 –</w:t>
            </w:r>
          </w:p>
          <w:p>
            <w:pPr>
              <w:pStyle w:val="Normal"/>
              <w:widowControl w:val="false"/>
              <w:spacing w:before="120" w:after="60"/>
              <w:jc w:val="left"/>
              <w:rPr>
                <w:sz w:val="20"/>
                <w:szCs w:val="22"/>
              </w:rPr>
            </w:pPr>
            <w:r>
              <w:rPr>
                <w:sz w:val="20"/>
                <w:szCs w:val="22"/>
              </w:rPr>
              <w:t>тендерный коэффициент</w:t>
            </w:r>
          </w:p>
          <w:p>
            <w:pPr>
              <w:pStyle w:val="Normal"/>
              <w:widowControl w:val="false"/>
              <w:spacing w:before="40" w:after="40"/>
              <w:ind w:left="0" w:right="0" w:hanging="0"/>
              <w:rPr/>
            </w:pPr>
            <w:r>
              <w:rPr>
                <w:sz w:val="20"/>
                <w:szCs w:val="22"/>
              </w:rPr>
              <w:t>(Б</w:t>
            </w:r>
            <w:r>
              <w:rPr>
                <w:sz w:val="20"/>
                <w:szCs w:val="22"/>
                <w:vertAlign w:val="subscript"/>
              </w:rPr>
              <w:t>1</w:t>
            </w:r>
            <w:r>
              <w:rPr>
                <w:sz w:val="20"/>
                <w:szCs w:val="22"/>
              </w:rPr>
              <w:t>)</w:t>
            </w:r>
          </w:p>
        </w:tc>
        <w:tc>
          <w:tcPr>
            <w:tcW w:w="170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ind w:left="0" w:right="0" w:hanging="0"/>
              <w:rPr>
                <w:rFonts w:eastAsia="Calibri"/>
                <w:sz w:val="18"/>
                <w:szCs w:val="18"/>
              </w:rPr>
            </w:pPr>
            <w:r>
              <w:rPr>
                <w:rFonts w:eastAsia="Calibri"/>
                <w:sz w:val="18"/>
                <w:szCs w:val="18"/>
              </w:rPr>
              <w:t>отсутствует</w:t>
            </w:r>
          </w:p>
        </w:tc>
        <w:tc>
          <w:tcPr>
            <w:tcW w:w="184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sz w:val="18"/>
                <w:szCs w:val="18"/>
                <w:lang w:eastAsia="en-US"/>
              </w:rPr>
            </w:pPr>
            <w:r>
              <w:rPr>
                <w:sz w:val="18"/>
                <w:szCs w:val="18"/>
                <w:lang w:eastAsia="en-US"/>
              </w:rPr>
              <w:t>9</w:t>
            </w:r>
            <w:r>
              <w:rPr>
                <w:sz w:val="18"/>
                <w:szCs w:val="18"/>
                <w:lang w:eastAsia="en-US"/>
              </w:rPr>
              <w:t>0</w:t>
            </w:r>
            <w:r>
              <w:rPr>
                <w:sz w:val="18"/>
                <w:szCs w:val="18"/>
                <w:lang w:eastAsia="en-US"/>
              </w:rPr>
              <w:t>%</w:t>
            </w:r>
          </w:p>
          <w:p>
            <w:pPr>
              <w:pStyle w:val="Normal"/>
              <w:widowControl w:val="false"/>
              <w:spacing w:before="40" w:after="40"/>
              <w:ind w:left="0" w:right="0" w:hanging="0"/>
              <w:rPr/>
            </w:pPr>
            <w:r>
              <w:rPr>
                <w:sz w:val="18"/>
                <w:szCs w:val="18"/>
                <w:lang w:eastAsia="en-US"/>
              </w:rPr>
              <w:t>(B</w:t>
            </w:r>
            <w:r>
              <w:rPr>
                <w:sz w:val="18"/>
                <w:szCs w:val="18"/>
                <w:vertAlign w:val="subscript"/>
                <w:lang w:eastAsia="en-US"/>
              </w:rPr>
              <w:t>1</w:t>
            </w:r>
            <w:r>
              <w:rPr>
                <w:sz w:val="18"/>
                <w:szCs w:val="18"/>
                <w:lang w:eastAsia="en-US"/>
              </w:rPr>
              <w:t xml:space="preserve"> = 0,9</w:t>
            </w:r>
            <w:r>
              <w:rPr>
                <w:sz w:val="18"/>
                <w:szCs w:val="18"/>
                <w:lang w:eastAsia="en-US"/>
              </w:rPr>
              <w:t>0</w:t>
            </w:r>
            <w:r>
              <w:rPr>
                <w:sz w:val="18"/>
                <w:szCs w:val="18"/>
                <w:lang w:eastAsia="en-US"/>
              </w:rPr>
              <w:t>),</w:t>
            </w:r>
            <w:r>
              <w:rPr>
                <w:sz w:val="22"/>
                <w:szCs w:val="22"/>
                <w:lang w:eastAsia="en-US"/>
              </w:rPr>
              <w:t xml:space="preserve"> где B</w:t>
            </w:r>
            <w:r>
              <w:rPr>
                <w:sz w:val="22"/>
                <w:szCs w:val="22"/>
                <w:vertAlign w:val="subscript"/>
                <w:lang w:eastAsia="en-US"/>
              </w:rPr>
              <w:t xml:space="preserve">1- </w:t>
            </w:r>
            <w:r>
              <w:rPr>
                <w:sz w:val="18"/>
                <w:szCs w:val="18"/>
                <w:lang w:eastAsia="en-US"/>
              </w:rPr>
              <w:t>значимость (вес) критерия оценки</w:t>
            </w:r>
          </w:p>
        </w:tc>
        <w:tc>
          <w:tcPr>
            <w:tcW w:w="1986" w:type="dxa"/>
            <w:tcBorders>
              <w:top w:val="single" w:sz="4" w:space="0" w:color="7F7F7F"/>
              <w:left w:val="single" w:sz="4" w:space="0" w:color="7F7F7F"/>
              <w:bottom w:val="single" w:sz="4" w:space="0" w:color="7F7F7F"/>
              <w:right w:val="single" w:sz="4" w:space="0" w:color="7F7F7F"/>
            </w:tcBorders>
          </w:tcPr>
          <w:p>
            <w:pPr>
              <w:pStyle w:val="Normal"/>
              <w:widowControl w:val="false"/>
              <w:spacing w:before="0" w:after="0"/>
              <w:jc w:val="center"/>
              <w:rPr/>
            </w:pPr>
            <w:r>
              <w:rPr>
                <w:sz w:val="20"/>
                <w:szCs w:val="22"/>
              </w:rPr>
              <w:t xml:space="preserve">Чем меньше предложенный Участником понижающий коэффициент </w:t>
            </w:r>
            <w:r>
              <w:rPr>
                <w:sz w:val="20"/>
                <w:szCs w:val="22"/>
                <w:lang w:val="en-US"/>
              </w:rPr>
              <w:t>K</w:t>
            </w:r>
            <w:r>
              <w:rPr>
                <w:sz w:val="20"/>
                <w:szCs w:val="22"/>
                <w:vertAlign w:val="subscript"/>
              </w:rPr>
              <w:t>1</w:t>
            </w:r>
            <w:r>
              <w:rPr>
                <w:sz w:val="20"/>
                <w:szCs w:val="22"/>
              </w:rPr>
              <w:t xml:space="preserve"> -  тендерный коэффициент (согласно Приложению 1 к Техническим требованиям (Приложения 1 Документации о закупке)), тем выше предпочтительность</w:t>
            </w:r>
          </w:p>
          <w:p>
            <w:pPr>
              <w:pStyle w:val="Normal"/>
              <w:widowControl w:val="false"/>
              <w:spacing w:before="40" w:after="40"/>
              <w:ind w:left="0" w:right="0" w:hanging="0"/>
              <w:rPr>
                <w:rFonts w:eastAsia="Calibri"/>
                <w:sz w:val="18"/>
                <w:szCs w:val="18"/>
              </w:rPr>
            </w:pPr>
            <w:r>
              <w:rPr>
                <w:rFonts w:eastAsia="Calibri"/>
                <w:sz w:val="18"/>
                <w:szCs w:val="18"/>
              </w:rPr>
            </w:r>
          </w:p>
        </w:tc>
        <w:tc>
          <w:tcPr>
            <w:tcW w:w="4110" w:type="dxa"/>
            <w:tcBorders>
              <w:top w:val="single" w:sz="4" w:space="0" w:color="7F7F7F"/>
              <w:left w:val="single" w:sz="4" w:space="0" w:color="7F7F7F"/>
              <w:bottom w:val="single" w:sz="4" w:space="0" w:color="7F7F7F"/>
              <w:right w:val="single" w:sz="4" w:space="0" w:color="7F7F7F"/>
            </w:tcBorders>
          </w:tcPr>
          <w:p>
            <w:pPr>
              <w:pStyle w:val="Normal"/>
              <w:widowControl w:val="false"/>
              <w:spacing w:before="96" w:after="96"/>
              <w:rPr>
                <w:rFonts w:eastAsia="Calibri"/>
                <w:sz w:val="20"/>
                <w:szCs w:val="22"/>
              </w:rPr>
            </w:pPr>
            <w:r>
              <w:rPr>
                <w:rFonts w:eastAsia="Calibri"/>
                <w:sz w:val="20"/>
                <w:szCs w:val="22"/>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pacing w:before="120" w:after="120"/>
              <w:jc w:val="center"/>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К</m:t>
                        </m:r>
                      </m:e>
                      <m:sub>
                        <m:r>
                          <w:rPr>
                            <w:rFonts w:ascii="Cambria Math" w:hAnsi="Cambria Math"/>
                          </w:rPr>
                          <m:t xml:space="preserve">1</m:t>
                        </m:r>
                        <m:r>
                          <m:rPr>
                            <m:lit/>
                            <m:nor/>
                          </m:rPr>
                          <w:rPr>
                            <w:rFonts w:ascii="Cambria Math" w:hAnsi="Cambria Math"/>
                          </w:rPr>
                          <m:t xml:space="preserve">min</m:t>
                        </m:r>
                      </m:sub>
                    </m:sSub>
                  </m:num>
                  <m:den>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den>
                </m:f>
                <m:r>
                  <w:rPr>
                    <w:rFonts w:ascii="Cambria Math" w:hAnsi="Cambria Math"/>
                  </w:rPr>
                  <m:t xml:space="preserve">×</m:t>
                </m:r>
                <m:r>
                  <m:rPr>
                    <m:lit/>
                    <m:nor/>
                  </m:rPr>
                  <w:rPr>
                    <w:rFonts w:ascii="Cambria Math" w:hAnsi="Cambria Math"/>
                  </w:rPr>
                  <m:t xml:space="preserve">Ш,</m:t>
                </m:r>
              </m:oMath>
            </m:oMathPara>
          </w:p>
          <w:p>
            <w:pPr>
              <w:pStyle w:val="Normal"/>
              <w:keepNext w:val="true"/>
              <w:widowControl w:val="false"/>
              <w:spacing w:before="96" w:after="0"/>
              <w:rPr>
                <w:rFonts w:eastAsia="Calibri"/>
                <w:sz w:val="20"/>
                <w:szCs w:val="22"/>
              </w:rPr>
            </w:pPr>
            <w:r>
              <w:rPr>
                <w:rFonts w:eastAsia="Calibri"/>
                <w:sz w:val="20"/>
                <w:szCs w:val="22"/>
              </w:rPr>
              <w:t>где:</w:t>
            </w:r>
          </w:p>
          <w:p>
            <w:pPr>
              <w:pStyle w:val="Normal"/>
              <w:widowControl w:val="false"/>
              <w:tabs>
                <w:tab w:val="clear" w:pos="708"/>
                <w:tab w:val="left" w:pos="742" w:leader="none"/>
                <w:tab w:val="left" w:pos="1167" w:leader="none"/>
              </w:tabs>
              <w:spacing w:before="120" w:after="60"/>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Fonts w:eastAsia="Calibri"/>
                <w:sz w:val="20"/>
                <w:szCs w:val="22"/>
              </w:rPr>
              <w:t>–</w:t>
            </w:r>
            <w:r>
              <w:rPr>
                <w:rFonts w:eastAsia="Liberation Serif;Times New Roman" w:cs="Liberation Serif;Times New Roman"/>
                <w:sz w:val="20"/>
                <w:szCs w:val="22"/>
              </w:rPr>
              <w:t xml:space="preserve"> </w:t>
            </w:r>
            <w:r>
              <w:rPr>
                <w:rFonts w:eastAsia="Calibri"/>
                <w:sz w:val="20"/>
                <w:szCs w:val="22"/>
              </w:rPr>
              <w:t>рассчитанная оценка предпочтительности по данному критерию оценки в баллах;</w:t>
            </w:r>
          </w:p>
          <w:p>
            <w:pPr>
              <w:pStyle w:val="Normal"/>
              <w:widowControl w:val="false"/>
              <w:tabs>
                <w:tab w:val="clear" w:pos="708"/>
                <w:tab w:val="left" w:pos="742" w:leader="none"/>
                <w:tab w:val="left" w:pos="1167" w:leader="none"/>
              </w:tabs>
              <w:spacing w:before="120" w:after="6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oMath>
            <w:r>
              <w:rPr>
                <w:sz w:val="20"/>
                <w:szCs w:val="22"/>
              </w:rPr>
              <w:tab/>
              <w:t>–</w:t>
              <w:tab/>
              <w:t xml:space="preserve">величина оцениваемого параметра, указанная в </w:t>
            </w:r>
            <w:r>
              <w:rPr>
                <w:sz w:val="20"/>
                <w:szCs w:val="22"/>
                <w:lang w:val="en-US"/>
              </w:rPr>
              <w:t>i</w:t>
            </w:r>
            <w:r>
              <w:rPr>
                <w:sz w:val="20"/>
                <w:szCs w:val="22"/>
              </w:rPr>
              <w:t>-й заявке Участника;</w:t>
            </w:r>
          </w:p>
          <w:p>
            <w:pPr>
              <w:pStyle w:val="Normal"/>
              <w:widowControl w:val="false"/>
              <w:tabs>
                <w:tab w:val="clear" w:pos="708"/>
                <w:tab w:val="left" w:pos="742" w:leader="none"/>
                <w:tab w:val="left" w:pos="1167" w:leader="none"/>
              </w:tabs>
              <w:spacing w:before="120" w:after="60"/>
              <w:rPr/>
            </w:pPr>
            <w:r>
              <w:rPr/>
            </w:r>
            <m:oMath xmlns:m="http://schemas.openxmlformats.org/officeDocument/2006/math">
              <m:sSub>
                <m:e>
                  <m:r>
                    <w:rPr>
                      <w:rFonts w:ascii="Cambria Math" w:hAnsi="Cambria Math"/>
                    </w:rPr>
                    <m:t xml:space="preserve">К</m:t>
                  </m:r>
                </m:e>
                <m:sub>
                  <m:r>
                    <w:rPr>
                      <w:rFonts w:ascii="Cambria Math" w:hAnsi="Cambria Math"/>
                    </w:rPr>
                    <m:t xml:space="preserve">1</m:t>
                  </m:r>
                  <m:r>
                    <m:rPr>
                      <m:lit/>
                      <m:nor/>
                    </m:rPr>
                    <w:rPr>
                      <w:rFonts w:ascii="Cambria Math" w:hAnsi="Cambria Math"/>
                    </w:rPr>
                    <m:t xml:space="preserve">min</m:t>
                  </m:r>
                </m:sub>
              </m:sSub>
            </m:oMath>
            <w:r>
              <w:rPr>
                <w:sz w:val="20"/>
                <w:szCs w:val="22"/>
              </w:rPr>
              <w:tab/>
              <w:t>–</w:t>
              <w:tab/>
              <w:t>минимальная величина оцениваемого параметра среди всех допущенных заявок;</w:t>
            </w:r>
          </w:p>
          <w:p>
            <w:pPr>
              <w:pStyle w:val="Normal"/>
              <w:widowControl w:val="false"/>
              <w:spacing w:before="96" w:after="96"/>
              <w:rPr>
                <w:sz w:val="20"/>
                <w:szCs w:val="22"/>
              </w:rPr>
            </w:pPr>
            <w:r>
              <w:rPr>
                <w:sz w:val="20"/>
                <w:szCs w:val="22"/>
              </w:rPr>
              <w:t>Ш</w:t>
              <w:tab/>
              <w:t>–</w:t>
              <w:tab/>
              <w:t>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pacing w:before="96" w:after="96"/>
              <w:ind w:left="0" w:right="0" w:hanging="0"/>
              <w:jc w:val="left"/>
              <w:rPr>
                <w:rFonts w:eastAsia="Calibri"/>
                <w:sz w:val="20"/>
                <w:szCs w:val="22"/>
              </w:rPr>
            </w:pPr>
            <w:r>
              <w:rPr>
                <w:rFonts w:eastAsia="Calibri"/>
                <w:sz w:val="20"/>
                <w:szCs w:val="22"/>
              </w:rPr>
              <w:t>Шкала оценок от 0 до 5 баллов.</w:t>
            </w:r>
          </w:p>
        </w:tc>
      </w:tr>
      <w:tr>
        <w:trPr/>
        <w:tc>
          <w:tcPr>
            <w:tcW w:w="1532"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rFonts w:eastAsia="Calibri"/>
                <w:kern w:val="0"/>
                <w:sz w:val="18"/>
                <w:szCs w:val="18"/>
                <w:lang w:val="ru-RU" w:eastAsia="en-US" w:bidi="ar-SA"/>
              </w:rPr>
            </w:pPr>
            <w:r>
              <w:rPr>
                <w:rFonts w:eastAsia="Calibri"/>
                <w:kern w:val="0"/>
                <w:sz w:val="18"/>
                <w:szCs w:val="18"/>
                <w:lang w:val="ru-RU" w:eastAsia="en-US" w:bidi="ar-SA"/>
              </w:rPr>
              <w:t>2.</w:t>
            </w:r>
          </w:p>
        </w:tc>
        <w:tc>
          <w:tcPr>
            <w:tcW w:w="1269"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jc w:val="center"/>
              <w:rPr>
                <w:rFonts w:eastAsia="Calibri"/>
                <w:sz w:val="22"/>
                <w:szCs w:val="24"/>
              </w:rPr>
            </w:pPr>
            <w:r>
              <w:rPr>
                <w:rFonts w:eastAsia="Calibri"/>
                <w:sz w:val="22"/>
                <w:szCs w:val="24"/>
              </w:rPr>
              <w:t>«Неценовой критерий оценки первого уровня;</w:t>
            </w:r>
          </w:p>
          <w:p>
            <w:pPr>
              <w:pStyle w:val="Normal"/>
              <w:widowControl w:val="false"/>
              <w:spacing w:before="60" w:after="60"/>
              <w:jc w:val="center"/>
              <w:rPr>
                <w:rFonts w:eastAsia="Calibri"/>
                <w:sz w:val="22"/>
                <w:szCs w:val="24"/>
              </w:rPr>
            </w:pPr>
            <w:r>
              <w:rPr>
                <w:rFonts w:eastAsia="Calibri"/>
                <w:sz w:val="22"/>
                <w:szCs w:val="24"/>
              </w:rPr>
              <w:t>Тех</w:t>
            </w:r>
          </w:p>
        </w:tc>
        <w:tc>
          <w:tcPr>
            <w:tcW w:w="1594"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jc w:val="left"/>
              <w:rPr>
                <w:sz w:val="22"/>
                <w:szCs w:val="22"/>
              </w:rPr>
            </w:pPr>
            <w:r>
              <w:rPr>
                <w:sz w:val="22"/>
                <w:szCs w:val="22"/>
              </w:rPr>
              <w:t>Опыт выполнения работ</w:t>
            </w:r>
          </w:p>
        </w:tc>
        <w:tc>
          <w:tcPr>
            <w:tcW w:w="170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jc w:val="left"/>
              <w:rPr/>
            </w:pPr>
            <w:r>
              <w:rPr/>
              <w:t>отсутствует</w:t>
            </w:r>
          </w:p>
        </w:tc>
        <w:tc>
          <w:tcPr>
            <w:tcW w:w="184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jc w:val="left"/>
              <w:rPr/>
            </w:pPr>
            <w:r>
              <w:rPr/>
            </w:r>
            <m:oMathPara xmlns:m="http://schemas.openxmlformats.org/officeDocument/2006/math">
              <m:oMathParaPr>
                <m:jc m:val="left"/>
              </m:oMathParaPr>
              <m:oMath>
                <m:r>
                  <m:rPr>
                    <m:lit/>
                    <m:nor/>
                  </m:rPr>
                  <w:rPr>
                    <w:rFonts w:ascii="Cambria Math" w:hAnsi="Cambria Math"/>
                  </w:rPr>
                  <m:t xml:space="preserve">5%</m:t>
                </m:r>
                <m:d>
                  <m:dPr>
                    <m:begChr m:val="("/>
                    <m:endChr m:val=")"/>
                  </m:dPr>
                  <m:e>
                    <m:sSub>
                      <m:e>
                        <m:r>
                          <w:rPr>
                            <w:rFonts w:ascii="Cambria Math" w:hAnsi="Cambria Math"/>
                          </w:rPr>
                          <m:t xml:space="preserve">В</m:t>
                        </m:r>
                      </m:e>
                      <m:sub>
                        <m:r>
                          <w:rPr>
                            <w:rFonts w:ascii="Cambria Math" w:hAnsi="Cambria Math"/>
                          </w:rPr>
                          <m:t xml:space="preserve">2</m:t>
                        </m:r>
                      </m:sub>
                    </m:sSub>
                    <m:r>
                      <w:rPr>
                        <w:rFonts w:ascii="Cambria Math" w:hAnsi="Cambria Math"/>
                      </w:rPr>
                      <m:t xml:space="preserve">=</m:t>
                    </m:r>
                    <m:r>
                      <m:rPr>
                        <m:lit/>
                        <m:nor/>
                      </m:rPr>
                      <w:rPr>
                        <w:rFonts w:ascii="Cambria Math" w:hAnsi="Cambria Math"/>
                      </w:rPr>
                      <m:t xml:space="preserve">0,05</m:t>
                    </m:r>
                  </m:e>
                </m:d>
              </m:oMath>
            </m:oMathPara>
          </w:p>
          <w:p>
            <w:pPr>
              <w:pStyle w:val="Style27"/>
              <w:widowControl w:val="false"/>
              <w:suppressAutoHyphens w:val="true"/>
              <w:spacing w:before="40" w:after="40"/>
              <w:jc w:val="center"/>
              <w:rPr/>
            </w:pPr>
            <w:r>
              <w:rPr>
                <w:rFonts w:eastAsia="Calibri"/>
                <w:i/>
                <w:iCs/>
                <w:kern w:val="0"/>
                <w:sz w:val="20"/>
                <w:szCs w:val="20"/>
                <w:lang w:val="ru-RU"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i/>
                <w:iCs/>
                <w:kern w:val="0"/>
                <w:sz w:val="20"/>
                <w:szCs w:val="20"/>
                <w:lang w:val="ru-RU" w:eastAsia="en-US" w:bidi="ar-SA"/>
              </w:rPr>
              <w:t xml:space="preserve"> –значимость (вес) критерия оценки</w:t>
            </w:r>
          </w:p>
        </w:tc>
        <w:tc>
          <w:tcPr>
            <w:tcW w:w="1986" w:type="dxa"/>
            <w:tcBorders>
              <w:top w:val="single" w:sz="4" w:space="0" w:color="7F7F7F"/>
              <w:left w:val="single" w:sz="4" w:space="0" w:color="7F7F7F"/>
              <w:bottom w:val="single" w:sz="4" w:space="0" w:color="7F7F7F"/>
              <w:right w:val="single" w:sz="4" w:space="0" w:color="7F7F7F"/>
            </w:tcBorders>
          </w:tcPr>
          <w:p>
            <w:pPr>
              <w:pStyle w:val="Normal"/>
              <w:widowControl w:val="false"/>
              <w:suppressAutoHyphens w:val="true"/>
              <w:bidi w:val="0"/>
              <w:spacing w:before="60" w:after="60"/>
              <w:jc w:val="left"/>
              <w:rPr/>
            </w:pPr>
            <w:r>
              <w:rPr>
                <w:sz w:val="22"/>
                <w:szCs w:val="24"/>
              </w:rPr>
              <w:t xml:space="preserve">Чем больше опыт </w:t>
            </w:r>
            <w:r>
              <w:rPr>
                <w:rStyle w:val="Style17"/>
                <w:rFonts w:eastAsia="Calibri" w:cs="Times New Roman"/>
                <w:i w:val="false"/>
                <w:iCs w:val="false"/>
                <w:spacing w:val="-2"/>
                <w:kern w:val="2"/>
                <w:sz w:val="22"/>
                <w:szCs w:val="22"/>
                <w:shd w:fill="FFFFFF" w:val="clear"/>
                <w:lang w:eastAsia="en-US" w:bidi="ar-SA"/>
              </w:rPr>
              <w:t xml:space="preserve">строительно-монтажным работам по </w:t>
            </w:r>
            <w:r>
              <w:rPr>
                <w:rStyle w:val="Style17"/>
                <w:rFonts w:eastAsia="Calibri" w:cs="Times New Roman"/>
                <w:i w:val="false"/>
                <w:iCs w:val="false"/>
                <w:spacing w:val="-2"/>
                <w:kern w:val="2"/>
                <w:sz w:val="22"/>
                <w:szCs w:val="22"/>
                <w:shd w:fill="FFFF00" w:val="clear"/>
                <w:lang w:eastAsia="en-US" w:bidi="ar-SA"/>
              </w:rPr>
              <w:t>строительству  электрических сетей напряжением  10/0,4 кВ и выше</w:t>
            </w:r>
            <w:r>
              <w:rPr>
                <w:rStyle w:val="Style17"/>
                <w:rFonts w:eastAsia="Calibri" w:cs="Times New Roman"/>
                <w:i w:val="false"/>
                <w:iCs w:val="false"/>
                <w:kern w:val="2"/>
                <w:sz w:val="22"/>
                <w:szCs w:val="22"/>
                <w:shd w:fill="FFFF00" w:val="clear"/>
                <w:lang w:eastAsia="en-US" w:bidi="ar-SA"/>
              </w:rPr>
              <w:t>, тем выше предпочтительность</w:t>
            </w:r>
          </w:p>
        </w:tc>
        <w:tc>
          <w:tcPr>
            <w:tcW w:w="4110" w:type="dxa"/>
            <w:tcBorders>
              <w:top w:val="single" w:sz="4" w:space="0" w:color="7F7F7F"/>
              <w:left w:val="single" w:sz="4" w:space="0" w:color="7F7F7F"/>
              <w:bottom w:val="single" w:sz="4" w:space="0" w:color="7F7F7F"/>
              <w:right w:val="single" w:sz="4" w:space="0" w:color="7F7F7F"/>
            </w:tcBorders>
          </w:tcPr>
          <w:p>
            <w:pPr>
              <w:pStyle w:val="Western"/>
              <w:widowControl w:val="false"/>
              <w:numPr>
                <w:ilvl w:val="7"/>
                <w:numId w:val="16"/>
              </w:numPr>
              <w:snapToGrid w:val="false"/>
              <w:spacing w:before="40" w:after="120"/>
              <w:jc w:val="both"/>
              <w:rPr>
                <w:sz w:val="22"/>
                <w:szCs w:val="22"/>
                <w:shd w:fill="FFFFFF" w:val="clear"/>
              </w:rPr>
            </w:pPr>
            <w:r>
              <w:rPr>
                <w:sz w:val="22"/>
                <w:szCs w:val="22"/>
                <w:shd w:fill="FFFFFF" w:val="clear"/>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Western"/>
              <w:widowControl w:val="false"/>
              <w:numPr>
                <w:ilvl w:val="7"/>
                <w:numId w:val="16"/>
              </w:numPr>
              <w:bidi w:val="0"/>
              <w:spacing w:before="96" w:after="96"/>
              <w:ind w:left="57" w:right="57" w:hanging="0"/>
              <w:jc w:val="both"/>
              <w:rPr/>
            </w:pPr>
            <w:r>
              <w:rPr>
                <w:sz w:val="22"/>
                <w:szCs w:val="22"/>
                <w:shd w:fill="FFFFFF" w:val="clear"/>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w:t>
            </w:r>
            <w:r>
              <w:rPr>
                <w:rStyle w:val="Style17"/>
                <w:rFonts w:eastAsia="Calibri" w:cs="Times New Roman"/>
                <w:i w:val="false"/>
                <w:iCs w:val="false"/>
                <w:spacing w:val="-2"/>
                <w:kern w:val="2"/>
                <w:sz w:val="22"/>
                <w:szCs w:val="22"/>
                <w:shd w:fill="FFFFFF" w:val="clear"/>
                <w:lang w:eastAsia="en-US" w:bidi="ar-SA"/>
              </w:rPr>
              <w:t xml:space="preserve">по строительно-монтажным работам </w:t>
            </w:r>
            <w:r>
              <w:rPr>
                <w:rStyle w:val="Style17"/>
                <w:rFonts w:eastAsia="Calibri" w:cs="Times New Roman"/>
                <w:i w:val="false"/>
                <w:iCs w:val="false"/>
                <w:spacing w:val="-2"/>
                <w:kern w:val="2"/>
                <w:sz w:val="22"/>
                <w:szCs w:val="22"/>
                <w:shd w:fill="FFFF00" w:val="clear"/>
                <w:lang w:eastAsia="en-US" w:bidi="ar-SA"/>
              </w:rPr>
              <w:t>по строительству электрических сетей напряжением  10/0,4 кВ кВ и выше</w:t>
            </w:r>
            <w:r>
              <w:rPr>
                <w:rStyle w:val="Style17"/>
                <w:rFonts w:eastAsia="Calibri" w:cs="Times New Roman"/>
                <w:i/>
                <w:spacing w:val="-2"/>
                <w:kern w:val="2"/>
                <w:sz w:val="20"/>
                <w:szCs w:val="20"/>
                <w:shd w:fill="FFFF00" w:val="clear"/>
                <w:lang w:eastAsia="en-US" w:bidi="ar-SA"/>
              </w:rPr>
              <w:t xml:space="preserve"> </w:t>
            </w:r>
            <w:r>
              <w:rPr>
                <w:sz w:val="22"/>
                <w:szCs w:val="22"/>
                <w:shd w:fill="FFFF00" w:val="clear"/>
              </w:rPr>
              <w:t xml:space="preserve"> за последние 5 (пять) лет,</w:t>
            </w:r>
            <w:r>
              <w:rPr>
                <w:sz w:val="22"/>
                <w:szCs w:val="22"/>
                <w:shd w:fill="FFFFFF" w:val="clear"/>
              </w:rPr>
              <w:t xml:space="preserve"> </w:t>
            </w:r>
            <w:r>
              <w:rPr>
                <w:spacing w:val="-2"/>
                <w:sz w:val="22"/>
                <w:szCs w:val="22"/>
                <w:shd w:fill="FFFFFF" w:val="clear"/>
              </w:rPr>
              <w:t>предшествующие дате подачи заявки, по форме «Справка об опыте участника», приведенной в Документации о закупке, на общую сумму:</w:t>
            </w:r>
          </w:p>
          <w:tbl>
            <w:tblPr>
              <w:tblW w:w="3900" w:type="dxa"/>
              <w:jc w:val="left"/>
              <w:tblInd w:w="0" w:type="dxa"/>
              <w:tblLayout w:type="fixed"/>
              <w:tblCellMar>
                <w:top w:w="0" w:type="dxa"/>
                <w:left w:w="108" w:type="dxa"/>
                <w:bottom w:w="0" w:type="dxa"/>
                <w:right w:w="108" w:type="dxa"/>
              </w:tblCellMar>
            </w:tblPr>
            <w:tblGrid>
              <w:gridCol w:w="854"/>
              <w:gridCol w:w="3045"/>
            </w:tblGrid>
            <w:tr>
              <w:trPr>
                <w:trHeight w:val="450" w:hRule="atLeast"/>
              </w:trPr>
              <w:tc>
                <w:tcPr>
                  <w:tcW w:w="854" w:type="dxa"/>
                  <w:tcBorders>
                    <w:top w:val="single" w:sz="6" w:space="0" w:color="000001"/>
                    <w:left w:val="single" w:sz="6" w:space="0" w:color="000001"/>
                    <w:bottom w:val="single" w:sz="6" w:space="0" w:color="000001"/>
                    <w:right w:val="single" w:sz="6" w:space="0" w:color="000001"/>
                  </w:tcBorders>
                </w:tcPr>
                <w:p>
                  <w:pPr>
                    <w:pStyle w:val="Western"/>
                    <w:widowControl w:val="false"/>
                    <w:numPr>
                      <w:ilvl w:val="7"/>
                      <w:numId w:val="16"/>
                    </w:numPr>
                    <w:bidi w:val="0"/>
                    <w:spacing w:before="119" w:after="100"/>
                    <w:ind w:left="0" w:right="0" w:hanging="0"/>
                    <w:jc w:val="left"/>
                    <w:rPr/>
                  </w:pPr>
                  <w:r>
                    <w:rPr>
                      <w:sz w:val="20"/>
                      <w:szCs w:val="20"/>
                      <w:shd w:fill="FFFFFF" w:val="clear"/>
                    </w:rPr>
                    <w:t>Б</w:t>
                  </w:r>
                  <w:r>
                    <w:rPr>
                      <w:sz w:val="20"/>
                      <w:szCs w:val="20"/>
                      <w:shd w:fill="FFFFFF" w:val="clear"/>
                      <w:vertAlign w:val="subscript"/>
                    </w:rPr>
                    <w:t xml:space="preserve">2. </w:t>
                  </w:r>
                  <w:r>
                    <w:rPr>
                      <w:sz w:val="20"/>
                      <w:szCs w:val="20"/>
                      <w:shd w:fill="FFFFFF" w:val="clear"/>
                    </w:rPr>
                    <w:t>= 0</w:t>
                  </w:r>
                </w:p>
              </w:tc>
              <w:tc>
                <w:tcPr>
                  <w:tcW w:w="3045" w:type="dxa"/>
                  <w:tcBorders>
                    <w:top w:val="single" w:sz="6" w:space="0" w:color="000001"/>
                    <w:left w:val="single" w:sz="6" w:space="0" w:color="000001"/>
                    <w:bottom w:val="single" w:sz="6" w:space="0" w:color="000001"/>
                    <w:right w:val="single" w:sz="6" w:space="0" w:color="000001"/>
                  </w:tcBorders>
                </w:tcPr>
                <w:p>
                  <w:pPr>
                    <w:pStyle w:val="NormalWeb"/>
                    <w:widowControl w:val="false"/>
                    <w:numPr>
                      <w:ilvl w:val="7"/>
                      <w:numId w:val="16"/>
                    </w:numPr>
                    <w:bidi w:val="0"/>
                    <w:spacing w:lineRule="auto" w:line="240" w:before="100" w:after="142"/>
                    <w:ind w:left="28" w:right="0" w:hanging="0"/>
                    <w:jc w:val="left"/>
                    <w:rPr>
                      <w:sz w:val="20"/>
                      <w:szCs w:val="20"/>
                      <w:shd w:fill="FFFFFF" w:val="clear"/>
                    </w:rPr>
                  </w:pPr>
                  <w:r>
                    <w:rPr>
                      <w:sz w:val="20"/>
                      <w:szCs w:val="20"/>
                      <w:shd w:fill="FFFFFF" w:val="clear"/>
                    </w:rPr>
                    <w:t>От 0 до 30% НМЦ без учета НДС (включительно);</w:t>
                  </w:r>
                </w:p>
              </w:tc>
            </w:tr>
            <w:tr>
              <w:trPr/>
              <w:tc>
                <w:tcPr>
                  <w:tcW w:w="854" w:type="dxa"/>
                  <w:tcBorders>
                    <w:top w:val="single" w:sz="6" w:space="0" w:color="000001"/>
                    <w:left w:val="single" w:sz="6" w:space="0" w:color="000001"/>
                    <w:bottom w:val="single" w:sz="6" w:space="0" w:color="000001"/>
                    <w:right w:val="single" w:sz="6" w:space="0" w:color="000001"/>
                  </w:tcBorders>
                </w:tcPr>
                <w:p>
                  <w:pPr>
                    <w:pStyle w:val="Western"/>
                    <w:widowControl w:val="false"/>
                    <w:numPr>
                      <w:ilvl w:val="7"/>
                      <w:numId w:val="16"/>
                    </w:numPr>
                    <w:bidi w:val="0"/>
                    <w:spacing w:before="119" w:after="100"/>
                    <w:ind w:left="0" w:right="0" w:hanging="0"/>
                    <w:jc w:val="left"/>
                    <w:rPr/>
                  </w:pPr>
                  <w:r>
                    <w:rPr>
                      <w:sz w:val="20"/>
                      <w:szCs w:val="20"/>
                      <w:shd w:fill="FFFFFF" w:val="clear"/>
                    </w:rPr>
                    <w:t>Б</w:t>
                  </w:r>
                  <w:r>
                    <w:rPr>
                      <w:sz w:val="20"/>
                      <w:szCs w:val="20"/>
                      <w:shd w:fill="FFFFFF" w:val="clear"/>
                      <w:vertAlign w:val="subscript"/>
                    </w:rPr>
                    <w:t>2.</w:t>
                  </w:r>
                  <w:r>
                    <w:rPr>
                      <w:sz w:val="20"/>
                      <w:szCs w:val="20"/>
                      <w:shd w:fill="FFFFFF" w:val="clear"/>
                    </w:rPr>
                    <w:t>  = 3</w:t>
                  </w:r>
                </w:p>
              </w:tc>
              <w:tc>
                <w:tcPr>
                  <w:tcW w:w="3045" w:type="dxa"/>
                  <w:tcBorders>
                    <w:top w:val="single" w:sz="6" w:space="0" w:color="000001"/>
                    <w:left w:val="single" w:sz="6" w:space="0" w:color="000001"/>
                    <w:bottom w:val="single" w:sz="6" w:space="0" w:color="000001"/>
                    <w:right w:val="single" w:sz="6" w:space="0" w:color="000001"/>
                  </w:tcBorders>
                </w:tcPr>
                <w:p>
                  <w:pPr>
                    <w:pStyle w:val="NormalWeb"/>
                    <w:widowControl w:val="false"/>
                    <w:numPr>
                      <w:ilvl w:val="7"/>
                      <w:numId w:val="16"/>
                    </w:numPr>
                    <w:bidi w:val="0"/>
                    <w:spacing w:lineRule="auto" w:line="240" w:before="40" w:after="142"/>
                    <w:ind w:left="0" w:right="113" w:hanging="0"/>
                    <w:jc w:val="left"/>
                    <w:rPr>
                      <w:sz w:val="20"/>
                      <w:szCs w:val="20"/>
                      <w:shd w:fill="FFFFFF" w:val="clear"/>
                    </w:rPr>
                  </w:pPr>
                  <w:r>
                    <w:rPr>
                      <w:sz w:val="20"/>
                      <w:szCs w:val="20"/>
                      <w:shd w:fill="FFFFFF" w:val="clear"/>
                    </w:rPr>
                    <w:t>От 30 до 70%  НМЦ (включительно) «без учета НДС»</w:t>
                  </w:r>
                </w:p>
              </w:tc>
            </w:tr>
            <w:tr>
              <w:trPr/>
              <w:tc>
                <w:tcPr>
                  <w:tcW w:w="854" w:type="dxa"/>
                  <w:tcBorders>
                    <w:top w:val="single" w:sz="6" w:space="0" w:color="000001"/>
                    <w:left w:val="single" w:sz="6" w:space="0" w:color="000001"/>
                    <w:bottom w:val="single" w:sz="6" w:space="0" w:color="000001"/>
                    <w:right w:val="single" w:sz="6" w:space="0" w:color="000001"/>
                  </w:tcBorders>
                </w:tcPr>
                <w:p>
                  <w:pPr>
                    <w:pStyle w:val="Western"/>
                    <w:widowControl w:val="false"/>
                    <w:numPr>
                      <w:ilvl w:val="7"/>
                      <w:numId w:val="16"/>
                    </w:numPr>
                    <w:bidi w:val="0"/>
                    <w:spacing w:before="100" w:after="100"/>
                    <w:ind w:left="0" w:right="0" w:hanging="0"/>
                    <w:jc w:val="left"/>
                    <w:rPr/>
                  </w:pPr>
                  <w:r>
                    <w:rPr>
                      <w:sz w:val="20"/>
                      <w:szCs w:val="20"/>
                      <w:shd w:fill="FFFFFF" w:val="clear"/>
                    </w:rPr>
                    <w:t>Б</w:t>
                  </w:r>
                  <w:r>
                    <w:rPr>
                      <w:sz w:val="20"/>
                      <w:szCs w:val="20"/>
                      <w:shd w:fill="FFFFFF" w:val="clear"/>
                      <w:vertAlign w:val="subscript"/>
                    </w:rPr>
                    <w:t xml:space="preserve">2. </w:t>
                  </w:r>
                  <w:r>
                    <w:rPr>
                      <w:sz w:val="20"/>
                      <w:szCs w:val="20"/>
                      <w:shd w:fill="FFFFFF" w:val="clear"/>
                    </w:rPr>
                    <w:t>= 5</w:t>
                  </w:r>
                </w:p>
              </w:tc>
              <w:tc>
                <w:tcPr>
                  <w:tcW w:w="3045" w:type="dxa"/>
                  <w:tcBorders>
                    <w:top w:val="single" w:sz="6" w:space="0" w:color="000001"/>
                    <w:left w:val="single" w:sz="6" w:space="0" w:color="000001"/>
                    <w:bottom w:val="single" w:sz="6" w:space="0" w:color="000001"/>
                    <w:right w:val="single" w:sz="6" w:space="0" w:color="000001"/>
                  </w:tcBorders>
                </w:tcPr>
                <w:p>
                  <w:pPr>
                    <w:pStyle w:val="NormalWeb"/>
                    <w:widowControl w:val="false"/>
                    <w:numPr>
                      <w:ilvl w:val="7"/>
                      <w:numId w:val="16"/>
                    </w:numPr>
                    <w:bidi w:val="0"/>
                    <w:spacing w:lineRule="auto" w:line="240" w:before="100" w:after="142"/>
                    <w:ind w:left="28" w:right="0" w:hanging="0"/>
                    <w:jc w:val="left"/>
                    <w:rPr>
                      <w:sz w:val="20"/>
                      <w:szCs w:val="20"/>
                      <w:shd w:fill="FFFFFF" w:val="clear"/>
                    </w:rPr>
                  </w:pPr>
                  <w:r>
                    <w:rPr>
                      <w:sz w:val="20"/>
                      <w:szCs w:val="20"/>
                      <w:shd w:fill="FFFFFF" w:val="clear"/>
                    </w:rPr>
                    <w:t>свыше 70% НМЦ без учета НДС;</w:t>
                  </w:r>
                </w:p>
              </w:tc>
            </w:tr>
          </w:tbl>
          <w:p>
            <w:pPr>
              <w:pStyle w:val="NormalWeb"/>
              <w:keepNext w:val="true"/>
              <w:widowControl w:val="false"/>
              <w:numPr>
                <w:ilvl w:val="7"/>
                <w:numId w:val="16"/>
              </w:numPr>
              <w:bidi w:val="0"/>
              <w:spacing w:lineRule="auto" w:line="276" w:before="96" w:after="198"/>
              <w:ind w:left="720" w:right="0" w:hanging="0"/>
              <w:jc w:val="left"/>
              <w:rPr>
                <w:sz w:val="20"/>
                <w:szCs w:val="20"/>
                <w:shd w:fill="FFFFFF" w:val="clear"/>
              </w:rPr>
            </w:pPr>
            <w:r>
              <w:rPr>
                <w:sz w:val="20"/>
                <w:szCs w:val="20"/>
                <w:shd w:fill="FFFFFF" w:val="clear"/>
              </w:rPr>
              <w:t>где:</w:t>
            </w:r>
          </w:p>
          <w:p>
            <w:pPr>
              <w:pStyle w:val="Western"/>
              <w:widowControl w:val="false"/>
              <w:numPr>
                <w:ilvl w:val="7"/>
                <w:numId w:val="16"/>
              </w:numPr>
              <w:bidi w:val="0"/>
              <w:spacing w:before="119" w:after="0"/>
              <w:ind w:left="0" w:right="0" w:hanging="0"/>
              <w:jc w:val="both"/>
              <w:rPr/>
            </w:pPr>
            <w:r>
              <w:rPr>
                <w:spacing w:val="-2"/>
                <w:sz w:val="20"/>
                <w:szCs w:val="20"/>
                <w:shd w:fill="FFFFFF" w:val="clear"/>
              </w:rPr>
              <w:t>Б</w:t>
            </w:r>
            <w:r>
              <w:rPr>
                <w:spacing w:val="-2"/>
                <w:sz w:val="22"/>
                <w:szCs w:val="22"/>
                <w:shd w:fill="FFFFFF" w:val="clear"/>
                <w:vertAlign w:val="subscript"/>
              </w:rPr>
              <w:t>2</w:t>
            </w:r>
            <w:r>
              <w:rPr>
                <w:spacing w:val="-2"/>
                <w:sz w:val="22"/>
                <w:szCs w:val="22"/>
                <w:shd w:fill="FFFFFF" w:val="clear"/>
              </w:rPr>
              <w:t>  - рассчитанная оценка предпочтительности по данному частному критерию оценки в баллах.</w:t>
            </w:r>
          </w:p>
          <w:p>
            <w:pPr>
              <w:pStyle w:val="Western"/>
              <w:widowControl w:val="false"/>
              <w:numPr>
                <w:ilvl w:val="7"/>
                <w:numId w:val="16"/>
              </w:numPr>
              <w:shd w:val="clear" w:fill="FFFFFF"/>
              <w:bidi w:val="0"/>
              <w:spacing w:before="96" w:after="96"/>
              <w:ind w:left="113" w:right="57" w:hanging="0"/>
              <w:jc w:val="both"/>
              <w:rPr/>
            </w:pPr>
            <w:r>
              <w:rPr>
                <w:color w:val="000000"/>
                <w:sz w:val="22"/>
                <w:szCs w:val="22"/>
                <w:shd w:fill="FFFFFF" w:val="clear"/>
              </w:rPr>
              <w:t>Для целей проведения оценки по данному критерию Участник должен предоставить в</w:t>
            </w:r>
            <w:r>
              <w:rPr>
                <w:sz w:val="22"/>
                <w:szCs w:val="22"/>
                <w:shd w:fill="FFFFFF" w:val="clear"/>
              </w:rPr>
              <w:t xml:space="preserve"> составе заявки (в Справке об опыте Участника по установленной в Документации о закупке форме) сведения о ранее выполненных договорах, подтверждающих наличие совокупного опыта (в рамках одного или нескольких договоров) </w:t>
            </w:r>
            <w:r>
              <w:rPr>
                <w:spacing w:val="-2"/>
                <w:sz w:val="22"/>
                <w:szCs w:val="22"/>
                <w:shd w:fill="FFFFFF" w:val="clear"/>
              </w:rPr>
              <w:t xml:space="preserve">строительно-монтажных работ по строительству электрических сетей мощностью 110 </w:t>
            </w:r>
            <w:r>
              <w:rPr>
                <w:rStyle w:val="Style17"/>
                <w:rFonts w:eastAsia="Calibri" w:cs="Times New Roman"/>
                <w:i w:val="false"/>
                <w:iCs w:val="false"/>
                <w:spacing w:val="-2"/>
                <w:kern w:val="2"/>
                <w:sz w:val="22"/>
                <w:szCs w:val="22"/>
                <w:shd w:fill="FFFFFF" w:val="clear"/>
                <w:lang w:eastAsia="en-US" w:bidi="ar-SA"/>
              </w:rPr>
              <w:t>кВ и выше</w:t>
            </w:r>
            <w:r>
              <w:rPr>
                <w:rStyle w:val="Style17"/>
                <w:rFonts w:eastAsia="Calibri" w:cs="Times New Roman"/>
                <w:i/>
                <w:spacing w:val="-2"/>
                <w:kern w:val="2"/>
                <w:sz w:val="20"/>
                <w:szCs w:val="20"/>
                <w:shd w:fill="FFFFFF" w:val="clear"/>
                <w:lang w:eastAsia="en-US" w:bidi="ar-SA"/>
              </w:rPr>
              <w:t xml:space="preserve"> </w:t>
            </w:r>
            <w:r>
              <w:rPr>
                <w:spacing w:val="-2"/>
                <w:sz w:val="22"/>
                <w:szCs w:val="22"/>
                <w:shd w:fill="FFFFFF" w:val="clear"/>
              </w:rPr>
              <w:t xml:space="preserve"> </w:t>
            </w:r>
            <w:r>
              <w:rPr>
                <w:sz w:val="22"/>
                <w:szCs w:val="22"/>
                <w:shd w:fill="FFFFFF" w:val="clear"/>
              </w:rPr>
              <w:t xml:space="preserve"> предшествующих дате подачи заявки участником, с обязательным приложением следующих подтверждающих документов, а именно:</w:t>
            </w:r>
          </w:p>
          <w:p>
            <w:pPr>
              <w:pStyle w:val="Western"/>
              <w:widowControl w:val="false"/>
              <w:numPr>
                <w:ilvl w:val="7"/>
                <w:numId w:val="16"/>
              </w:numPr>
              <w:bidi w:val="0"/>
              <w:spacing w:before="119" w:after="0"/>
              <w:ind w:left="0" w:right="0" w:hanging="0"/>
              <w:jc w:val="both"/>
              <w:rPr>
                <w:sz w:val="22"/>
                <w:szCs w:val="22"/>
                <w:shd w:fill="FFFFFF" w:val="clear"/>
              </w:rPr>
            </w:pPr>
            <w:r>
              <w:rPr>
                <w:sz w:val="22"/>
                <w:szCs w:val="22"/>
                <w:shd w:fill="FFFFFF" w:val="clear"/>
              </w:rPr>
              <w:t>- копии договоров, подписанных с обеих сторон;</w:t>
            </w:r>
          </w:p>
          <w:p>
            <w:pPr>
              <w:pStyle w:val="Western"/>
              <w:widowControl w:val="false"/>
              <w:numPr>
                <w:ilvl w:val="7"/>
                <w:numId w:val="16"/>
              </w:numPr>
              <w:bidi w:val="0"/>
              <w:spacing w:before="119" w:after="0"/>
              <w:ind w:left="0" w:right="0" w:hanging="0"/>
              <w:jc w:val="both"/>
              <w:rPr>
                <w:sz w:val="22"/>
                <w:szCs w:val="22"/>
                <w:shd w:fill="FFFFFF" w:val="clear"/>
              </w:rPr>
            </w:pPr>
            <w:r>
              <w:rPr>
                <w:sz w:val="22"/>
                <w:szCs w:val="22"/>
                <w:shd w:fill="FFFFFF" w:val="clear"/>
              </w:rPr>
              <w:t>- копии Актов выполненных работ к договорам (формы КС-2 и/или КС-3), подписанных с обеих сторон, с указанием стоимости и наименования выполненных работ;</w:t>
            </w:r>
          </w:p>
          <w:p>
            <w:pPr>
              <w:pStyle w:val="Western"/>
              <w:widowControl w:val="false"/>
              <w:numPr>
                <w:ilvl w:val="7"/>
                <w:numId w:val="16"/>
              </w:numPr>
              <w:bidi w:val="0"/>
              <w:spacing w:before="119" w:after="0"/>
              <w:ind w:left="0" w:right="0" w:hanging="0"/>
              <w:jc w:val="both"/>
              <w:rPr>
                <w:sz w:val="22"/>
                <w:szCs w:val="22"/>
                <w:shd w:fill="FFFFFF" w:val="clear"/>
              </w:rPr>
            </w:pPr>
            <w:r>
              <w:rPr>
                <w:sz w:val="22"/>
                <w:szCs w:val="22"/>
                <w:shd w:fill="FFFFFF" w:val="clear"/>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pPr>
              <w:pStyle w:val="Western"/>
              <w:widowControl w:val="false"/>
              <w:numPr>
                <w:ilvl w:val="7"/>
                <w:numId w:val="16"/>
              </w:numPr>
              <w:bidi w:val="0"/>
              <w:spacing w:before="119" w:after="0"/>
              <w:ind w:left="0" w:right="0" w:hanging="0"/>
              <w:jc w:val="both"/>
              <w:rPr>
                <w:spacing w:val="-2"/>
                <w:sz w:val="22"/>
                <w:szCs w:val="22"/>
                <w:shd w:fill="FFFFFF" w:val="clear"/>
              </w:rPr>
            </w:pPr>
            <w:r>
              <w:rPr>
                <w:spacing w:val="-2"/>
                <w:sz w:val="22"/>
                <w:szCs w:val="22"/>
                <w:shd w:fill="FFFFFF" w:val="clear"/>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Western"/>
              <w:widowControl w:val="false"/>
              <w:numPr>
                <w:ilvl w:val="7"/>
                <w:numId w:val="16"/>
              </w:numPr>
              <w:bidi w:val="0"/>
              <w:spacing w:before="119" w:after="0"/>
              <w:ind w:left="0" w:right="0" w:hanging="0"/>
              <w:jc w:val="both"/>
              <w:rPr>
                <w:sz w:val="22"/>
                <w:szCs w:val="22"/>
                <w:shd w:fill="FFFFFF" w:val="clear"/>
              </w:rPr>
            </w:pPr>
            <w:r>
              <w:rPr>
                <w:sz w:val="22"/>
                <w:szCs w:val="22"/>
                <w:shd w:fill="FFFFFF" w:val="clear"/>
              </w:rPr>
              <w:t>Опыт, несоответствующий установленным в Документации о закупке требованиям не оценивается.</w:t>
            </w:r>
          </w:p>
          <w:p>
            <w:pPr>
              <w:pStyle w:val="Normal"/>
              <w:widowControl w:val="false"/>
              <w:numPr>
                <w:ilvl w:val="7"/>
                <w:numId w:val="16"/>
              </w:numPr>
              <w:bidi w:val="0"/>
              <w:spacing w:before="120" w:after="60"/>
              <w:ind w:left="0" w:right="0" w:hanging="0"/>
              <w:jc w:val="both"/>
              <w:rPr>
                <w:sz w:val="22"/>
                <w:szCs w:val="22"/>
                <w:shd w:fill="FFFFFF" w:val="clear"/>
              </w:rPr>
            </w:pPr>
            <w:r>
              <w:rPr>
                <w:sz w:val="22"/>
                <w:szCs w:val="22"/>
                <w:shd w:fill="FFFFFF" w:val="clear"/>
              </w:rPr>
              <w:t>Шкала оценок от 0 до 5 баллов.</w:t>
            </w:r>
          </w:p>
        </w:tc>
      </w:tr>
      <w:tr>
        <w:trPr/>
        <w:tc>
          <w:tcPr>
            <w:tcW w:w="1532"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rFonts w:eastAsia="Calibri"/>
                <w:kern w:val="0"/>
                <w:sz w:val="22"/>
                <w:szCs w:val="22"/>
                <w:lang w:val="ru-RU" w:eastAsia="en-US" w:bidi="ar-SA"/>
              </w:rPr>
            </w:pPr>
            <w:r>
              <w:rPr>
                <w:rFonts w:eastAsia="Calibri"/>
                <w:kern w:val="0"/>
                <w:sz w:val="22"/>
                <w:szCs w:val="22"/>
                <w:lang w:val="ru-RU" w:eastAsia="en-US" w:bidi="ar-SA"/>
              </w:rPr>
              <w:t>3.</w:t>
            </w:r>
          </w:p>
        </w:tc>
        <w:tc>
          <w:tcPr>
            <w:tcW w:w="1269"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pPr>
            <w:r>
              <w:rPr>
                <w:rStyle w:val="Style8"/>
                <w:rFonts w:eastAsia="Calibri"/>
                <w:i w:val="false"/>
                <w:iCs w:val="false"/>
                <w:kern w:val="0"/>
                <w:sz w:val="22"/>
                <w:szCs w:val="22"/>
                <w:shd w:fill="FFFFFF" w:val="clear"/>
                <w:lang w:val="ru-RU" w:eastAsia="en-US" w:bidi="ar-SA"/>
              </w:rPr>
              <w:t>«Неценовой критерий оценки первого уровня;</w:t>
              <w:br/>
              <w:t>Орг»</w:t>
            </w:r>
          </w:p>
        </w:tc>
        <w:tc>
          <w:tcPr>
            <w:tcW w:w="1594"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rFonts w:eastAsia="Calibri"/>
                <w:kern w:val="0"/>
                <w:sz w:val="22"/>
                <w:szCs w:val="22"/>
                <w:lang w:val="ru-RU" w:eastAsia="en-US" w:bidi="ar-SA"/>
              </w:rPr>
            </w:pPr>
            <w:r>
              <w:rPr>
                <w:rFonts w:eastAsia="Calibri"/>
                <w:kern w:val="0"/>
                <w:sz w:val="22"/>
                <w:szCs w:val="22"/>
                <w:lang w:val="ru-RU" w:eastAsia="en-US" w:bidi="ar-SA"/>
              </w:rPr>
              <w:t>Финансовое состояние (устойчивость) Участника</w:t>
            </w:r>
          </w:p>
        </w:tc>
        <w:tc>
          <w:tcPr>
            <w:tcW w:w="1701"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rFonts w:eastAsia="Calibri"/>
                <w:i/>
                <w:i/>
                <w:iCs/>
                <w:kern w:val="0"/>
                <w:sz w:val="22"/>
                <w:szCs w:val="22"/>
                <w:lang w:val="ru-RU" w:eastAsia="en-US" w:bidi="ar-SA"/>
              </w:rPr>
            </w:pPr>
            <w:r>
              <w:rPr>
                <w:rFonts w:eastAsia="Calibri"/>
                <w:i/>
                <w:iCs/>
                <w:kern w:val="0"/>
                <w:sz w:val="22"/>
                <w:szCs w:val="22"/>
                <w:lang w:val="ru-RU" w:eastAsia="en-US" w:bidi="ar-SA"/>
              </w:rPr>
              <w:t>отсутствует</w:t>
            </w:r>
          </w:p>
        </w:tc>
        <w:tc>
          <w:tcPr>
            <w:tcW w:w="1841"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center"/>
              <w:rPr/>
            </w:pPr>
            <w:r>
              <w:rPr/>
            </w:r>
            <m:oMath xmlns:m="http://schemas.openxmlformats.org/officeDocument/2006/math">
              <m:r>
                <m:rPr>
                  <m:lit/>
                  <m:nor/>
                </m:rPr>
                <w:rPr>
                  <w:rFonts w:ascii="Cambria Math" w:hAnsi="Cambria Math"/>
                </w:rPr>
                <m:t xml:space="preserve">5%</m:t>
              </m:r>
              <m:d>
                <m:dPr>
                  <m:begChr m:val="("/>
                  <m:endChr m:val=")"/>
                </m:dPr>
                <m:e>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r>
                    <w:rPr>
                      <w:rFonts w:ascii="Cambria Math" w:hAnsi="Cambria Math"/>
                    </w:rPr>
                    <m:t xml:space="preserve">,</m:t>
                  </m:r>
                  <m:r>
                    <m:rPr>
                      <m:lit/>
                      <m:nor/>
                    </m:rPr>
                    <w:rPr>
                      <w:rFonts w:ascii="Cambria Math" w:hAnsi="Cambria Math"/>
                    </w:rPr>
                    <m:t xml:space="preserve">05</m:t>
                  </m:r>
                </m:e>
              </m:d>
            </m:oMath>
            <w:r>
              <w:rPr>
                <w:rStyle w:val="Style8"/>
                <w:rFonts w:eastAsia="Calibri"/>
                <w:kern w:val="0"/>
                <w:sz w:val="22"/>
                <w:szCs w:val="22"/>
                <w:shd w:fill="FFFFFF" w:val="clear"/>
                <w:lang w:val="ru-RU" w:eastAsia="en-US" w:bidi="ar-SA"/>
              </w:rPr>
              <w:t>,</w:t>
            </w:r>
          </w:p>
          <w:p>
            <w:pPr>
              <w:pStyle w:val="Style27"/>
              <w:widowControl w:val="false"/>
              <w:suppressAutoHyphens w:val="true"/>
              <w:spacing w:before="60" w:after="60"/>
              <w:jc w:val="center"/>
              <w:rPr/>
            </w:pPr>
            <w:r>
              <w:rPr>
                <w:rStyle w:val="Style8"/>
                <w:rFonts w:eastAsia="Calibri"/>
                <w:i w:val="false"/>
                <w:iCs w:val="false"/>
                <w:kern w:val="0"/>
                <w:sz w:val="22"/>
                <w:szCs w:val="22"/>
                <w:shd w:fill="FFFFFF" w:val="clear"/>
                <w:lang w:val="ru-RU" w:eastAsia="en-US" w:bidi="ar-SA"/>
              </w:rPr>
              <w:t>где B</w:t>
            </w:r>
            <w:r>
              <w:rPr>
                <w:rStyle w:val="Style8"/>
                <w:rFonts w:eastAsia="Calibri"/>
                <w:i w:val="false"/>
                <w:iCs w:val="false"/>
                <w:kern w:val="0"/>
                <w:sz w:val="22"/>
                <w:szCs w:val="22"/>
                <w:shd w:fill="FFFFFF" w:val="clear"/>
                <w:vertAlign w:val="subscript"/>
                <w:lang w:val="ru-RU" w:eastAsia="en-US" w:bidi="ar-SA"/>
              </w:rPr>
              <w:t xml:space="preserve">3 </w:t>
            </w:r>
            <w:r>
              <w:rPr>
                <w:rStyle w:val="Style8"/>
                <w:rFonts w:eastAsia="Calibri"/>
                <w:i w:val="false"/>
                <w:iCs w:val="false"/>
                <w:kern w:val="0"/>
                <w:sz w:val="22"/>
                <w:szCs w:val="22"/>
                <w:shd w:fill="FFFFFF" w:val="clear"/>
                <w:lang w:val="ru-RU" w:eastAsia="en-US" w:bidi="ar-SA"/>
              </w:rPr>
              <w:t xml:space="preserve"> – значимость (вес) критерия оценки</w:t>
            </w:r>
          </w:p>
        </w:tc>
        <w:tc>
          <w:tcPr>
            <w:tcW w:w="1986"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left"/>
              <w:rPr>
                <w:rFonts w:eastAsia="Calibri"/>
                <w:kern w:val="0"/>
                <w:sz w:val="22"/>
                <w:szCs w:val="22"/>
                <w:lang w:val="ru-RU" w:eastAsia="en-US" w:bidi="ar-SA"/>
              </w:rPr>
            </w:pPr>
            <w:r>
              <w:rPr>
                <w:rFonts w:eastAsia="Calibri"/>
                <w:kern w:val="0"/>
                <w:sz w:val="22"/>
                <w:szCs w:val="22"/>
                <w:lang w:val="ru-RU" w:eastAsia="en-US" w:bidi="ar-SA"/>
              </w:rPr>
              <w:t>Чем выше оценка финансового состояния (устойчивости) Участника, тем выше предпочтительность</w:t>
            </w:r>
          </w:p>
        </w:tc>
        <w:tc>
          <w:tcPr>
            <w:tcW w:w="4110" w:type="dxa"/>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40" w:after="40"/>
              <w:jc w:val="left"/>
              <w:rPr>
                <w:rFonts w:eastAsia="Calibri"/>
                <w:kern w:val="0"/>
                <w:sz w:val="22"/>
                <w:szCs w:val="22"/>
                <w:lang w:val="ru-RU" w:eastAsia="en-US" w:bidi="ar-SA"/>
              </w:rPr>
            </w:pPr>
            <w:r>
              <w:rPr>
                <w:rFonts w:eastAsia="Calibri"/>
                <w:kern w:val="0"/>
                <w:sz w:val="22"/>
                <w:szCs w:val="22"/>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7"/>
              <w:widowControl w:val="false"/>
              <w:suppressAutoHyphens w:val="true"/>
              <w:spacing w:before="40" w:after="40"/>
              <w:jc w:val="left"/>
              <w:rPr/>
            </w:pPr>
            <w:r>
              <w:rPr>
                <w:rFonts w:eastAsia="Calibri"/>
                <w:kern w:val="0"/>
                <w:sz w:val="22"/>
                <w:szCs w:val="22"/>
                <w:lang w:val="ru-RU"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kern w:val="0"/>
                <w:sz w:val="22"/>
                <w:szCs w:val="22"/>
                <w:lang w:val="ru-RU"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7"/>
              <w:keepNext w:val="true"/>
              <w:widowControl w:val="false"/>
              <w:numPr>
                <w:ilvl w:val="0"/>
                <w:numId w:val="17"/>
              </w:numPr>
              <w:suppressAutoHyphens w:val="true"/>
              <w:spacing w:before="40" w:after="40"/>
              <w:ind w:left="142" w:right="0" w:hanging="142"/>
              <w:jc w:val="left"/>
              <w:rPr/>
            </w:pPr>
            <w:r>
              <w:rPr>
                <w:rFonts w:eastAsia="Calibri"/>
                <w:kern w:val="0"/>
                <w:sz w:val="22"/>
                <w:szCs w:val="22"/>
                <w:lang w:val="ru-RU" w:eastAsia="en-US" w:bidi="ar-SA"/>
              </w:rPr>
              <w:t>порядок проведения оценки финансового состояния (устойчивости) Участника установлен в Приложении 5 к Положению об аккредитации</w:t>
            </w:r>
            <w:r>
              <w:rPr>
                <w:rStyle w:val="FootnoteReference"/>
                <w:rFonts w:eastAsia="Calibri"/>
                <w:kern w:val="0"/>
                <w:sz w:val="22"/>
                <w:szCs w:val="22"/>
                <w:lang w:val="ru-RU" w:eastAsia="en-US" w:bidi="ar-SA"/>
              </w:rPr>
              <w:footnoteReference w:id="15"/>
            </w:r>
            <w:r>
              <w:rPr>
                <w:rFonts w:eastAsia="Calibri"/>
                <w:kern w:val="0"/>
                <w:sz w:val="22"/>
                <w:szCs w:val="22"/>
                <w:lang w:val="ru-RU" w:eastAsia="en-US" w:bidi="ar-SA"/>
              </w:rPr>
              <w:t>;</w:t>
            </w:r>
          </w:p>
          <w:p>
            <w:pPr>
              <w:pStyle w:val="Style27"/>
              <w:keepNext w:val="true"/>
              <w:widowControl w:val="false"/>
              <w:numPr>
                <w:ilvl w:val="0"/>
                <w:numId w:val="17"/>
              </w:numPr>
              <w:suppressAutoHyphens w:val="true"/>
              <w:spacing w:before="40" w:after="40"/>
              <w:ind w:left="142" w:right="0" w:hanging="142"/>
              <w:jc w:val="left"/>
              <w:rPr>
                <w:rFonts w:eastAsia="Calibri"/>
                <w:kern w:val="0"/>
                <w:sz w:val="22"/>
                <w:szCs w:val="22"/>
                <w:lang w:val="ru-RU" w:eastAsia="en-US" w:bidi="ar-SA"/>
              </w:rPr>
            </w:pPr>
            <w:r>
              <w:rPr>
                <w:rFonts w:eastAsia="Calibri"/>
                <w:kern w:val="0"/>
                <w:sz w:val="22"/>
                <w:szCs w:val="22"/>
                <w:lang w:val="ru-RU"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w:t>
            </w:r>
          </w:p>
          <w:p>
            <w:pPr>
              <w:pStyle w:val="Style27"/>
              <w:keepNext w:val="true"/>
              <w:widowControl w:val="false"/>
              <w:suppressAutoHyphens w:val="true"/>
              <w:spacing w:before="40" w:after="40"/>
              <w:ind w:left="142" w:right="0" w:hanging="0"/>
              <w:jc w:val="left"/>
              <w:rPr>
                <w:rFonts w:eastAsia="Calibri"/>
                <w:kern w:val="0"/>
                <w:sz w:val="22"/>
                <w:szCs w:val="22"/>
                <w:lang w:val="ru-RU" w:eastAsia="en-US" w:bidi="ar-SA"/>
              </w:rPr>
            </w:pPr>
            <w:r>
              <w:rPr>
                <w:rFonts w:eastAsia="Calibri"/>
                <w:kern w:val="0"/>
                <w:sz w:val="22"/>
                <w:szCs w:val="22"/>
                <w:lang w:val="ru-RU" w:eastAsia="en-US" w:bidi="ar-SA"/>
              </w:rPr>
              <w:t>Если Участник в соответствии с законодательством не размещает сведения о своей бухгалтерской (финансовой) отчетности в упомянутом государственном информационном ресурсе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7"/>
              <w:keepNext w:val="true"/>
              <w:widowControl w:val="false"/>
              <w:suppressAutoHyphens w:val="true"/>
              <w:spacing w:before="40" w:after="40"/>
              <w:jc w:val="left"/>
              <w:rPr>
                <w:rFonts w:eastAsia="Calibri"/>
                <w:kern w:val="0"/>
                <w:sz w:val="22"/>
                <w:szCs w:val="22"/>
                <w:lang w:val="ru-RU" w:eastAsia="en-US" w:bidi="ar-SA"/>
              </w:rPr>
            </w:pPr>
            <w:r>
              <w:rPr>
                <w:rFonts w:eastAsia="Calibri"/>
                <w:kern w:val="0"/>
                <w:sz w:val="22"/>
                <w:szCs w:val="22"/>
                <w:lang w:val="ru-RU" w:eastAsia="en-US" w:bidi="ar-SA"/>
              </w:rPr>
              <w:t>Оценка предпочтительности по частному критерию осуществляется в соответствии со следующей шкалой:</w:t>
            </w:r>
          </w:p>
          <w:tbl>
            <w:tblPr>
              <w:tblW w:w="3914" w:type="dxa"/>
              <w:jc w:val="left"/>
              <w:tblInd w:w="0" w:type="dxa"/>
              <w:tblLayout w:type="fixed"/>
              <w:tblCellMar>
                <w:top w:w="0" w:type="dxa"/>
                <w:left w:w="57" w:type="dxa"/>
                <w:bottom w:w="0" w:type="dxa"/>
                <w:right w:w="57" w:type="dxa"/>
              </w:tblCellMar>
            </w:tblPr>
            <w:tblGrid>
              <w:gridCol w:w="789"/>
              <w:gridCol w:w="3124"/>
            </w:tblGrid>
            <w:tr>
              <w:trPr/>
              <w:tc>
                <w:tcPr>
                  <w:tcW w:w="789" w:type="dxa"/>
                  <w:tcBorders>
                    <w:bottom w:val="single" w:sz="4" w:space="0" w:color="7F7F7F"/>
                    <w:right w:val="single" w:sz="4" w:space="0" w:color="7F7F7F"/>
                  </w:tcBorders>
                </w:tcPr>
                <w:p>
                  <w:pPr>
                    <w:pStyle w:val="Style27"/>
                    <w:keepNext w:val="false"/>
                    <w:keepLines w:val="false"/>
                    <w:widowControl w:val="false"/>
                    <w:suppressAutoHyphens w:val="true"/>
                    <w:spacing w:before="60" w:after="60"/>
                    <w:jc w:val="center"/>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3124" w:type="dxa"/>
                  <w:tcBorders>
                    <w:left w:val="single" w:sz="4" w:space="0" w:color="7F7F7F"/>
                    <w:bottom w:val="single" w:sz="4" w:space="0" w:color="7F7F7F"/>
                  </w:tcBorders>
                </w:tcPr>
                <w:p>
                  <w:pPr>
                    <w:pStyle w:val="Style27"/>
                    <w:keepNext w:val="true"/>
                    <w:keepLines w:val="false"/>
                    <w:widowControl w:val="false"/>
                    <w:suppressAutoHyphens w:val="true"/>
                    <w:spacing w:before="60" w:after="60"/>
                    <w:jc w:val="center"/>
                    <w:rPr>
                      <w:rFonts w:eastAsia="Calibri"/>
                      <w:b w:val="false"/>
                      <w:kern w:val="0"/>
                      <w:sz w:val="22"/>
                      <w:szCs w:val="22"/>
                      <w:lang w:val="ru-RU" w:eastAsia="en-US" w:bidi="ar-SA"/>
                    </w:rPr>
                  </w:pPr>
                  <w:r>
                    <w:rPr>
                      <w:rFonts w:eastAsia="Calibri"/>
                      <w:b w:val="false"/>
                      <w:kern w:val="0"/>
                      <w:sz w:val="22"/>
                      <w:szCs w:val="22"/>
                      <w:lang w:val="ru-RU" w:eastAsia="en-US" w:bidi="ar-SA"/>
                    </w:rPr>
                    <w:t>результат оценки финансового состояния (устойчивости): менее 0,45 баллов – Кризисное финансовое состояние</w:t>
                  </w:r>
                </w:p>
                <w:p>
                  <w:pPr>
                    <w:pStyle w:val="Style27"/>
                    <w:keepNext w:val="true"/>
                    <w:keepLines w:val="false"/>
                    <w:widowControl w:val="false"/>
                    <w:suppressAutoHyphens w:val="true"/>
                    <w:spacing w:before="60" w:after="60"/>
                    <w:jc w:val="center"/>
                    <w:rPr>
                      <w:rFonts w:eastAsia="Calibri"/>
                      <w:b w:val="false"/>
                      <w:i/>
                      <w:i/>
                      <w:iCs/>
                      <w:kern w:val="0"/>
                      <w:sz w:val="22"/>
                      <w:szCs w:val="22"/>
                      <w:lang w:val="ru-RU" w:eastAsia="en-US" w:bidi="ar-SA"/>
                    </w:rPr>
                  </w:pPr>
                  <w:r>
                    <w:rPr>
                      <w:rFonts w:eastAsia="Calibri"/>
                      <w:b w:val="false"/>
                      <w:i/>
                      <w:iCs/>
                      <w:kern w:val="0"/>
                      <w:sz w:val="22"/>
                      <w:szCs w:val="22"/>
                      <w:lang w:val="ru-RU" w:eastAsia="en-US" w:bidi="ar-SA"/>
                    </w:rPr>
                    <w:t>или</w:t>
                  </w:r>
                </w:p>
                <w:p>
                  <w:pPr>
                    <w:pStyle w:val="Style27"/>
                    <w:keepNext w:val="true"/>
                    <w:keepLines w:val="false"/>
                    <w:widowControl w:val="false"/>
                    <w:suppressAutoHyphens w:val="true"/>
                    <w:spacing w:before="60" w:after="60"/>
                    <w:jc w:val="center"/>
                    <w:rPr>
                      <w:rFonts w:eastAsia="Calibri"/>
                      <w:b w:val="false"/>
                      <w:kern w:val="0"/>
                      <w:sz w:val="22"/>
                      <w:szCs w:val="22"/>
                      <w:lang w:val="ru-RU" w:eastAsia="en-US" w:bidi="ar-SA"/>
                    </w:rPr>
                  </w:pPr>
                  <w:r>
                    <w:rPr>
                      <w:rFonts w:eastAsia="Calibri"/>
                      <w:b w:val="false"/>
                      <w:kern w:val="0"/>
                      <w:sz w:val="22"/>
                      <w:szCs w:val="22"/>
                      <w:lang w:val="ru-RU" w:eastAsia="en-US" w:bidi="ar-SA"/>
                    </w:rPr>
                    <w:t>в случае отсутствия исходных данных для оценки финансового состояния Участника, в том числе если он является:</w:t>
                  </w:r>
                </w:p>
                <w:p>
                  <w:pPr>
                    <w:pStyle w:val="Style27"/>
                    <w:keepNext w:val="true"/>
                    <w:keepLines w:val="false"/>
                    <w:widowControl w:val="false"/>
                    <w:numPr>
                      <w:ilvl w:val="0"/>
                      <w:numId w:val="17"/>
                    </w:numPr>
                    <w:suppressAutoHyphens w:val="true"/>
                    <w:spacing w:before="60" w:after="60"/>
                    <w:ind w:left="142" w:right="0" w:hanging="142"/>
                    <w:jc w:val="center"/>
                    <w:rPr>
                      <w:rFonts w:eastAsia="Calibri"/>
                      <w:b w:val="false"/>
                      <w:kern w:val="0"/>
                      <w:sz w:val="22"/>
                      <w:szCs w:val="22"/>
                      <w:lang w:val="ru-RU" w:eastAsia="en-US" w:bidi="ar-SA"/>
                    </w:rPr>
                  </w:pPr>
                  <w:r>
                    <w:rPr>
                      <w:rFonts w:eastAsia="Calibri"/>
                      <w:b w:val="false"/>
                      <w:kern w:val="0"/>
                      <w:sz w:val="22"/>
                      <w:szCs w:val="22"/>
                      <w:lang w:val="ru-RU" w:eastAsia="en-US" w:bidi="ar-SA"/>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7"/>
                    <w:keepNext w:val="false"/>
                    <w:keepLines w:val="false"/>
                    <w:widowControl w:val="false"/>
                    <w:numPr>
                      <w:ilvl w:val="0"/>
                      <w:numId w:val="17"/>
                    </w:numPr>
                    <w:suppressAutoHyphens w:val="true"/>
                    <w:spacing w:before="60" w:after="60"/>
                    <w:ind w:left="142" w:right="0" w:hanging="142"/>
                    <w:jc w:val="center"/>
                    <w:rPr>
                      <w:rFonts w:eastAsia="Calibri"/>
                      <w:b w:val="false"/>
                      <w:kern w:val="0"/>
                      <w:sz w:val="22"/>
                      <w:szCs w:val="22"/>
                      <w:lang w:val="ru-RU" w:eastAsia="en-US" w:bidi="ar-SA"/>
                    </w:rPr>
                  </w:pPr>
                  <w:r>
                    <w:rPr>
                      <w:rFonts w:eastAsia="Calibri"/>
                      <w:b w:val="false"/>
                      <w:kern w:val="0"/>
                      <w:sz w:val="22"/>
                      <w:szCs w:val="22"/>
                      <w:lang w:val="ru-RU" w:eastAsia="en-US" w:bidi="ar-SA"/>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789" w:type="dxa"/>
                  <w:tcBorders>
                    <w:top w:val="single" w:sz="4" w:space="0" w:color="7F7F7F"/>
                    <w:bottom w:val="single" w:sz="4" w:space="0" w:color="7F7F7F"/>
                    <w:right w:val="single" w:sz="4" w:space="0" w:color="7F7F7F"/>
                  </w:tcBorders>
                </w:tcPr>
                <w:p>
                  <w:pPr>
                    <w:pStyle w:val="Style27"/>
                    <w:widowControl w:val="false"/>
                    <w:suppressAutoHyphens w:val="true"/>
                    <w:spacing w:before="60" w:after="6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3124" w:type="dxa"/>
                  <w:tcBorders>
                    <w:top w:val="single" w:sz="4" w:space="0" w:color="7F7F7F"/>
                    <w:left w:val="single" w:sz="4" w:space="0" w:color="7F7F7F"/>
                    <w:bottom w:val="single" w:sz="4" w:space="0" w:color="7F7F7F"/>
                  </w:tcBorders>
                </w:tcPr>
                <w:p>
                  <w:pPr>
                    <w:pStyle w:val="Style27"/>
                    <w:widowControl w:val="false"/>
                    <w:suppressAutoHyphens w:val="true"/>
                    <w:spacing w:before="60" w:after="60"/>
                    <w:jc w:val="left"/>
                    <w:rPr>
                      <w:rFonts w:eastAsia="Calibri"/>
                      <w:kern w:val="0"/>
                      <w:sz w:val="22"/>
                      <w:szCs w:val="22"/>
                      <w:lang w:val="ru-RU" w:eastAsia="en-US" w:bidi="ar-SA"/>
                    </w:rPr>
                  </w:pPr>
                  <w:r>
                    <w:rPr>
                      <w:rFonts w:eastAsia="Calibri"/>
                      <w:kern w:val="0"/>
                      <w:sz w:val="22"/>
                      <w:szCs w:val="22"/>
                      <w:lang w:val="ru-RU"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789" w:type="dxa"/>
                  <w:tcBorders>
                    <w:top w:val="single" w:sz="4" w:space="0" w:color="7F7F7F"/>
                    <w:right w:val="single" w:sz="4" w:space="0" w:color="7F7F7F"/>
                  </w:tcBorders>
                </w:tcPr>
                <w:p>
                  <w:pPr>
                    <w:pStyle w:val="Style27"/>
                    <w:widowControl w:val="false"/>
                    <w:suppressAutoHyphens w:val="true"/>
                    <w:spacing w:before="60" w:after="60"/>
                    <w:jc w:val="left"/>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3124" w:type="dxa"/>
                  <w:tcBorders>
                    <w:top w:val="single" w:sz="4" w:space="0" w:color="7F7F7F"/>
                    <w:left w:val="single" w:sz="4" w:space="0" w:color="7F7F7F"/>
                  </w:tcBorders>
                </w:tcPr>
                <w:p>
                  <w:pPr>
                    <w:pStyle w:val="Style27"/>
                    <w:widowControl w:val="false"/>
                    <w:suppressAutoHyphens w:val="true"/>
                    <w:spacing w:before="60" w:after="60"/>
                    <w:jc w:val="left"/>
                    <w:rPr>
                      <w:rFonts w:eastAsia="Calibri"/>
                      <w:kern w:val="0"/>
                      <w:sz w:val="22"/>
                      <w:szCs w:val="22"/>
                      <w:lang w:val="ru-RU" w:eastAsia="en-US" w:bidi="ar-SA"/>
                    </w:rPr>
                  </w:pPr>
                  <w:r>
                    <w:rPr>
                      <w:rFonts w:eastAsia="Calibri"/>
                      <w:kern w:val="0"/>
                      <w:sz w:val="22"/>
                      <w:szCs w:val="22"/>
                      <w:lang w:val="ru-RU" w:eastAsia="en-US" w:bidi="ar-SA"/>
                    </w:rPr>
                    <w:t>результат оценки финансового состояния (устойчивости): более 0,90 баллов – Удовлетворительное финансовое состояние,</w:t>
                  </w:r>
                </w:p>
              </w:tc>
            </w:tr>
          </w:tbl>
          <w:p>
            <w:pPr>
              <w:pStyle w:val="Style27"/>
              <w:widowControl w:val="false"/>
              <w:suppressAutoHyphens w:val="true"/>
              <w:spacing w:before="40" w:after="40"/>
              <w:jc w:val="left"/>
              <w:rPr>
                <w:rFonts w:eastAsia="Calibri"/>
                <w:kern w:val="0"/>
                <w:sz w:val="22"/>
                <w:szCs w:val="22"/>
                <w:lang w:val="ru-RU" w:eastAsia="en-US" w:bidi="ar-SA"/>
              </w:rPr>
            </w:pPr>
            <w:r>
              <w:rPr>
                <w:rFonts w:eastAsia="Calibri"/>
                <w:kern w:val="0"/>
                <w:sz w:val="22"/>
                <w:szCs w:val="22"/>
                <w:lang w:val="ru-RU" w:eastAsia="en-US" w:bidi="ar-SA"/>
              </w:rPr>
              <w:t>где:</w:t>
            </w:r>
          </w:p>
          <w:p>
            <w:pPr>
              <w:pStyle w:val="Style27"/>
              <w:widowControl w:val="false"/>
              <w:suppressAutoHyphens w:val="true"/>
              <w:spacing w:before="40" w:after="40"/>
              <w:jc w:val="left"/>
              <w:rPr/>
            </w:pPr>
            <w:r>
              <w:rPr>
                <w:rFonts w:eastAsia="Calibri"/>
                <w:kern w:val="0"/>
                <w:sz w:val="22"/>
                <w:szCs w:val="22"/>
                <w:lang w:val="ru-RU" w:eastAsia="en-US" w:bidi="ar-SA"/>
              </w:rPr>
              <w:t>Б</w:t>
            </w:r>
            <w:r>
              <w:rPr>
                <w:rFonts w:eastAsia="Calibri"/>
                <w:kern w:val="0"/>
                <w:sz w:val="22"/>
                <w:szCs w:val="22"/>
                <w:vertAlign w:val="subscript"/>
                <w:lang w:val="ru-RU" w:eastAsia="en-US" w:bidi="ar-SA"/>
              </w:rPr>
              <w:t xml:space="preserve">3 </w:t>
            </w:r>
            <w:r>
              <w:rPr>
                <w:rFonts w:eastAsia="Calibri"/>
                <w:kern w:val="0"/>
                <w:sz w:val="22"/>
                <w:szCs w:val="22"/>
                <w:lang w:val="ru-RU" w:eastAsia="en-US" w:bidi="ar-SA"/>
              </w:rPr>
              <w:t>– рассчитанная оценка предпочтительности по частному критерию оценки в баллах.</w:t>
            </w:r>
          </w:p>
          <w:p>
            <w:pPr>
              <w:pStyle w:val="Style27"/>
              <w:widowControl w:val="false"/>
              <w:suppressAutoHyphens w:val="true"/>
              <w:spacing w:before="40" w:after="40"/>
              <w:jc w:val="left"/>
              <w:rPr>
                <w:rFonts w:eastAsia="Calibri"/>
                <w:kern w:val="0"/>
                <w:sz w:val="22"/>
                <w:szCs w:val="22"/>
                <w:lang w:val="ru-RU" w:eastAsia="en-US" w:bidi="ar-SA"/>
              </w:rPr>
            </w:pPr>
            <w:r>
              <w:rPr>
                <w:rFonts w:eastAsia="Calibri"/>
                <w:kern w:val="0"/>
                <w:sz w:val="22"/>
                <w:szCs w:val="22"/>
                <w:lang w:val="ru-RU" w:eastAsia="en-US" w:bidi="ar-SA"/>
              </w:rPr>
              <w:t>Шкала оценок от 0 до 5 баллов.</w:t>
            </w:r>
          </w:p>
          <w:p>
            <w:pPr>
              <w:pStyle w:val="Style27"/>
              <w:widowControl w:val="false"/>
              <w:suppressAutoHyphens w:val="true"/>
              <w:spacing w:before="40" w:after="40"/>
              <w:jc w:val="left"/>
              <w:rPr>
                <w:rFonts w:eastAsia="Calibri"/>
                <w:i/>
                <w:i/>
                <w:iCs/>
                <w:kern w:val="0"/>
                <w:sz w:val="22"/>
                <w:szCs w:val="22"/>
                <w:lang w:val="ru-RU" w:eastAsia="en-US" w:bidi="ar-SA"/>
              </w:rPr>
            </w:pPr>
            <w:r>
              <w:rPr>
                <w:rFonts w:eastAsia="Calibri"/>
                <w:i/>
                <w:iCs/>
                <w:kern w:val="0"/>
                <w:sz w:val="22"/>
                <w:szCs w:val="22"/>
                <w:lang w:val="ru-RU"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7"/>
              <w:widowControl w:val="false"/>
              <w:suppressAutoHyphens w:val="true"/>
              <w:spacing w:before="40" w:after="40"/>
              <w:jc w:val="left"/>
              <w:rPr/>
            </w:pPr>
            <w:r>
              <w:rPr>
                <w:rFonts w:eastAsia="Calibri"/>
                <w:i/>
                <w:iCs/>
                <w:kern w:val="0"/>
                <w:sz w:val="22"/>
                <w:szCs w:val="22"/>
                <w:lang w:val="ru-RU" w:eastAsia="en-US" w:bidi="ar-SA"/>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Style w:val="Hyperlink"/>
                  <w:rFonts w:eastAsia="Calibri"/>
                  <w:i/>
                  <w:iCs/>
                  <w:spacing w:val="0"/>
                  <w:kern w:val="0"/>
                  <w:sz w:val="22"/>
                  <w:szCs w:val="22"/>
                  <w:lang w:val="ru-RU" w:eastAsia="en-US" w:bidi="ar-SA"/>
                </w:rPr>
                <w:t>Приложение № 4</w:t>
              </w:r>
            </w:hyperlink>
            <w:r>
              <w:rPr>
                <w:rFonts w:eastAsia="Calibri"/>
                <w:i/>
                <w:iCs/>
                <w:kern w:val="0"/>
                <w:sz w:val="22"/>
                <w:szCs w:val="22"/>
                <w:lang w:val="ru-RU" w:eastAsia="en-US" w:bidi="ar-SA"/>
              </w:rPr>
              <w:t>), представленному в заявке такого Коллективного участника на участие в закупке.)</w:t>
            </w:r>
          </w:p>
        </w:tc>
      </w:tr>
      <w:tr>
        <w:trPr/>
        <w:tc>
          <w:tcPr>
            <w:tcW w:w="6096" w:type="dxa"/>
            <w:gridSpan w:val="4"/>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left"/>
              <w:rPr>
                <w:rFonts w:eastAsia="Calibri"/>
                <w:kern w:val="0"/>
                <w:sz w:val="18"/>
                <w:szCs w:val="18"/>
                <w:lang w:val="ru-RU" w:eastAsia="en-US" w:bidi="ar-SA"/>
              </w:rPr>
            </w:pPr>
            <w:r>
              <w:rPr>
                <w:rFonts w:eastAsia="Calibri"/>
                <w:kern w:val="0"/>
                <w:sz w:val="18"/>
                <w:szCs w:val="18"/>
                <w:lang w:val="ru-RU" w:eastAsia="en-US" w:bidi="ar-SA"/>
              </w:rPr>
              <w:t>Итоговая оценка предпочтительности заявки:</w:t>
            </w:r>
          </w:p>
        </w:tc>
        <w:tc>
          <w:tcPr>
            <w:tcW w:w="7937" w:type="dxa"/>
            <w:gridSpan w:val="3"/>
            <w:tcBorders>
              <w:top w:val="single" w:sz="4" w:space="0" w:color="7F7F7F"/>
              <w:left w:val="single" w:sz="4" w:space="0" w:color="7F7F7F"/>
              <w:bottom w:val="single" w:sz="4" w:space="0" w:color="7F7F7F"/>
              <w:right w:val="single" w:sz="4" w:space="0" w:color="7F7F7F"/>
            </w:tcBorders>
          </w:tcPr>
          <w:p>
            <w:pPr>
              <w:pStyle w:val="Style27"/>
              <w:widowControl w:val="false"/>
              <w:suppressAutoHyphens w:val="true"/>
              <w:spacing w:before="60" w:after="60"/>
              <w:jc w:val="left"/>
              <w:rPr/>
            </w:pPr>
            <w:r>
              <w:rPr>
                <w:rFonts w:eastAsia="Calibri"/>
                <w:kern w:val="0"/>
                <w:sz w:val="18"/>
                <w:szCs w:val="18"/>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kern w:val="0"/>
                <w:sz w:val="18"/>
                <w:szCs w:val="18"/>
                <w:lang w:val="ru-RU" w:eastAsia="en-US" w:bidi="ar-SA"/>
              </w:rPr>
              <w:t>-ой заявки:</w:t>
            </w:r>
          </w:p>
          <w:p>
            <w:pPr>
              <w:pStyle w:val="Style27"/>
              <w:widowControl w:val="false"/>
              <w:suppressAutoHyphens w:val="true"/>
              <w:spacing w:before="60" w:after="60"/>
              <w:jc w:val="center"/>
              <w:rPr/>
            </w:pPr>
            <w:r>
              <w:rPr/>
            </w:r>
            <m:oMathPara xmlns:m="http://schemas.openxmlformats.org/officeDocument/2006/math">
              <m:oMathParaPr>
                <m:jc m:val="center"/>
              </m:oMathParaPr>
              <m:oMath>
                <m:sSub>
                  <m:e>
                    <m:r>
                      <w:rPr>
                        <w:rFonts w:ascii="Cambria Math" w:hAnsi="Cambria Math"/>
                      </w:rPr>
                      <m:t xml:space="preserve">Б</m:t>
                    </m:r>
                  </m:e>
                  <m:sub>
                    <m:r>
                      <m:rPr>
                        <m:lit/>
                        <m:nor/>
                      </m:rP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m:rPr>
                                <m:lit/>
                                <m:nor/>
                              </m:rPr>
                              <w:rPr>
                                <w:rFonts w:ascii="Cambria Math" w:hAnsi="Cambria Math"/>
                              </w:rPr>
                              <m:t xml:space="preserve">уровеньk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m:rPr>
                                <m:lit/>
                                <m:nor/>
                              </m:rPr>
                              <w:rPr>
                                <w:rFonts w:ascii="Cambria Math" w:hAnsi="Cambria Math"/>
                              </w:rPr>
                              <m:t xml:space="preserve">уровеньk</m:t>
                            </m:r>
                          </m:sub>
                        </m:sSub>
                      </m:e>
                    </m:d>
                  </m:e>
                </m:nary>
                <m:r>
                  <w:rPr>
                    <w:rFonts w:ascii="Cambria Math" w:hAnsi="Cambria Math"/>
                  </w:rPr>
                  <m:t xml:space="preserve">,</m:t>
                </m:r>
              </m:oMath>
            </m:oMathPara>
          </w:p>
          <w:p>
            <w:pPr>
              <w:pStyle w:val="Style27"/>
              <w:widowControl w:val="false"/>
              <w:suppressAutoHyphens w:val="true"/>
              <w:spacing w:before="60" w:after="60"/>
              <w:jc w:val="left"/>
              <w:rPr>
                <w:rFonts w:eastAsia="Calibri"/>
                <w:kern w:val="0"/>
                <w:sz w:val="18"/>
                <w:szCs w:val="18"/>
                <w:lang w:val="ru-RU" w:eastAsia="en-US" w:bidi="ar-SA"/>
              </w:rPr>
            </w:pPr>
            <w:r>
              <w:rPr>
                <w:rFonts w:eastAsia="Calibri"/>
                <w:kern w:val="0"/>
                <w:sz w:val="18"/>
                <w:szCs w:val="18"/>
                <w:lang w:val="ru-RU" w:eastAsia="en-US" w:bidi="ar-SA"/>
              </w:rPr>
              <w:t>где:</w:t>
            </w:r>
          </w:p>
          <w:p>
            <w:pPr>
              <w:pStyle w:val="Style27"/>
              <w:widowControl w:val="false"/>
              <w:suppressAutoHyphens w:val="true"/>
              <w:spacing w:before="60" w:after="60"/>
              <w:jc w:val="left"/>
              <w:rPr/>
            </w:pPr>
            <w:r>
              <w:rPr/>
            </w:r>
            <m:oMath xmlns:m="http://schemas.openxmlformats.org/officeDocument/2006/math">
              <m:sSub>
                <m:e>
                  <m:r>
                    <w:rPr>
                      <w:rFonts w:ascii="Cambria Math" w:hAnsi="Cambria Math"/>
                    </w:rPr>
                    <m:t xml:space="preserve">Б</m:t>
                  </m:r>
                </m:e>
                <m:sub>
                  <m:r>
                    <m:rPr>
                      <m:lit/>
                      <m:nor/>
                    </m:rPr>
                    <w:rPr>
                      <w:rFonts w:ascii="Cambria Math" w:hAnsi="Cambria Math"/>
                    </w:rPr>
                    <m:t xml:space="preserve">ИТОГ</m:t>
                  </m:r>
                </m:sub>
              </m:sSub>
            </m:oMath>
            <w:r>
              <w:rPr>
                <w:rFonts w:eastAsia="Liberation Serif;Times New Roman" w:cs="Liberation Serif;Times New Roman"/>
                <w:kern w:val="0"/>
                <w:sz w:val="18"/>
                <w:szCs w:val="18"/>
                <w:lang w:val="ru-RU" w:eastAsia="en-US" w:bidi="ar-SA"/>
              </w:rPr>
              <w:t xml:space="preserve"> </w:t>
            </w:r>
            <w:r>
              <w:rPr>
                <w:rFonts w:eastAsia="Calibri"/>
                <w:kern w:val="0"/>
                <w:sz w:val="18"/>
                <w:szCs w:val="18"/>
                <w:lang w:val="ru-RU" w:eastAsia="en-US" w:bidi="ar-SA"/>
              </w:rPr>
              <w:t>–</w:t>
            </w:r>
            <w:r>
              <w:rPr>
                <w:rFonts w:eastAsia="Liberation Serif;Times New Roman" w:cs="Liberation Serif;Times New Roman"/>
                <w:kern w:val="0"/>
                <w:sz w:val="18"/>
                <w:szCs w:val="18"/>
                <w:lang w:val="ru-RU" w:eastAsia="en-US" w:bidi="ar-SA"/>
              </w:rPr>
              <w:t xml:space="preserve"> </w:t>
            </w:r>
            <w:r>
              <w:rPr>
                <w:rFonts w:eastAsia="Calibri"/>
                <w:kern w:val="0"/>
                <w:sz w:val="18"/>
                <w:szCs w:val="18"/>
                <w:lang w:val="ru-RU" w:eastAsia="en-US" w:bidi="ar-SA"/>
              </w:rPr>
              <w:t>рассчитанная итоговая оценка предпочтительности в баллах;</w:t>
            </w:r>
          </w:p>
          <w:p>
            <w:pPr>
              <w:pStyle w:val="Style27"/>
              <w:widowControl w:val="false"/>
              <w:suppressAutoHyphens w:val="true"/>
              <w:spacing w:before="60" w:after="60"/>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r>
                    <m:rPr>
                      <m:lit/>
                      <m:nor/>
                    </m:rPr>
                    <w:rPr>
                      <w:rFonts w:ascii="Cambria Math" w:hAnsi="Cambria Math"/>
                    </w:rPr>
                    <m:t xml:space="preserve">уровеньk</m:t>
                  </m:r>
                </m:sub>
              </m:sSub>
            </m:oMath>
            <w:r>
              <w:rPr>
                <w:rFonts w:eastAsia="Liberation Serif;Times New Roman" w:cs="Liberation Serif;Times New Roman"/>
                <w:kern w:val="0"/>
                <w:sz w:val="18"/>
                <w:szCs w:val="18"/>
                <w:lang w:val="ru-RU" w:eastAsia="en-US" w:bidi="ar-SA"/>
              </w:rPr>
              <w:t xml:space="preserve"> </w:t>
            </w:r>
            <w:r>
              <w:rPr>
                <w:rFonts w:eastAsia="Calibri"/>
                <w:kern w:val="0"/>
                <w:sz w:val="18"/>
                <w:szCs w:val="18"/>
                <w:lang w:val="ru-RU" w:eastAsia="en-US" w:bidi="ar-SA"/>
              </w:rPr>
              <w:t>–</w:t>
            </w:r>
            <w:r>
              <w:rPr>
                <w:rFonts w:eastAsia="Liberation Serif;Times New Roman" w:cs="Liberation Serif;Times New Roman"/>
                <w:kern w:val="0"/>
                <w:sz w:val="18"/>
                <w:szCs w:val="18"/>
                <w:lang w:val="ru-RU" w:eastAsia="en-US" w:bidi="ar-SA"/>
              </w:rPr>
              <w:t xml:space="preserve"> </w:t>
            </w:r>
            <w:r>
              <w:rPr>
                <w:rFonts w:eastAsia="Calibri"/>
                <w:kern w:val="0"/>
                <w:sz w:val="18"/>
                <w:szCs w:val="18"/>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kern w:val="0"/>
                <w:sz w:val="18"/>
                <w:szCs w:val="18"/>
                <w:lang w:val="ru-RU" w:eastAsia="en-US" w:bidi="ar-SA"/>
              </w:rPr>
              <w:t>-тому критерию оценки первого уровня в баллах;</w:t>
            </w:r>
          </w:p>
          <w:p>
            <w:pPr>
              <w:pStyle w:val="Style27"/>
              <w:widowControl w:val="false"/>
              <w:suppressAutoHyphens w:val="true"/>
              <w:spacing w:before="60" w:after="60"/>
              <w:jc w:val="left"/>
              <w:rPr/>
            </w:pPr>
            <w:r>
              <w:rPr/>
            </w:r>
            <m:oMath xmlns:m="http://schemas.openxmlformats.org/officeDocument/2006/math">
              <m:sSub>
                <m:e>
                  <m:r>
                    <w:rPr>
                      <w:rFonts w:ascii="Cambria Math" w:hAnsi="Cambria Math"/>
                    </w:rPr>
                    <m:t xml:space="preserve">В</m:t>
                  </m:r>
                </m:e>
                <m:sub>
                  <m:r>
                    <w:rPr>
                      <w:rFonts w:ascii="Cambria Math" w:hAnsi="Cambria Math"/>
                    </w:rPr>
                    <m:t xml:space="preserve">1</m:t>
                  </m:r>
                  <m:r>
                    <m:rPr>
                      <m:lit/>
                      <m:nor/>
                    </m:rPr>
                    <w:rPr>
                      <w:rFonts w:ascii="Cambria Math" w:hAnsi="Cambria Math"/>
                    </w:rPr>
                    <m:t xml:space="preserve">уровеньk</m:t>
                  </m:r>
                </m:sub>
              </m:sSub>
            </m:oMath>
            <w:r>
              <w:rPr>
                <w:rFonts w:eastAsia="Liberation Serif;Times New Roman" w:cs="Liberation Serif;Times New Roman"/>
                <w:kern w:val="0"/>
                <w:sz w:val="18"/>
                <w:szCs w:val="18"/>
                <w:lang w:val="ru-RU" w:eastAsia="en-US" w:bidi="ar-SA"/>
              </w:rPr>
              <w:t xml:space="preserve"> </w:t>
            </w:r>
            <w:r>
              <w:rPr>
                <w:rFonts w:eastAsia="Calibri"/>
                <w:kern w:val="0"/>
                <w:sz w:val="18"/>
                <w:szCs w:val="18"/>
                <w:lang w:val="ru-RU" w:eastAsia="en-US" w:bidi="ar-SA"/>
              </w:rPr>
              <w:t>–</w:t>
            </w:r>
            <w:r>
              <w:rPr>
                <w:rFonts w:eastAsia="Liberation Serif;Times New Roman" w:cs="Liberation Serif;Times New Roman"/>
                <w:kern w:val="0"/>
                <w:sz w:val="18"/>
                <w:szCs w:val="18"/>
                <w:lang w:val="ru-RU" w:eastAsia="en-US" w:bidi="ar-SA"/>
              </w:rPr>
              <w:t xml:space="preserve"> </w:t>
            </w:r>
            <w:r>
              <w:rPr>
                <w:rFonts w:eastAsia="Calibri"/>
                <w:kern w:val="0"/>
                <w:sz w:val="18"/>
                <w:szCs w:val="18"/>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kern w:val="0"/>
                <w:sz w:val="18"/>
                <w:szCs w:val="18"/>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kern w:val="0"/>
                <w:sz w:val="18"/>
                <w:szCs w:val="18"/>
                <w:lang w:val="ru-RU" w:eastAsia="en-US" w:bidi="ar-SA"/>
              </w:rPr>
              <w:t>-ого критерия оценки первого уровня.</w:t>
            </w:r>
          </w:p>
          <w:p>
            <w:pPr>
              <w:pStyle w:val="Style27"/>
              <w:widowControl w:val="false"/>
              <w:suppressAutoHyphens w:val="true"/>
              <w:spacing w:before="60" w:after="60"/>
              <w:jc w:val="left"/>
              <w:rPr>
                <w:rFonts w:eastAsia="Calibri"/>
                <w:i/>
                <w:i/>
                <w:iCs/>
                <w:kern w:val="0"/>
                <w:sz w:val="18"/>
                <w:szCs w:val="18"/>
                <w:lang w:val="ru-RU" w:eastAsia="en-US" w:bidi="ar-SA"/>
              </w:rPr>
            </w:pPr>
            <w:r>
              <w:rPr>
                <w:rFonts w:eastAsia="Calibri"/>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3"/>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3"/>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42"/>
          <w:headerReference w:type="first" r:id="rId43"/>
          <w:footerReference w:type="default" r:id="rId44"/>
          <w:footerReference w:type="first" r:id="rId4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3"/>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21"/>
        <w:rPr/>
      </w:pPr>
      <w:bookmarkStart w:id="380" w:name="_Ref125360420"/>
      <w:bookmarkStart w:id="381" w:name="_Toc186224295"/>
      <w:bookmarkStart w:id="382" w:name="Прил09_ОбоснованиеНМЦ"/>
      <w:bookmarkEnd w:id="382"/>
      <w:r>
        <w:rPr/>
        <w:t>Приложение № 9 – Обоснование НМЦ</w:t>
      </w:r>
      <w:bookmarkEnd w:id="380"/>
      <w:bookmarkEnd w:id="381"/>
    </w:p>
    <w:p>
      <w:pPr>
        <w:pStyle w:val="Style22"/>
        <w:rPr/>
      </w:pPr>
      <w:bookmarkStart w:id="383" w:name="_Toc186224296"/>
      <w:r>
        <w:rPr/>
        <w:t>Пояснения к Обоснованию НМЦ</w:t>
      </w:r>
      <w:bookmarkEnd w:id="383"/>
    </w:p>
    <w:p>
      <w:pPr>
        <w:pStyle w:val="Style23"/>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1"/>
        <w:rPr/>
      </w:pPr>
      <w:bookmarkStart w:id="384" w:name="_Toc186224297"/>
      <w:bookmarkStart w:id="385" w:name="Прил10_ФормаЗаявкиНаАккредитацию"/>
      <w:bookmarkEnd w:id="385"/>
      <w:r>
        <w:rPr/>
        <w:t>Приложение № 10 – Форма Заявки на аккредитацию</w:t>
      </w:r>
      <w:bookmarkEnd w:id="384"/>
    </w:p>
    <w:p>
      <w:pPr>
        <w:pStyle w:val="Style22"/>
        <w:rPr/>
      </w:pPr>
      <w:bookmarkStart w:id="386" w:name="_Toc186224298"/>
      <w:r>
        <w:rPr/>
        <w:t>Пояснения к форме Заявки на аккредитацию</w:t>
      </w:r>
      <w:bookmarkEnd w:id="386"/>
    </w:p>
    <w:p>
      <w:pPr>
        <w:pStyle w:val="Style23"/>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7"/>
        <w:jc w:val="center"/>
        <w:rPr/>
      </w:pPr>
      <w:r>
        <w:rPr/>
        <w:object>
          <v:shapetype id="_x0000_tole_rId46" coordsize="21600,21600" o:spt="ole_rId4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6" type="_x0000_tole_rId46" style="width:75.75pt;height:50.25pt;mso-wrap-distance-right:0pt" filled="f" o:ole="">
            <v:imagedata r:id="rId47" o:title=""/>
          </v:shape>
          <o:OLEObject Type="Embed" ProgID="Excel.Sheet.12" ShapeID="ole_rId46" DrawAspect="Icon" ObjectID="_1925517666" r:id="rId46"/>
        </w:object>
      </w:r>
    </w:p>
    <w:sectPr>
      <w:headerReference w:type="default" r:id="rId48"/>
      <w:headerReference w:type="first" r:id="rId49"/>
      <w:footerReference w:type="default" r:id="rId50"/>
      <w:footerReference w:type="first" r:id="rId5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67068512"/>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35575521"/>
    </w:sdtPr>
    <w:sdtContent>
      <w:p>
        <w:pPr>
          <w:pStyle w:val="Footer"/>
          <w:spacing w:before="120" w:after="0"/>
          <w:rPr/>
        </w:pPr>
        <w:r>
          <w:rPr/>
          <w:fldChar w:fldCharType="begin"/>
        </w:r>
        <w:r>
          <w:rPr/>
          <w:instrText xml:space="preserve"> PAGE </w:instrText>
        </w:r>
        <w:r>
          <w:rPr/>
          <w:fldChar w:fldCharType="separate"/>
        </w:r>
        <w:r>
          <w:rPr/>
          <w:t>71</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85951179"/>
    </w:sdtPr>
    <w:sdtContent>
      <w:p>
        <w:pPr>
          <w:pStyle w:val="Footer"/>
          <w:spacing w:before="120" w:after="0"/>
          <w:rPr/>
        </w:pPr>
        <w:r>
          <w:rPr/>
          <w:fldChar w:fldCharType="begin"/>
        </w:r>
        <w:r>
          <w:rPr/>
          <w:instrText xml:space="preserve"> PAGE </w:instrText>
        </w:r>
        <w:r>
          <w:rPr/>
          <w:fldChar w:fldCharType="separate"/>
        </w:r>
        <w:r>
          <w:rPr/>
          <w:t>78</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16840500"/>
    </w:sdtPr>
    <w:sdtContent>
      <w:p>
        <w:pPr>
          <w:pStyle w:val="Footer"/>
          <w:spacing w:before="120" w:after="0"/>
          <w:rPr/>
        </w:pPr>
        <w:r>
          <w:rPr/>
          <w:fldChar w:fldCharType="begin"/>
        </w:r>
        <w:r>
          <w:rPr/>
          <w:instrText xml:space="preserve"> PAGE </w:instrText>
        </w:r>
        <w:r>
          <w:rPr/>
          <w:fldChar w:fldCharType="separate"/>
        </w:r>
        <w:r>
          <w:rPr/>
          <w:t>80</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34738667"/>
    </w:sdtPr>
    <w:sdtContent>
      <w:p>
        <w:pPr>
          <w:pStyle w:val="Footer"/>
          <w:spacing w:before="120" w:after="0"/>
          <w:rPr/>
        </w:pPr>
        <w:r>
          <w:rPr/>
          <w:fldChar w:fldCharType="begin"/>
        </w:r>
        <w:r>
          <w:rPr/>
          <w:instrText xml:space="preserve"> PAGE </w:instrText>
        </w:r>
        <w:r>
          <w:rPr/>
          <w:fldChar w:fldCharType="separate"/>
        </w:r>
        <w:r>
          <w:rPr/>
          <w:t>25</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83887538"/>
    </w:sdtPr>
    <w:sdtContent>
      <w:p>
        <w:pPr>
          <w:pStyle w:val="Footer"/>
          <w:spacing w:before="120" w:after="0"/>
          <w:rPr/>
        </w:pPr>
        <w:r>
          <w:rPr/>
          <w:fldChar w:fldCharType="begin"/>
        </w:r>
        <w:r>
          <w:rPr/>
          <w:instrText xml:space="preserve"> PAGE </w:instrText>
        </w:r>
        <w:r>
          <w:rPr/>
          <w:fldChar w:fldCharType="separate"/>
        </w:r>
        <w:r>
          <w:rPr/>
          <w:t>49</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65653096"/>
    </w:sdtPr>
    <w:sdtContent>
      <w:p>
        <w:pPr>
          <w:pStyle w:val="Footer"/>
          <w:spacing w:before="120" w:after="0"/>
          <w:rPr/>
        </w:pPr>
        <w:r>
          <w:rPr/>
          <w:fldChar w:fldCharType="begin"/>
        </w:r>
        <w:r>
          <w:rPr/>
          <w:instrText xml:space="preserve"> PAGE </w:instrText>
        </w:r>
        <w:r>
          <w:rPr/>
          <w:fldChar w:fldCharType="separate"/>
        </w:r>
        <w:r>
          <w:rPr/>
          <w:t>58</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58260913"/>
    </w:sdtPr>
    <w:sdtContent>
      <w:p>
        <w:pPr>
          <w:pStyle w:val="Footer"/>
          <w:spacing w:before="120" w:after="0"/>
          <w:rPr/>
        </w:pPr>
        <w:r>
          <w:rPr/>
          <w:fldChar w:fldCharType="begin"/>
        </w:r>
        <w:r>
          <w:rPr/>
          <w:instrText xml:space="preserve"> PAGE </w:instrText>
        </w:r>
        <w:r>
          <w:rPr/>
          <w:fldChar w:fldCharType="separate"/>
        </w:r>
        <w:r>
          <w:rPr/>
          <w:t>64</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9"/>
        <w:spacing w:before="80" w:after="0"/>
        <w:ind w:left="567" w:hanging="567"/>
        <w:jc w:val="both"/>
        <w:rPr/>
      </w:pPr>
      <w:r>
        <w:rPr>
          <w:rStyle w:val="Style10"/>
        </w:rPr>
        <w:footnoteRef/>
      </w:r>
      <w:r>
        <w:rPr/>
        <w:tab/>
        <w:t>Определенные в соответствии с Законом 422-ФЗ.</w:t>
      </w:r>
    </w:p>
  </w:footnote>
  <w:footnote w:id="3">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9"/>
        <w:spacing w:before="80" w:after="0"/>
        <w:ind w:left="567" w:hanging="567"/>
        <w:jc w:val="both"/>
        <w:rPr/>
      </w:pPr>
      <w:r>
        <w:rPr>
          <w:rStyle w:val="Style10"/>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9"/>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29"/>
        <w:spacing w:before="80" w:after="0"/>
        <w:ind w:left="567" w:hanging="567"/>
        <w:jc w:val="both"/>
        <w:rPr/>
      </w:pPr>
      <w:r>
        <w:rPr>
          <w:rStyle w:val="Style10"/>
        </w:rPr>
        <w:footnoteRef/>
      </w:r>
      <w:r>
        <w:rPr/>
        <w:tab/>
        <w:t>https://minfin.gov.ru/ru/perfomance/tax_relations/policy/bankwarranty/</w:t>
      </w:r>
    </w:p>
  </w:footnote>
  <w:footnote w:id="12">
    <w:p>
      <w:pPr>
        <w:pStyle w:val="Style29"/>
        <w:spacing w:before="80" w:after="0"/>
        <w:ind w:left="567" w:hanging="567"/>
        <w:jc w:val="both"/>
        <w:rPr/>
      </w:pPr>
      <w:r>
        <w:rPr>
          <w:rStyle w:val="Style10"/>
        </w:rPr>
        <w:footnoteRef/>
      </w:r>
      <w:r>
        <w:rPr/>
        <w:tab/>
        <w:t>Коллективный участник предоставляет указанные документы на каждого члена.</w:t>
      </w:r>
    </w:p>
  </w:footnote>
  <w:footnote w:id="13">
    <w:p>
      <w:pPr>
        <w:pStyle w:val="Style29"/>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4">
    <w:p>
      <w:pPr>
        <w:pStyle w:val="Style29"/>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5">
    <w:p>
      <w:pPr>
        <w:pStyle w:val="Style29"/>
        <w:spacing w:before="80" w:after="0"/>
        <w:jc w:val="both"/>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1"/>
      <w:numFmt w:val="decimal"/>
      <w:lvlText w:val="%1."/>
      <w:lvlJc w:val="left"/>
      <w:pPr>
        <w:tabs>
          <w:tab w:val="num" w:pos="1134"/>
        </w:tabs>
        <w:ind w:left="1134" w:hanging="1134"/>
      </w:pPr>
      <w:rPr/>
    </w:lvl>
    <w:lvl w:ilvl="1">
      <w:start w:val="1"/>
      <w:pStyle w:val="Style22"/>
      <w:numFmt w:val="decimal"/>
      <w:lvlText w:val="%1.%2"/>
      <w:lvlJc w:val="left"/>
      <w:pPr>
        <w:tabs>
          <w:tab w:val="num" w:pos="1134"/>
        </w:tabs>
        <w:ind w:left="1134" w:hanging="1134"/>
      </w:pPr>
      <w:rPr/>
    </w:lvl>
    <w:lvl w:ilvl="2">
      <w:start w:val="1"/>
      <w:pStyle w:val="Style23"/>
      <w:numFmt w:val="decimal"/>
      <w:lvlText w:val="%1.%2.%3"/>
      <w:lvlJc w:val="left"/>
      <w:pPr>
        <w:tabs>
          <w:tab w:val="num" w:pos="1134"/>
        </w:tabs>
        <w:ind w:left="1134" w:hanging="1134"/>
      </w:pPr>
      <w:rPr/>
    </w:lvl>
    <w:lvl w:ilvl="3">
      <w:start w:val="1"/>
      <w:pStyle w:val="Style24"/>
      <w:numFmt w:val="russianLower"/>
      <w:lvlText w:val="%4)"/>
      <w:lvlJc w:val="left"/>
      <w:pPr>
        <w:tabs>
          <w:tab w:val="num" w:pos="1701"/>
        </w:tabs>
        <w:ind w:left="1701" w:hanging="567"/>
      </w:pPr>
      <w:rPr/>
    </w:lvl>
    <w:lvl w:ilvl="4">
      <w:start w:val="1"/>
      <w:pStyle w:val="Style25"/>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decimal"/>
      <w:lvlText w:val="(%3.%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lvl>
    <w:lvl w:ilvl="6">
      <w:start w:val="1"/>
      <w:numFmt w:val="none"/>
      <w:suff w:val="nothing"/>
      <w:lvlText w:val="%7."/>
      <w:lvlJc w:val="left"/>
      <w:pPr>
        <w:tabs>
          <w:tab w:val="num" w:pos="0"/>
        </w:tabs>
        <w:ind w:left="1701" w:hanging="0"/>
      </w:pPr>
      <w:rPr/>
    </w:lvl>
    <w:lvl w:ilvl="7">
      <w:start w:val="1"/>
      <w:numFmt w:val="none"/>
      <w:suff w:val="nothing"/>
      <w:lvlText w:val="%8."/>
      <w:lvlJc w:val="left"/>
      <w:pPr>
        <w:tabs>
          <w:tab w:val="num" w:pos="0"/>
        </w:tabs>
        <w:ind w:left="0" w:hanging="0"/>
      </w:pPr>
      <w:rPr>
        <w:sz w:val="22"/>
        <w:spacing w:val="-2"/>
        <w:szCs w:val="22"/>
      </w:rPr>
    </w:lvl>
    <w:lvl w:ilvl="8">
      <w:start w:val="1"/>
      <w:numFmt w:val="none"/>
      <w:suff w:val="nothing"/>
      <w:lvlText w:val="%9."/>
      <w:lvlJc w:val="left"/>
      <w:pPr>
        <w:tabs>
          <w:tab w:val="num" w:pos="0"/>
        </w:tabs>
        <w:ind w:left="1134" w:hanging="0"/>
      </w:pPr>
      <w:rPr/>
    </w:lvl>
  </w:abstractNum>
  <w:abstractNum w:abstractNumId="17">
    <w:lvl w:ilvl="0">
      <w:start w:val="1"/>
      <w:numFmt w:val="bullet"/>
      <w:lvlText w:val="−"/>
      <w:lvlJc w:val="left"/>
      <w:pPr>
        <w:tabs>
          <w:tab w:val="num" w:pos="0"/>
        </w:tabs>
        <w:ind w:left="720" w:hanging="360"/>
      </w:pPr>
      <w:rPr>
        <w:rFonts w:ascii="Times New Roman" w:hAnsi="Times New Roman" w:cs="Times New Roman" w:hint="default"/>
        <w:sz w:val="22"/>
        <w:kern w:val="0"/>
        <w:szCs w:val="22"/>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iPriority w:val="99"/>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1"/>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name w:val="Ссылка указателя"/>
    <w:qFormat/>
    <w:rPr/>
  </w:style>
  <w:style w:type="character" w:styleId="Style16">
    <w:name w:val="комментарий"/>
    <w:qFormat/>
    <w:rPr>
      <w:b/>
      <w:i/>
      <w:shd w:fill="FFFF99" w:val="clear"/>
    </w:rPr>
  </w:style>
  <w:style w:type="character" w:styleId="Style17">
    <w:name w:val="Основной шрифт абзаца"/>
    <w:qForma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rFonts w:ascii="Times New Roman" w:hAnsi="Times New Roman" w:cs="Times New Roman"/>
    </w:rPr>
  </w:style>
  <w:style w:type="character" w:styleId="WW8Num4z5">
    <w:name w:val="WW8Num4z5"/>
    <w:qFormat/>
    <w:rPr/>
  </w:style>
  <w:style w:type="character" w:styleId="WW8Num4z6">
    <w:name w:val="WW8Num4z6"/>
    <w:qFormat/>
    <w:rPr/>
  </w:style>
  <w:style w:type="character" w:styleId="WW8Num4z7">
    <w:name w:val="WW8Num4z7"/>
    <w:qFormat/>
    <w:rPr>
      <w:spacing w:val="-2"/>
      <w:sz w:val="22"/>
      <w:szCs w:val="22"/>
    </w:rPr>
  </w:style>
  <w:style w:type="character" w:styleId="WW8Num4z8">
    <w:name w:val="WW8Num4z8"/>
    <w:qFormat/>
    <w:rPr/>
  </w:style>
  <w:style w:type="character" w:styleId="WW8Num3z0">
    <w:name w:val="WW8Num3z0"/>
    <w:qFormat/>
    <w:rPr>
      <w:rFonts w:ascii="Times New Roman" w:hAnsi="Times New Roman" w:eastAsia="Calibri" w:cs="Times New Roman"/>
      <w:kern w:val="0"/>
      <w:sz w:val="22"/>
      <w:szCs w:val="22"/>
      <w:lang w:val="ru-RU" w:eastAsia="en-US" w:bidi="ar-SA"/>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FootnoteReference1">
    <w:name w:val="Footnote Reference1"/>
    <w:qFormat/>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Style21" w:customStyle="1">
    <w:name w:val="[РГ] Раздел"/>
    <w:basedOn w:val="Normal"/>
    <w:next w:val="Style22"/>
    <w:qFormat/>
    <w:rsid w:val="00c95e18"/>
    <w:pPr>
      <w:keepNext w:val="true"/>
      <w:pageBreakBefore/>
      <w:numPr>
        <w:ilvl w:val="0"/>
        <w:numId w:val="1"/>
      </w:numPr>
      <w:spacing w:before="0" w:after="360"/>
      <w:jc w:val="both"/>
      <w:outlineLvl w:val="0"/>
    </w:pPr>
    <w:rPr>
      <w:b/>
      <w:bCs/>
      <w:caps/>
    </w:rPr>
  </w:style>
  <w:style w:type="paragraph" w:styleId="Style22" w:customStyle="1">
    <w:name w:val="[РГ] Подраздел"/>
    <w:basedOn w:val="Normal"/>
    <w:next w:val="Style23"/>
    <w:qFormat/>
    <w:rsid w:val="00891546"/>
    <w:pPr>
      <w:keepNext w:val="true"/>
      <w:numPr>
        <w:ilvl w:val="1"/>
        <w:numId w:val="1"/>
      </w:numPr>
      <w:spacing w:before="360" w:after="0"/>
      <w:jc w:val="both"/>
      <w:outlineLvl w:val="1"/>
    </w:pPr>
    <w:rPr>
      <w:b/>
      <w:bCs/>
    </w:rPr>
  </w:style>
  <w:style w:type="paragraph" w:styleId="Style23" w:customStyle="1">
    <w:name w:val="[РГ] Пункт"/>
    <w:basedOn w:val="Normal"/>
    <w:qFormat/>
    <w:rsid w:val="00891546"/>
    <w:pPr>
      <w:numPr>
        <w:ilvl w:val="2"/>
        <w:numId w:val="1"/>
      </w:numPr>
      <w:jc w:val="both"/>
      <w:outlineLvl w:val="2"/>
    </w:pPr>
    <w:rPr/>
  </w:style>
  <w:style w:type="paragraph" w:styleId="Style24" w:customStyle="1">
    <w:name w:val="[РГ] Подпункт"/>
    <w:basedOn w:val="Normal"/>
    <w:qFormat/>
    <w:rsid w:val="00891546"/>
    <w:pPr>
      <w:numPr>
        <w:ilvl w:val="3"/>
        <w:numId w:val="1"/>
      </w:numPr>
      <w:jc w:val="both"/>
      <w:outlineLvl w:val="3"/>
    </w:pPr>
    <w:rPr/>
  </w:style>
  <w:style w:type="paragraph" w:styleId="Style25" w:customStyle="1">
    <w:name w:val="[РГ] Перечисление"/>
    <w:basedOn w:val="Normal"/>
    <w:qFormat/>
    <w:rsid w:val="00891546"/>
    <w:pPr>
      <w:numPr>
        <w:ilvl w:val="4"/>
        <w:numId w:val="1"/>
      </w:numPr>
      <w:jc w:val="both"/>
      <w:outlineLvl w:val="4"/>
    </w:pPr>
    <w:rPr/>
  </w:style>
  <w:style w:type="paragraph" w:styleId="Style26" w:customStyle="1">
    <w:name w:val="[РГ] Заголовок"/>
    <w:basedOn w:val="Normal"/>
    <w:next w:val="Style27"/>
    <w:qFormat/>
    <w:rsid w:val="00f87384"/>
    <w:pPr>
      <w:keepNext w:val="true"/>
      <w:pageBreakBefore/>
      <w:spacing w:before="0" w:after="360"/>
      <w:jc w:val="both"/>
    </w:pPr>
    <w:rPr>
      <w:b/>
      <w:bCs/>
      <w:caps/>
    </w:rPr>
  </w:style>
  <w:style w:type="paragraph" w:styleId="Style27" w:customStyle="1">
    <w:name w:val="[РГ] Текст"/>
    <w:basedOn w:val="Normal"/>
    <w:qFormat/>
    <w:rsid w:val="00891546"/>
    <w:pPr>
      <w:jc w:val="both"/>
    </w:pPr>
    <w:rPr/>
  </w:style>
  <w:style w:type="paragraph" w:styleId="Style28">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29"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0" w:customStyle="1">
    <w:name w:val="[РГ] Альтернатива / Дополнение"/>
    <w:basedOn w:val="Style27"/>
    <w:next w:val="Style27"/>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1" w:customStyle="1">
    <w:name w:val="Пункт"/>
    <w:basedOn w:val="Normal"/>
    <w:link w:val="2"/>
    <w:qFormat/>
    <w:rsid w:val="00493761"/>
    <w:pPr>
      <w:numPr>
        <w:ilvl w:val="2"/>
        <w:numId w:val="10"/>
      </w:numPr>
      <w:jc w:val="both"/>
    </w:pPr>
    <w:rPr>
      <w:rFonts w:eastAsia="Times New Roman" w:cs="Times New Roman"/>
      <w:szCs w:val="26"/>
      <w:lang w:eastAsia="ru-RU"/>
    </w:rPr>
  </w:style>
  <w:style w:type="paragraph" w:styleId="Style32" w:customStyle="1">
    <w:name w:val="Подпункт"/>
    <w:basedOn w:val="Style31"/>
    <w:qFormat/>
    <w:rsid w:val="00493761"/>
    <w:pPr>
      <w:numPr>
        <w:ilvl w:val="3"/>
      </w:numPr>
      <w:tabs>
        <w:tab w:val="clear" w:pos="708"/>
      </w:tabs>
      <w:ind w:left="2880" w:hanging="360"/>
    </w:pPr>
    <w:rPr/>
  </w:style>
  <w:style w:type="paragraph" w:styleId="Style33" w:customStyle="1">
    <w:name w:val="Подподпункт"/>
    <w:basedOn w:val="Style32"/>
    <w:qFormat/>
    <w:rsid w:val="00493761"/>
    <w:pPr>
      <w:numPr>
        <w:ilvl w:val="4"/>
      </w:numPr>
      <w:ind w:left="3600" w:hanging="360"/>
    </w:pPr>
    <w:rPr/>
  </w:style>
  <w:style w:type="paragraph" w:styleId="Tableheader">
    <w:name w:val="Table_header"/>
    <w:basedOn w:val="Normal"/>
    <w:qFormat/>
    <w:pPr/>
    <w:rPr>
      <w:b/>
      <w:sz w:val="20"/>
      <w:szCs w:val="24"/>
    </w:rPr>
  </w:style>
  <w:style w:type="paragraph" w:styleId="Style34">
    <w:name w:val="Обычный"/>
    <w:qFormat/>
    <w:pPr>
      <w:widowControl/>
      <w:suppressAutoHyphens w:val="true"/>
      <w:bidi w:val="0"/>
      <w:spacing w:before="120" w:after="0"/>
      <w:jc w:val="left"/>
    </w:pPr>
    <w:rPr>
      <w:rFonts w:ascii="Times New Roman" w:hAnsi="Times New Roman" w:eastAsia="Calibri" w:cs="" w:cstheme="minorBidi" w:eastAsiaTheme="minorHAnsi"/>
      <w:color w:val="auto"/>
      <w:kern w:val="0"/>
      <w:sz w:val="28"/>
      <w:szCs w:val="28"/>
      <w:lang w:val="ru-RU" w:eastAsia="en-US" w:bidi="ar-SA"/>
    </w:rPr>
  </w:style>
  <w:style w:type="paragraph" w:styleId="Western">
    <w:name w:val="western"/>
    <w:basedOn w:val="Normal"/>
    <w:qFormat/>
    <w:pPr>
      <w:spacing w:before="100" w:after="100"/>
    </w:pPr>
    <w:rPr/>
  </w:style>
  <w:style w:type="paragraph" w:styleId="NormalWeb">
    <w:name w:val="Normal (Web)"/>
    <w:basedOn w:val="Normal"/>
    <w:qFormat/>
    <w:pPr>
      <w:spacing w:lineRule="auto" w:line="276" w:before="100" w:after="142"/>
    </w:pPr>
    <w:rPr>
      <w:color w:val="000000"/>
    </w:rPr>
  </w:style>
  <w:style w:type="numbering" w:styleId="NoList" w:default="1">
    <w:name w:val="No List"/>
    <w:uiPriority w:val="99"/>
    <w:semiHidden/>
    <w:unhideWhenUsed/>
    <w:qFormat/>
  </w:style>
  <w:style w:type="numbering" w:styleId="WW8Num4">
    <w:name w:val="WW8Num4"/>
    <w:qFormat/>
  </w:style>
  <w:style w:type="numbering" w:styleId="WW8Num3">
    <w:name w:val="WW8Num3"/>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8">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9">
    <w:name w:val="Table Grid"/>
    <w:basedOn w:val="a9"/>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tender.lot-online.ru/" TargetMode="External"/><Relationship Id="rId4" Type="http://schemas.openxmlformats.org/officeDocument/2006/relationships/hyperlink" Target="https://tender.lot-online.ru/app/EtpDocList/page" TargetMode="External"/><Relationship Id="rId5" Type="http://schemas.openxmlformats.org/officeDocument/2006/relationships/hyperlink" Target="mailto:ignatova-ta@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2.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reestr.nostroy.ru/" TargetMode="External"/><Relationship Id="rId19" Type="http://schemas.openxmlformats.org/officeDocument/2006/relationships/hyperlink" Target="http://reestr.nostroy.ru/" TargetMode="External"/><Relationship Id="rId20" Type="http://schemas.openxmlformats.org/officeDocument/2006/relationships/hyperlink" Target="http://reestr.nostroy.ru/" TargetMode="External"/><Relationship Id="rId21" Type="http://schemas.openxmlformats.org/officeDocument/2006/relationships/hyperlink" Target="http://reestr.nostroy.ru/" TargetMode="External"/><Relationship Id="rId22" Type="http://schemas.openxmlformats.org/officeDocument/2006/relationships/hyperlink" Target="http://reestr.nostroy.ru/" TargetMode="External"/><Relationship Id="rId23" Type="http://schemas.openxmlformats.org/officeDocument/2006/relationships/hyperlink" Target="http://reestr.nostroy.ru/" TargetMode="External"/><Relationship Id="rId24" Type="http://schemas.openxmlformats.org/officeDocument/2006/relationships/hyperlink" Target="http://reestr.nostroy.ru/" TargetMode="External"/><Relationship Id="rId25" Type="http://schemas.openxmlformats.org/officeDocument/2006/relationships/hyperlink" Target="http://reestr.nostroy.ru/" TargetMode="External"/><Relationship Id="rId26" Type="http://schemas.openxmlformats.org/officeDocument/2006/relationships/header" Target="header6.xml"/><Relationship Id="rId27" Type="http://schemas.openxmlformats.org/officeDocument/2006/relationships/header" Target="header7.xml"/><Relationship Id="rId28" Type="http://schemas.openxmlformats.org/officeDocument/2006/relationships/footer" Target="footer6.xml"/><Relationship Id="rId29" Type="http://schemas.openxmlformats.org/officeDocument/2006/relationships/footer" Target="footer7.xml"/><Relationship Id="rId30" Type="http://schemas.openxmlformats.org/officeDocument/2006/relationships/package" Target="embeddings/oleObject2.docx"/><Relationship Id="rId31" Type="http://schemas.openxmlformats.org/officeDocument/2006/relationships/image" Target="media/image3.wmf"/><Relationship Id="rId32" Type="http://schemas.openxmlformats.org/officeDocument/2006/relationships/package" Target="embeddings/oleObject3.docx"/><Relationship Id="rId33" Type="http://schemas.openxmlformats.org/officeDocument/2006/relationships/image" Target="media/image4.wmf"/><Relationship Id="rId34" Type="http://schemas.openxmlformats.org/officeDocument/2006/relationships/header" Target="header8.xml"/><Relationship Id="rId35" Type="http://schemas.openxmlformats.org/officeDocument/2006/relationships/header" Target="header9.xml"/><Relationship Id="rId36" Type="http://schemas.openxmlformats.org/officeDocument/2006/relationships/footer" Target="footer8.xml"/><Relationship Id="rId37" Type="http://schemas.openxmlformats.org/officeDocument/2006/relationships/footer" Target="footer9.xml"/><Relationship Id="rId38" Type="http://schemas.openxmlformats.org/officeDocument/2006/relationships/header" Target="header10.xml"/><Relationship Id="rId39" Type="http://schemas.openxmlformats.org/officeDocument/2006/relationships/header" Target="header11.xml"/><Relationship Id="rId40" Type="http://schemas.openxmlformats.org/officeDocument/2006/relationships/footer" Target="footer10.xml"/><Relationship Id="rId41" Type="http://schemas.openxmlformats.org/officeDocument/2006/relationships/footer" Target="footer11.xml"/><Relationship Id="rId42" Type="http://schemas.openxmlformats.org/officeDocument/2006/relationships/header" Target="header12.xml"/><Relationship Id="rId43" Type="http://schemas.openxmlformats.org/officeDocument/2006/relationships/header" Target="header13.xml"/><Relationship Id="rId44" Type="http://schemas.openxmlformats.org/officeDocument/2006/relationships/footer" Target="footer12.xml"/><Relationship Id="rId45" Type="http://schemas.openxmlformats.org/officeDocument/2006/relationships/footer" Target="footer13.xml"/><Relationship Id="rId46" Type="http://schemas.openxmlformats.org/officeDocument/2006/relationships/package" Target="embeddings/oleObject4.xlsx"/><Relationship Id="rId47" Type="http://schemas.openxmlformats.org/officeDocument/2006/relationships/image" Target="media/image5.wmf"/><Relationship Id="rId48" Type="http://schemas.openxmlformats.org/officeDocument/2006/relationships/header" Target="header14.xml"/><Relationship Id="rId49" Type="http://schemas.openxmlformats.org/officeDocument/2006/relationships/header" Target="header15.xml"/><Relationship Id="rId50" Type="http://schemas.openxmlformats.org/officeDocument/2006/relationships/footer" Target="footer14.xml"/><Relationship Id="rId51" Type="http://schemas.openxmlformats.org/officeDocument/2006/relationships/footer" Target="footer15.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Relationship Id="rId5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DA28-9E38-4535-9CFF-6A40A405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Application>AlterOffice/3.3.1.3$Linux_X86_64 LibreOffice_project/90d829a0d92d6015ad4fa014ce4f460a7fe6c0ba</Application>
  <AppVersion>15.0000</AppVersion>
  <Pages>81</Pages>
  <Words>19044</Words>
  <Characters>131879</Characters>
  <CharactersWithSpaces>147891</CharactersWithSpaces>
  <Paragraphs>1139</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ignatova_ta</cp:lastModifiedBy>
  <cp:lastPrinted>2026-07-13T16:47:25Z</cp:lastPrinted>
  <dcterms:modified xsi:type="dcterms:W3CDTF">2026-07-14T11:05:08Z</dcterms:modified>
  <cp:revision>130</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