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  <w:b/>
          <w:bCs/>
        </w:rPr>
      </w:pPr>
      <w:r>
        <w:rPr>
          <w:b/>
          <w:bCs/>
        </w:rPr>
        <w:t xml:space="preserve">Технические требования на поставку </w:t>
      </w:r>
      <w:r>
        <w:rPr>
          <w:b/>
          <w:bCs/>
        </w:rPr>
        <w:t>Предупредительных</w:t>
      </w:r>
      <w:r>
        <w:rPr>
          <w:b/>
          <w:bCs/>
        </w:rPr>
        <w:t xml:space="preserve"> знаков</w:t>
      </w:r>
    </w:p>
    <w:p>
      <w:pPr>
        <w:pStyle w:val="Normal"/>
        <w:jc w:val="center"/>
        <w:rPr>
          <w:rFonts w:ascii="Liberation Serif" w:hAnsi="Liberation Serif"/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>ОК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 xml:space="preserve">ПД2 </w:t>
      </w:r>
      <w:r>
        <w:rPr>
          <w:rStyle w:val="Strong"/>
          <w:b w:val="false"/>
          <w:bCs w:val="false"/>
          <w:shd w:fill="auto" w:val="clear"/>
        </w:rPr>
        <w:t>25.99.29.190</w:t>
      </w:r>
      <w:r>
        <w:rPr>
          <w:b w:val="false"/>
          <w:bCs w:val="false"/>
          <w:shd w:fill="auto" w:val="clear"/>
        </w:rPr>
        <w:t> </w:t>
      </w:r>
      <w:r>
        <w:rPr>
          <w:b w:val="false"/>
          <w:bCs w:val="false"/>
          <w:shd w:fill="auto" w:val="clear"/>
        </w:rPr>
        <w:t>П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>р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иобретение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предупредительных знаков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для подстанций ПС 220 кВ КС-3, ПС 110 кВ КС-4, ПС 220 кВ КС-5, ПС 110 кВ Алдан»</w:t>
      </w:r>
    </w:p>
    <w:p>
      <w:pPr>
        <w:pStyle w:val="Normal"/>
        <w:jc w:val="center"/>
        <w:rPr>
          <w:rFonts w:ascii="Liberation Serif" w:hAnsi="Liberation Serif"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center"/>
        <w:rPr>
          <w:rFonts w:ascii="Liberation Serif" w:hAnsi="Liberation Serif"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ЛОТ ___________________________</w:t>
      </w:r>
    </w:p>
    <w:p>
      <w:pPr>
        <w:pStyle w:val="Normal"/>
        <w:jc w:val="center"/>
        <w:rPr>
          <w:rFonts w:ascii="Liberation Serif" w:hAnsi="Liberation Serif"/>
          <w:b/>
          <w:bCs/>
          <w:i/>
          <w:i/>
          <w:iCs/>
        </w:rPr>
      </w:pPr>
      <w:r>
        <w:rPr>
          <w:b/>
          <w:bCs/>
          <w:i/>
          <w:iCs/>
        </w:rPr>
      </w:r>
      <w:r>
        <w:br w:type="page"/>
      </w:r>
    </w:p>
    <w:p>
      <w:pPr>
        <w:pStyle w:val="Normal"/>
        <w:jc w:val="center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1. Общие сведения</w:t>
      </w:r>
    </w:p>
    <w:p>
      <w:pPr>
        <w:pStyle w:val="Normal"/>
        <w:ind w:left="0" w:right="0" w:firstLine="85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Настоящее приложение определяет требования к составу поставляемых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предупредительных знаков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подстанций ПС 220 кВ КС-3, ПС 110 кВ КС-4, ПС 220 кВ КС-5, ПС 110 кВ Алдан в количестве 4 комплекта».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1.1. Обозначения и сокращения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tbl>
      <w:tblPr>
        <w:tblW w:w="13664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32"/>
        <w:gridCol w:w="11632"/>
      </w:tblGrid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БПЛА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Беспилотный летательный аппарат</w:t>
            </w:r>
          </w:p>
        </w:tc>
      </w:tr>
      <w:tr>
        <w:trPr/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1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Подстанция</w:t>
            </w:r>
          </w:p>
        </w:tc>
      </w:tr>
      <w:tr>
        <w:trPr/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Компрессорная станция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туки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УПД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Ед.измер.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Ват</w:t>
            </w:r>
            <w:r>
              <w:rPr>
                <w:color w:val="000000"/>
                <w:sz w:val="24"/>
                <w:szCs w:val="24"/>
              </w:rPr>
              <w:t>т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рограммное обеспечение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МГц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Мегагерц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рограммно-аппаратный комплекс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перационная система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ФСБ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Федеральная служба безопасности России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ГРЧЦ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радиочастотный центр </w:t>
            </w:r>
          </w:p>
        </w:tc>
      </w:tr>
    </w:tbl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1.2.</w:t>
        <w:tab/>
        <w:t>Наименование закупаемой продукции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ab/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Предупредительные знаки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подстанций.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1.3.</w:t>
        <w:tab/>
        <w:t>Цель закупки и назначение поставляемого оборудования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Соблюдение требований законодательства Российской Федерации в области защиты </w:t>
      </w:r>
      <w:r>
        <w:rPr>
          <w:b w:val="false"/>
          <w:bCs w:val="false"/>
          <w:i w:val="false"/>
          <w:iCs w:val="false"/>
        </w:rPr>
        <w:t xml:space="preserve">энергетических объектов </w:t>
      </w:r>
      <w:r>
        <w:rPr>
          <w:b w:val="false"/>
          <w:bCs w:val="false"/>
          <w:i w:val="false"/>
          <w:iCs w:val="false"/>
        </w:rPr>
        <w:t xml:space="preserve">от </w:t>
      </w:r>
      <w:r>
        <w:rPr>
          <w:b w:val="false"/>
          <w:bCs w:val="false"/>
          <w:i w:val="false"/>
          <w:iCs w:val="false"/>
        </w:rPr>
        <w:t>повреждени</w:t>
      </w:r>
      <w:r>
        <w:rPr>
          <w:b w:val="false"/>
          <w:bCs w:val="false"/>
          <w:i w:val="false"/>
          <w:iCs w:val="false"/>
        </w:rPr>
        <w:t>я</w:t>
      </w:r>
      <w:r>
        <w:rPr>
          <w:b w:val="false"/>
          <w:bCs w:val="false"/>
          <w:i w:val="false"/>
          <w:iCs w:val="false"/>
        </w:rPr>
        <w:t xml:space="preserve"> или уничтожени</w:t>
      </w:r>
      <w:r>
        <w:rPr>
          <w:b w:val="false"/>
          <w:bCs w:val="false"/>
          <w:i w:val="false"/>
          <w:iCs w:val="false"/>
        </w:rPr>
        <w:t>я</w:t>
      </w:r>
      <w:r>
        <w:rPr>
          <w:b w:val="false"/>
          <w:bCs w:val="false"/>
          <w:i w:val="false"/>
          <w:iCs w:val="false"/>
        </w:rPr>
        <w:t xml:space="preserve">.  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Назначением поставляемого оборудования является </w:t>
      </w:r>
      <w:r>
        <w:rPr>
          <w:b w:val="false"/>
          <w:bCs w:val="false"/>
          <w:i w:val="false"/>
          <w:iCs w:val="false"/>
        </w:rPr>
        <w:t xml:space="preserve">предупреждения </w:t>
      </w:r>
      <w:r>
        <w:rPr>
          <w:b w:val="false"/>
          <w:bCs w:val="false"/>
          <w:i w:val="false"/>
          <w:iCs w:val="false"/>
        </w:rPr>
        <w:t xml:space="preserve">от стороннего воздействия </w:t>
      </w:r>
      <w:r>
        <w:rPr>
          <w:b w:val="false"/>
          <w:bCs w:val="false"/>
          <w:i w:val="false"/>
          <w:iCs w:val="false"/>
        </w:rPr>
        <w:t xml:space="preserve">на </w:t>
      </w:r>
      <w:r>
        <w:rPr>
          <w:b w:val="false"/>
          <w:bCs w:val="false"/>
          <w:i w:val="false"/>
          <w:iCs w:val="false"/>
        </w:rPr>
        <w:t>объект</w:t>
      </w:r>
      <w:r>
        <w:rPr>
          <w:b w:val="false"/>
          <w:bCs w:val="false"/>
          <w:i w:val="false"/>
          <w:iCs w:val="false"/>
        </w:rPr>
        <w:t>ы</w:t>
      </w:r>
      <w:r>
        <w:rPr>
          <w:b w:val="false"/>
          <w:bCs w:val="false"/>
          <w:i w:val="false"/>
          <w:iCs w:val="false"/>
        </w:rPr>
        <w:t xml:space="preserve"> энергетики.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Предупредительные знаки </w:t>
      </w:r>
      <w:r>
        <w:rPr>
          <w:b w:val="false"/>
          <w:bCs w:val="false"/>
          <w:i w:val="false"/>
          <w:iCs w:val="false"/>
        </w:rPr>
        <w:t xml:space="preserve">должно </w:t>
      </w:r>
      <w:r>
        <w:rPr>
          <w:b w:val="false"/>
          <w:bCs w:val="false"/>
          <w:i w:val="false"/>
          <w:iCs w:val="false"/>
        </w:rPr>
        <w:t xml:space="preserve">ставятся на внешней стороне ограждения для информирования о запрете перемещения в пределах охранной зоны объекта. 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 Требования к продукции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2.1. Требования к объемам и срокам поставки</w:t>
      </w:r>
    </w:p>
    <w:p>
      <w:pPr>
        <w:pStyle w:val="Heading1"/>
        <w:ind w:left="0" w:right="0" w:hanging="0"/>
        <w:jc w:val="both"/>
        <w:rPr>
          <w:rFonts w:ascii="Liberation Serif" w:hAnsi="Liberation Serif"/>
          <w:b/>
          <w:bCs/>
          <w:i w:val="false"/>
          <w:i w:val="false"/>
          <w:iCs w:val="false"/>
          <w:color w:val="000000"/>
          <w:sz w:val="24"/>
          <w:szCs w:val="24"/>
        </w:rPr>
      </w:pPr>
      <w:bookmarkStart w:id="0" w:name="_Toc75446576"/>
      <w:bookmarkStart w:id="1" w:name="_Toc51339695"/>
      <w:bookmarkEnd w:id="0"/>
      <w:bookmarkEnd w:id="1"/>
      <w:r>
        <w:rPr>
          <w:b/>
          <w:bCs/>
          <w:i w:val="false"/>
          <w:iCs w:val="false"/>
          <w:color w:val="000000"/>
          <w:sz w:val="24"/>
          <w:szCs w:val="24"/>
        </w:rPr>
        <w:t>Таблица 1. Перечень и объем закупаемой продукции</w:t>
      </w:r>
    </w:p>
    <w:tbl>
      <w:tblPr>
        <w:tblW w:w="14570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9"/>
        <w:gridCol w:w="10202"/>
        <w:gridCol w:w="1578"/>
        <w:gridCol w:w="1331"/>
      </w:tblGrid>
      <w:tr>
        <w:trPr/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Требование Заказчика</w:t>
            </w:r>
            <w:r>
              <w:rPr>
                <w:rStyle w:val="FootnoteReference"/>
                <w:b/>
                <w:color w:val="000000"/>
                <w:sz w:val="24"/>
                <w:szCs w:val="24"/>
              </w:rPr>
              <w:footnoteReference w:customMarkFollows="1" w:id="2"/>
              <w:t>1</w:t>
            </w:r>
          </w:p>
        </w:tc>
      </w:tr>
      <w:tr>
        <w:trPr/>
        <w:tc>
          <w:tcPr>
            <w:tcW w:w="1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Предупредительные знаки с надписью «Запретная зона! Проход (проезд) запрещен (закрыт)»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Предупредительные знаки с надписью «Внимание! Охраняемая территория»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>
      <w:pPr>
        <w:pStyle w:val="BodyText"/>
        <w:spacing w:before="0" w:after="0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2.1.1. Требования к срокам поставки продукции</w:t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BodyText"/>
        <w:spacing w:lineRule="auto" w:line="276" w:before="0" w:after="0"/>
        <w:ind w:left="0" w:right="0" w:hanging="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Таблица 2 Требования по срокам поставки продукции</w:t>
      </w:r>
    </w:p>
    <w:tbl>
      <w:tblPr>
        <w:tblW w:w="14570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9"/>
        <w:gridCol w:w="5521"/>
        <w:gridCol w:w="2760"/>
        <w:gridCol w:w="4830"/>
      </w:tblGrid>
      <w:tr>
        <w:trPr/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</w:t>
            </w:r>
            <w:r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40" w:after="40"/>
              <w:ind w:left="57" w:right="57" w:hanging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40" w:after="40"/>
              <w:ind w:left="57" w:right="57" w:hanging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tabs>
                <w:tab w:val="clear" w:pos="709"/>
              </w:tabs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Предупредительные знаки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 (</w:t>
            </w:r>
            <w:r>
              <w:rPr>
                <w:color w:val="000000"/>
                <w:sz w:val="24"/>
                <w:szCs w:val="24"/>
              </w:rPr>
              <w:t>три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цати</w:t>
            </w:r>
            <w:r>
              <w:rPr>
                <w:color w:val="000000"/>
                <w:sz w:val="24"/>
                <w:szCs w:val="24"/>
              </w:rPr>
              <w:t>) календарных дней с даты подписания договора.</w:t>
            </w:r>
          </w:p>
        </w:tc>
      </w:tr>
    </w:tbl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2.2. Требования к качеству продукции</w:t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</w:r>
    </w:p>
    <w:p>
      <w:pPr>
        <w:pStyle w:val="BodyText"/>
        <w:spacing w:lineRule="auto" w:line="276" w:before="0" w:after="0"/>
        <w:ind w:left="0" w:right="0" w:hanging="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  <w:t>Таблица </w:t>
      </w:r>
      <w:r>
        <w:rPr>
          <w:b/>
          <w:bCs/>
          <w:i w:val="false"/>
          <w:iCs w:val="false"/>
          <w:shd w:fill="auto" w:val="clear"/>
        </w:rPr>
        <w:t>3</w:t>
      </w:r>
      <w:r>
        <w:rPr>
          <w:b/>
          <w:bCs/>
          <w:i w:val="false"/>
          <w:iCs w:val="false"/>
          <w:shd w:fill="auto" w:val="clear"/>
        </w:rPr>
        <w:t xml:space="preserve">. Требования к продукции </w:t>
      </w:r>
    </w:p>
    <w:tbl>
      <w:tblPr>
        <w:tblW w:w="14575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89"/>
        <w:gridCol w:w="3792"/>
        <w:gridCol w:w="184"/>
        <w:gridCol w:w="3805"/>
        <w:gridCol w:w="1636"/>
        <w:gridCol w:w="1896"/>
        <w:gridCol w:w="1773"/>
      </w:tblGrid>
      <w:tr>
        <w:trPr/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Наименование параметра</w:t>
            </w:r>
          </w:p>
        </w:tc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Требование заказчика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Способ подтверждения участником соответствия требованиям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Согласие с требованием/указание характеристик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uppressLineNumbers/>
              <w:pBdr/>
              <w:spacing w:before="0" w:after="0"/>
              <w:ind w:left="-113" w:right="0" w:hanging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60" w:after="60"/>
              <w:ind w:left="-113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локиратор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дронов 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  <w:r>
              <w:rPr>
                <w:sz w:val="24"/>
                <w:szCs w:val="24"/>
                <w:shd w:fill="auto" w:val="clear"/>
              </w:rPr>
              <w:t>1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Материал изготовления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Листовой металл или композиционный материал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  <w:r>
              <w:rPr>
                <w:sz w:val="24"/>
                <w:szCs w:val="24"/>
                <w:shd w:fill="auto" w:val="clear"/>
              </w:rPr>
              <w:t>2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Надписи делаются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 русском языке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  <w:r>
              <w:rPr>
                <w:sz w:val="24"/>
                <w:szCs w:val="24"/>
                <w:shd w:fill="auto" w:val="clear"/>
              </w:rPr>
              <w:t>3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Размер предупредительного знака, мм.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600 х 300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1.4.</w:t>
            </w:r>
          </w:p>
        </w:tc>
        <w:tc>
          <w:tcPr>
            <w:tcW w:w="7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Цветовые решения</w:t>
            </w:r>
          </w:p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1.5.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Фон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Желтый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  <w:r>
              <w:rPr>
                <w:sz w:val="24"/>
                <w:szCs w:val="24"/>
                <w:shd w:fill="auto" w:val="clear"/>
              </w:rPr>
              <w:t>6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Надпись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Черный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Оконтовка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Красный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227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2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.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20" w:after="0"/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Требования к гарантиям, гарантийному и послегарантийному обслуживанию и технической поддержки</w:t>
            </w:r>
          </w:p>
          <w:p>
            <w:pPr>
              <w:pStyle w:val="Style14"/>
              <w:pBdr/>
              <w:spacing w:before="20" w:after="0"/>
              <w:jc w:val="both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tabs>
                <w:tab w:val="clear" w:pos="709"/>
              </w:tabs>
              <w:spacing w:before="0" w:after="0"/>
              <w:ind w:left="-113" w:right="0" w:hanging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sz w:val="24"/>
                <w:szCs w:val="24"/>
                <w:shd w:fill="auto" w:val="clear"/>
              </w:rPr>
              <w:t>2</w:t>
            </w:r>
            <w:r>
              <w:rPr>
                <w:sz w:val="24"/>
                <w:szCs w:val="24"/>
                <w:shd w:fill="auto" w:val="clear"/>
              </w:rPr>
              <w:t>.1.</w:t>
            </w:r>
            <w:r>
              <w:rPr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Срок гарантии на поставляем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ые предупредительные знаки 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i/>
                <w:color w:val="000000"/>
                <w:sz w:val="24"/>
                <w:szCs w:val="24"/>
                <w:shd w:fill="auto" w:val="clear"/>
              </w:rPr>
              <w:t xml:space="preserve">Не менее 12 месяцев </w:t>
            </w:r>
          </w:p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Время начала исчисления гарантийного срока с момента подписания ТОРГ-12 или УПД.</w:t>
            </w:r>
          </w:p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Установленный в отношении Товара гарантийный срок распространяется на все его составляющие части (комплектующие изделия)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срок гарантии на продукцию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4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-57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3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сроку выпуска продукции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227" w:right="0" w:hanging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</w:t>
            </w:r>
            <w:r>
              <w:rPr>
                <w:sz w:val="24"/>
                <w:szCs w:val="24"/>
                <w:shd w:fill="auto" w:val="clear"/>
              </w:rPr>
              <w:t>.1.</w:t>
            </w:r>
            <w:r>
              <w:rPr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7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jc w:val="left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Продукция должна быть новой 202</w:t>
            </w:r>
            <w:r>
              <w:rPr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гг. выпуска и ранее неиспользованной. (Под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срок изготовления предлагаемой продукции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-113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4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.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Требование к доставке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tabs>
                <w:tab w:val="clear" w:pos="709"/>
              </w:tabs>
              <w:spacing w:before="0" w:after="0"/>
              <w:ind w:left="-113" w:right="0" w:hanging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  </w:t>
            </w:r>
            <w:r>
              <w:rPr>
                <w:sz w:val="24"/>
                <w:szCs w:val="24"/>
                <w:shd w:fill="auto" w:val="clear"/>
              </w:rPr>
              <w:t>4</w:t>
            </w:r>
            <w:r>
              <w:rPr>
                <w:sz w:val="24"/>
                <w:szCs w:val="24"/>
                <w:shd w:fill="auto" w:val="clear"/>
              </w:rPr>
              <w:t>.1.</w:t>
            </w:r>
            <w:r>
              <w:rPr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ind w:left="0" w:right="145" w:hanging="0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Место поставки Оборудования связи.</w:t>
            </w:r>
          </w:p>
        </w:tc>
        <w:tc>
          <w:tcPr>
            <w:tcW w:w="3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67890</w:t>
            </w:r>
            <w:r>
              <w:rPr>
                <w:color w:val="000000"/>
                <w:sz w:val="24"/>
                <w:szCs w:val="24"/>
                <w:shd w:fill="auto" w:val="clear"/>
              </w:rPr>
              <w:t>0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, г. Алдан, ул. </w:t>
            </w:r>
            <w:r>
              <w:rPr>
                <w:color w:val="000000"/>
                <w:sz w:val="24"/>
                <w:szCs w:val="24"/>
                <w:shd w:fill="auto" w:val="clear"/>
              </w:rPr>
              <w:t>Тарабукина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, д. </w:t>
            </w:r>
            <w:r>
              <w:rPr>
                <w:color w:val="000000"/>
                <w:sz w:val="24"/>
                <w:szCs w:val="24"/>
                <w:shd w:fill="auto" w:val="clear"/>
              </w:rPr>
              <w:t>60а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</w:tbl>
    <w:p>
      <w:pPr>
        <w:pStyle w:val="BodyText"/>
        <w:spacing w:before="0" w:after="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</w:r>
      <w:r>
        <w:br w:type="page"/>
      </w:r>
    </w:p>
    <w:p>
      <w:pPr>
        <w:pStyle w:val="Heading1"/>
        <w:spacing w:before="0" w:after="0"/>
        <w:jc w:val="center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bookmarkStart w:id="2" w:name="_Toc75446583"/>
      <w:bookmarkStart w:id="3" w:name="_Toc46743519"/>
      <w:bookmarkStart w:id="4" w:name="_Toc51339699"/>
      <w:bookmarkStart w:id="5" w:name="_Toc53393312"/>
      <w:bookmarkEnd w:id="2"/>
      <w:bookmarkEnd w:id="3"/>
      <w:bookmarkEnd w:id="4"/>
      <w:bookmarkEnd w:id="5"/>
      <w:r>
        <w:rPr>
          <w:b/>
          <w:bCs/>
          <w:i w:val="false"/>
          <w:iCs w:val="false"/>
          <w:color w:val="000000"/>
          <w:sz w:val="24"/>
          <w:szCs w:val="24"/>
        </w:rPr>
        <w:t xml:space="preserve">3. </w:t>
      </w:r>
      <w:r>
        <w:rPr>
          <w:b/>
          <w:bCs/>
          <w:i w:val="false"/>
          <w:iCs w:val="false"/>
          <w:color w:val="000000"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BodyText"/>
        <w:pBdr/>
        <w:spacing w:before="0" w:after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BodyText"/>
        <w:pBdr/>
        <w:spacing w:lineRule="auto" w:line="276" w:before="0" w:after="0"/>
        <w:ind w:left="0" w:right="0" w:firstLine="85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BodyText"/>
        <w:pBdr/>
        <w:spacing w:lineRule="auto" w:line="276" w:before="0" w:after="240"/>
        <w:ind w:left="0" w:right="0" w:firstLine="85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Paragraph"/>
        <w:suppressAutoHyphens w:val="true"/>
        <w:spacing w:before="0" w:after="240"/>
        <w:ind w:left="720" w:right="0" w:firstLine="567"/>
        <w:contextualSpacing w:val="false"/>
        <w:jc w:val="center"/>
        <w:rPr>
          <w:rFonts w:ascii="Liberation Serif" w:hAnsi="Liberation Serif"/>
          <w:shd w:fill="FFFF00" w:val="clear"/>
        </w:rPr>
      </w:pPr>
      <w:r>
        <w:rPr>
          <w:shd w:fill="FFFF00" w:val="clear"/>
        </w:rPr>
      </w:r>
    </w:p>
    <w:sectPr>
      <w:headerReference w:type="default" r:id="rId2"/>
      <w:headerReference w:type="first" r:id="rId3"/>
      <w:footnotePr>
        <w:numFmt w:val="decimal"/>
      </w:footnotePr>
      <w:type w:val="nextPage"/>
      <w:pgSz w:orient="landscape" w:w="16838" w:h="11906"/>
      <w:pgMar w:left="1134" w:right="1134" w:gutter="0" w:header="420" w:top="930" w:footer="0" w:bottom="1134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tabs>
          <w:tab w:val="clear" w:pos="709"/>
          <w:tab w:val="left" w:pos="231" w:leader="none"/>
        </w:tabs>
        <w:ind w:left="0" w:right="0" w:hanging="0"/>
        <w:jc w:val="both"/>
        <w:rPr/>
      </w:pPr>
      <w:r>
        <w:rPr>
          <w:rStyle w:val="Style9"/>
        </w:rPr>
        <w:t>1</w:t>
      </w:r>
      <w:r>
        <w:rPr/>
        <w:t xml:space="preserve">  </w:t>
      </w:r>
      <w:r>
        <w:rPr/>
        <w:t>Указанные в таблице 1 настоящ</w:t>
      </w:r>
      <w:r>
        <w:rPr/>
        <w:t>их</w:t>
      </w:r>
      <w:r>
        <w:rPr/>
        <w:t xml:space="preserve"> ТТ ссылки на марку (тип) продукции носят описательный, а не обязательный характер. </w:t>
      </w:r>
    </w:p>
    <w:p>
      <w:pPr>
        <w:pStyle w:val="FootnoteText"/>
        <w:suppressLineNumbers/>
        <w:tabs>
          <w:tab w:val="clear" w:pos="709"/>
          <w:tab w:val="left" w:pos="231" w:leader="none"/>
        </w:tabs>
        <w:ind w:left="0" w:right="0" w:hanging="0"/>
        <w:jc w:val="both"/>
        <w:rPr/>
      </w:pPr>
      <w:r>
        <w:rPr/>
        <w:tab/>
        <w:t xml:space="preserve">В случае, если Участником предлагается эквивалентная продукция, требуемой Заказчику, или ее составных частей, он должен в обязательном порядке в составе  </w:t>
        <w:tab/>
        <w:t xml:space="preserve">своего предложения предоставить подробное техническое и конструктивное описание предлагаемого к поставке эквивалента, в объеме не менее установленных в </w:t>
        <w:tab/>
        <w:t>настоящ</w:t>
      </w:r>
      <w:r>
        <w:rPr/>
        <w:t>их</w:t>
      </w:r>
      <w:r>
        <w:rPr/>
        <w:t xml:space="preserve"> ТТ требований, обозначенных как «параметры эквивалентности». Параметрами эквивалентности являются технические характеристики продукции, </w:t>
        <w:tab/>
        <w:t xml:space="preserve">указанные в таблице № 3 настоящих технических требований. Эквивалентная продукция – это продукция, которая по техническим и функциональным </w:t>
        <w:tab/>
        <w:t xml:space="preserve">характеристикам не уступает характеристикам, заявленным в документации о </w:t>
      </w:r>
      <w:r>
        <w:rPr/>
        <w:t>з</w:t>
      </w:r>
      <w:r>
        <w:rPr/>
        <w:t>акупке, в том числе, по гарантийным срокам и срокам эксплуатации.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  <w:fldChar w:fldCharType="begin"/>
    </w:r>
    <w:r>
      <w:rPr>
        <w:shd w:fill="FFFFFF" w:val="clear"/>
      </w:rPr>
      <w:instrText xml:space="preserve"> PAGE </w:instrText>
    </w:r>
    <w:r>
      <w:rPr>
        <w:shd w:fill="FFFFFF" w:val="clear"/>
      </w:rPr>
      <w:fldChar w:fldCharType="separate"/>
    </w:r>
    <w:r>
      <w:rPr>
        <w:shd w:fill="FFFFFF" w:val="clear"/>
      </w:rPr>
      <w:t>6</w:t>
    </w:r>
    <w:r>
      <w:rPr>
        <w:shd w:fill="FFFFFF" w:val="clea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none"/>
      <w:suff w:val="nothing"/>
      <w:lvlText w:val="1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-18577" w:firstLine="18577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357" w:hanging="357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357" w:hanging="357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357" w:hanging="357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357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Tahoma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yle8">
    <w:name w:val="Символ нумерации"/>
    <w:qFormat/>
    <w:rPr/>
  </w:style>
  <w:style w:type="character" w:styleId="Style9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1">
    <w:name w:val="Символ концевой сноск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tyle18">
    <w:name w:val="СписокОсн"/>
    <w:basedOn w:val="ListParagraph"/>
    <w:qFormat/>
    <w:pPr>
      <w:tabs>
        <w:tab w:val="clear" w:pos="709"/>
        <w:tab w:val="left" w:pos="360" w:leader="none"/>
      </w:tabs>
      <w:spacing w:before="60" w:after="60"/>
      <w:ind w:left="0" w:right="0" w:hanging="0"/>
      <w:contextualSpacing/>
      <w:jc w:val="center"/>
    </w:pPr>
    <w:rPr>
      <w:sz w:val="22"/>
      <w:szCs w:val="22"/>
      <w:lang w:val="en-US"/>
    </w:rPr>
  </w:style>
  <w:style w:type="paragraph" w:styleId="Style19">
    <w:name w:val="СписокБазовый"/>
    <w:basedOn w:val="Style18"/>
    <w:qFormat/>
    <w:pPr>
      <w:numPr>
        <w:ilvl w:val="0"/>
        <w:numId w:val="3"/>
      </w:numPr>
      <w:tabs>
        <w:tab w:val="clear" w:pos="360"/>
      </w:tabs>
    </w:pPr>
    <w:rPr/>
  </w:style>
  <w:style w:type="paragraph" w:styleId="Style20">
    <w:name w:val="Спис"/>
    <w:basedOn w:val="Style19"/>
    <w:qFormat/>
    <w:pPr>
      <w:numPr>
        <w:ilvl w:val="0"/>
        <w:numId w:val="4"/>
      </w:numPr>
      <w:spacing w:before="0" w:after="0"/>
      <w:contextualSpacing/>
      <w:jc w:val="left"/>
    </w:pPr>
    <w:rPr/>
  </w:style>
  <w:style w:type="numbering" w:styleId="37477466041">
    <w:name w:val="37477466041"/>
    <w:qFormat/>
  </w:style>
  <w:style w:type="numbering" w:styleId="14449856281">
    <w:name w:val="14449856281"/>
    <w:qFormat/>
  </w:style>
  <w:style w:type="numbering" w:styleId="24044972091">
    <w:name w:val="24044972091"/>
    <w:qFormat/>
  </w:style>
  <w:style w:type="numbering" w:styleId="2326571181">
    <w:name w:val="2326571181"/>
    <w:qFormat/>
  </w:style>
  <w:style w:type="numbering" w:styleId="8994161851">
    <w:name w:val="8994161851"/>
    <w:qFormat/>
  </w:style>
  <w:style w:type="numbering" w:styleId="10798081421">
    <w:name w:val="10798081421"/>
    <w:qFormat/>
  </w:style>
  <w:style w:type="numbering" w:styleId="13229002161">
    <w:name w:val="13229002161"/>
    <w:qFormat/>
  </w:style>
  <w:style w:type="numbering" w:styleId="8737787861">
    <w:name w:val="8737787861"/>
    <w:qFormat/>
  </w:style>
  <w:style w:type="numbering" w:styleId="36472449611">
    <w:name w:val="36472449611"/>
    <w:qFormat/>
  </w:style>
  <w:style w:type="numbering" w:styleId="3622751531">
    <w:name w:val="3622751531"/>
    <w:qFormat/>
  </w:style>
  <w:style w:type="numbering" w:styleId="27275653691">
    <w:name w:val="27275653691"/>
    <w:qFormat/>
  </w:style>
  <w:style w:type="numbering" w:styleId="38738010521">
    <w:name w:val="387380105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470</TotalTime>
  <Application>AlterOffice/2025.3.1.0$Linux_X86_64 LibreOffice_project/431cd1b79110582f53535c95ed0a2449aadc8bf9</Application>
  <AppVersion>15.0000</AppVersion>
  <Pages>6</Pages>
  <Words>668</Words>
  <Characters>4521</Characters>
  <CharactersWithSpaces>5092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2025-03-12T09:40:40Z</dcterms:created>
  <dc:creator>ivanov_en</dc:creator>
  <dc:description/>
  <dc:language>ru-RU</dc:language>
  <cp:lastModifiedBy>butakov_sa</cp:lastModifiedBy>
  <cp:lastPrinted>2025-09-30T09:15:33Z</cp:lastPrinted>
  <dcterms:modified xsi:type="dcterms:W3CDTF">2026-05-21T09:16:58Z</dcterms:modified>
  <cp:revision>42</cp:revision>
  <dc:subject/>
  <dc:title/>
</cp:coreProperties>
</file>