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header9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right="0" w:firstLine="708"/>
        <w:jc w:val="right"/>
        <w:rPr>
          <w:rFonts w:eastAsia="Times New Roman" w:cs="Times New Roman"/>
          <w:b/>
          <w:caps/>
          <w:sz w:val="26"/>
          <w:szCs w:val="26"/>
          <w:lang w:eastAsia="ru-RU"/>
        </w:rPr>
      </w:pPr>
      <w:r>
        <w:rPr>
          <w:rFonts w:eastAsia="Times New Roman" w:cs="Times New Roman"/>
          <w:b/>
          <w:caps/>
          <w:sz w:val="26"/>
          <w:szCs w:val="26"/>
          <w:lang w:eastAsia="ru-RU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ОКПД2 63.11.13 Техническая поддержка программного обеспечения СЗ АСДУ ЦУС для филиала "Приморские электрические сети"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Style w:val="Style8"/>
          <w:rFonts w:eastAsia="Calibri"/>
          <w:sz w:val="26"/>
          <w:szCs w:val="26"/>
          <w:shd w:fill="auto" w:val="clear"/>
        </w:rPr>
        <w:t>(Лот №116501-ЭКСП ДИТ-2026-ДРСК-ПЭС)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spacing w:before="0" w:after="0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0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_RefHeading___Toc72586_1647355771">
            <w:r>
              <w:rPr>
                <w:webHidden/>
                <w:rStyle w:val="Style14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0" w:leader="dot"/>
            </w:tabs>
            <w:rPr/>
          </w:pPr>
          <w:hyperlink w:anchor="__RefHeading___Toc72588_1647355771">
            <w:r>
              <w:rPr>
                <w:webHidden/>
                <w:rStyle w:val="Style14"/>
                <w:vanish w:val="false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0" w:leader="dot"/>
            </w:tabs>
            <w:rPr/>
          </w:pPr>
          <w:hyperlink w:anchor="__RefHeading___Toc72590_1647355771">
            <w:r>
              <w:rPr>
                <w:webHidden/>
                <w:rStyle w:val="Style14"/>
                <w:vanish w:val="false"/>
              </w:rPr>
              <w:t>1.2. Наименование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0" w:leader="dot"/>
            </w:tabs>
            <w:rPr/>
          </w:pPr>
          <w:hyperlink w:anchor="__RefHeading___Toc72592_1647355771">
            <w:r>
              <w:rPr>
                <w:webHidden/>
                <w:rStyle w:val="Style14"/>
                <w:vanish w:val="false"/>
              </w:rPr>
              <w:t>1.3. Цель оказания услуг</w:t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0" w:leader="dot"/>
            </w:tabs>
            <w:rPr/>
          </w:pPr>
          <w:hyperlink w:anchor="__RefHeading___Toc72594_1647355771">
            <w:r>
              <w:rPr>
                <w:webHidden/>
                <w:rStyle w:val="Style14"/>
                <w:vanish w:val="false"/>
              </w:rPr>
              <w:t>1.4. Существующее положение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0" w:leader="dot"/>
            </w:tabs>
            <w:rPr/>
          </w:pPr>
          <w:hyperlink w:anchor="__RefHeading___Toc72596_1647355771"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0" w:leader="dot"/>
            </w:tabs>
            <w:rPr/>
          </w:pPr>
          <w:hyperlink w:anchor="__RefHeading___Toc72600_1647355771">
            <w:r>
              <w:rPr>
                <w:webHidden/>
                <w:rStyle w:val="Style14"/>
                <w:vanish w:val="false"/>
              </w:rPr>
              <w:t xml:space="preserve">2. 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  <w:t>5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0" w:leader="dot"/>
            </w:tabs>
            <w:rPr/>
          </w:pPr>
          <w:hyperlink w:anchor="__RefHeading___Toc72602_1647355771">
            <w:r>
              <w:rPr>
                <w:webHidden/>
                <w:rStyle w:val="Style14"/>
                <w:vanish w:val="false"/>
              </w:rPr>
              <w:t>2.1. Требования к объемам и срокам оказания услуг</w:t>
              <w:tab/>
              <w:t>5</w:t>
            </w:r>
          </w:hyperlink>
        </w:p>
        <w:p>
          <w:pPr>
            <w:pStyle w:val="TOC3"/>
            <w:tabs>
              <w:tab w:val="clear" w:pos="708"/>
              <w:tab w:val="right" w:pos="9920" w:leader="dot"/>
            </w:tabs>
            <w:rPr/>
          </w:pPr>
          <w:hyperlink w:anchor="__RefHeading___Toc72604_1647355771">
            <w:r>
              <w:rPr>
                <w:webHidden/>
                <w:rStyle w:val="Style14"/>
                <w:vanish w:val="false"/>
              </w:rPr>
              <w:t>2.1.1. Требования к перечню и объему услуг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0" w:leader="dot"/>
            </w:tabs>
            <w:rPr/>
          </w:pPr>
          <w:hyperlink w:anchor="__RefHeading___Toc72606_1647355771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  <w:t>5</w:t>
            </w:r>
          </w:hyperlink>
        </w:p>
        <w:p>
          <w:pPr>
            <w:pStyle w:val="TOC3"/>
            <w:tabs>
              <w:tab w:val="clear" w:pos="708"/>
              <w:tab w:val="right" w:pos="9920" w:leader="dot"/>
            </w:tabs>
            <w:rPr/>
          </w:pPr>
          <w:hyperlink w:anchor="__RefHeading___Toc72608_1647355771">
            <w:r>
              <w:rPr>
                <w:webHidden/>
                <w:rStyle w:val="Style14"/>
                <w:vanish w:val="false"/>
              </w:rPr>
              <w:t>2.1.2. Требования к срокам оказания услуг</w:t>
              <w:tab/>
              <w:t>6</w:t>
            </w:r>
          </w:hyperlink>
        </w:p>
        <w:p>
          <w:pPr>
            <w:pStyle w:val="TOC1"/>
            <w:tabs>
              <w:tab w:val="clear" w:pos="708"/>
              <w:tab w:val="right" w:pos="9920" w:leader="dot"/>
            </w:tabs>
            <w:rPr/>
          </w:pPr>
          <w:hyperlink w:anchor="__RefHeading___Toc72610_1647355771"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6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0" w:leader="dot"/>
            </w:tabs>
            <w:rPr/>
          </w:pPr>
          <w:hyperlink w:anchor="__RefHeading___Toc72612_1647355771">
            <w:r>
              <w:rPr>
                <w:webHidden/>
                <w:rStyle w:val="Style14"/>
                <w:vanish w:val="false"/>
              </w:rPr>
              <w:t>2.2. Требования к качеству услуг</w:t>
              <w:tab/>
              <w:t>7</w:t>
            </w:r>
          </w:hyperlink>
        </w:p>
        <w:p>
          <w:pPr>
            <w:pStyle w:val="TOC1"/>
            <w:tabs>
              <w:tab w:val="clear" w:pos="708"/>
              <w:tab w:val="right" w:pos="9920" w:leader="dot"/>
            </w:tabs>
            <w:rPr/>
          </w:pPr>
          <w:hyperlink w:anchor="__RefHeading___Toc72614_1647355771"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7</w:t>
            </w:r>
          </w:hyperlink>
        </w:p>
        <w:p>
          <w:pPr>
            <w:pStyle w:val="TOC1"/>
            <w:tabs>
              <w:tab w:val="clear" w:pos="708"/>
              <w:tab w:val="right" w:pos="9920" w:leader="dot"/>
            </w:tabs>
            <w:rPr/>
          </w:pPr>
          <w:hyperlink w:anchor="__RefHeading___Toc72626_1647355771">
            <w:r>
              <w:rPr>
                <w:webHidden/>
                <w:rStyle w:val="Style14"/>
                <w:vanish w:val="false"/>
              </w:rPr>
              <w:t>3. Требования к документации по ценообразованию на этапе закупки</w:t>
              <w:tab/>
              <w:t>17</w:t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spacing w:before="0" w:after="60"/>
        <w:ind w:left="357" w:hanging="357"/>
        <w:jc w:val="center"/>
        <w:rPr>
          <w:caps/>
          <w:lang w:val="ru-RU"/>
        </w:rPr>
      </w:pPr>
      <w:bookmarkStart w:id="0" w:name="__RefHeading___Toc72586_1647355771"/>
      <w:bookmarkStart w:id="1" w:name="_Toc54643694"/>
      <w:bookmarkEnd w:id="0"/>
      <w:r>
        <w:rPr>
          <w:lang w:val="ru-RU"/>
        </w:rPr>
        <w:t>Общие сведения</w:t>
      </w:r>
      <w:bookmarkEnd w:id="1"/>
    </w:p>
    <w:p>
      <w:pPr>
        <w:pStyle w:val="Heading4"/>
        <w:numPr>
          <w:ilvl w:val="1"/>
          <w:numId w:val="3"/>
        </w:numPr>
        <w:rPr/>
      </w:pPr>
      <w:bookmarkStart w:id="2" w:name="__RefHeading___Toc72588_1647355771"/>
      <w:bookmarkStart w:id="3" w:name="_Toc46743505"/>
      <w:bookmarkStart w:id="4" w:name="_Toc54643695"/>
      <w:bookmarkEnd w:id="2"/>
      <w:r>
        <w:rPr/>
        <w:t>Обозначения и сокращения</w:t>
      </w:r>
      <w:bookmarkEnd w:id="3"/>
      <w:bookmarkEnd w:id="4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91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146"/>
        <w:gridCol w:w="7764"/>
      </w:tblGrid>
      <w:tr>
        <w:trPr>
          <w:trHeight w:val="77" w:hRule="atLeast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textAlignment w:val="baseline"/>
              <w:rPr>
                <w:b/>
                <w:kern w:val="2"/>
              </w:rPr>
            </w:pPr>
            <w:r>
              <w:rPr>
                <w:b/>
                <w:kern w:val="2"/>
              </w:rPr>
              <w:t>Термин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textAlignment w:val="baseline"/>
              <w:rPr>
                <w:b/>
                <w:kern w:val="2"/>
              </w:rPr>
            </w:pPr>
            <w:r>
              <w:rPr>
                <w:b/>
                <w:kern w:val="2"/>
              </w:rPr>
              <w:t>Определение</w:t>
            </w:r>
          </w:p>
        </w:tc>
      </w:tr>
      <w:tr>
        <w:trPr>
          <w:trHeight w:val="77" w:hRule="atLeast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contextualSpacing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АСДУ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contextualSpacing/>
              <w:jc w:val="both"/>
              <w:textAlignment w:val="baseline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Автоматизированные системы диспетчерского управления</w:t>
            </w:r>
          </w:p>
        </w:tc>
      </w:tr>
      <w:tr>
        <w:trPr>
          <w:trHeight w:val="77" w:hRule="atLeast"/>
        </w:trPr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contextualSpacing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Заказчик</w:t>
            </w:r>
          </w:p>
        </w:tc>
        <w:tc>
          <w:tcPr>
            <w:tcW w:w="7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contextualSpacing/>
              <w:jc w:val="both"/>
              <w:textAlignment w:val="baseline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Акционерное общество «Дальневосточная распределительная сетевая компания» (АО «ДРСК»)</w:t>
            </w:r>
          </w:p>
        </w:tc>
      </w:tr>
      <w:tr>
        <w:trPr>
          <w:trHeight w:val="77" w:hRule="atLeast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contextualSpacing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ИТ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contextualSpacing/>
              <w:jc w:val="both"/>
              <w:textAlignment w:val="baseline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Информационные технологии</w:t>
            </w:r>
          </w:p>
        </w:tc>
      </w:tr>
      <w:tr>
        <w:trPr>
          <w:trHeight w:val="77" w:hRule="atLeast"/>
        </w:trPr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contextualSpacing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КСПД</w:t>
            </w:r>
          </w:p>
        </w:tc>
        <w:tc>
          <w:tcPr>
            <w:tcW w:w="7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contextualSpacing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Корпоративная сеть передачи данных</w:t>
            </w:r>
          </w:p>
        </w:tc>
      </w:tr>
      <w:tr>
        <w:trPr>
          <w:trHeight w:val="77" w:hRule="atLeast"/>
        </w:trPr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contextualSpacing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ПО</w:t>
            </w:r>
          </w:p>
        </w:tc>
        <w:tc>
          <w:tcPr>
            <w:tcW w:w="7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contextualSpacing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Программное обеспечение</w:t>
            </w:r>
          </w:p>
        </w:tc>
      </w:tr>
      <w:tr>
        <w:trPr>
          <w:trHeight w:val="77" w:hRule="atLeast"/>
        </w:trPr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contextualSpacing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СКЗИ</w:t>
            </w:r>
          </w:p>
        </w:tc>
        <w:tc>
          <w:tcPr>
            <w:tcW w:w="7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contextualSpacing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Средство криптографической защиты информации</w:t>
            </w:r>
          </w:p>
        </w:tc>
      </w:tr>
      <w:tr>
        <w:trPr>
          <w:trHeight w:val="77" w:hRule="atLeast"/>
        </w:trPr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contextualSpacing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ТП</w:t>
            </w:r>
          </w:p>
        </w:tc>
        <w:tc>
          <w:tcPr>
            <w:tcW w:w="7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contextualSpacing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Техническая поддержка</w:t>
            </w:r>
          </w:p>
        </w:tc>
      </w:tr>
      <w:tr>
        <w:trPr>
          <w:trHeight w:val="77" w:hRule="atLeast"/>
        </w:trPr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contextualSpacing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ТСПД</w:t>
            </w:r>
          </w:p>
        </w:tc>
        <w:tc>
          <w:tcPr>
            <w:tcW w:w="7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contextualSpacing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Технологическая сеть передачи данных</w:t>
            </w:r>
          </w:p>
        </w:tc>
      </w:tr>
      <w:tr>
        <w:trPr>
          <w:trHeight w:val="77" w:hRule="atLeast"/>
        </w:trPr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contextualSpacing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Филиал</w:t>
            </w:r>
          </w:p>
        </w:tc>
        <w:tc>
          <w:tcPr>
            <w:tcW w:w="7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contextualSpacing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«Приморские электрические сети» филиал АО «ДРСК»</w:t>
            </w:r>
          </w:p>
        </w:tc>
      </w:tr>
      <w:tr>
        <w:trPr>
          <w:trHeight w:val="77" w:hRule="atLeast"/>
        </w:trPr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contextualSpacing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ЦУС</w:t>
            </w:r>
          </w:p>
        </w:tc>
        <w:tc>
          <w:tcPr>
            <w:tcW w:w="7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contextualSpacing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Центр управления сетями филиала АО «ДРСК» «Приморские электрические сети»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keepLines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br w:type="page"/>
      </w:r>
    </w:p>
    <w:p>
      <w:pPr>
        <w:pStyle w:val="Heading4"/>
        <w:numPr>
          <w:ilvl w:val="1"/>
          <w:numId w:val="3"/>
        </w:numPr>
        <w:spacing w:before="0" w:after="60"/>
        <w:rPr/>
      </w:pPr>
      <w:bookmarkStart w:id="5" w:name="__RefHeading___Toc72590_1647355771"/>
      <w:bookmarkStart w:id="6" w:name="_Toc46743506"/>
      <w:bookmarkStart w:id="7" w:name="_Toc54643696"/>
      <w:bookmarkEnd w:id="5"/>
      <w:r>
        <w:rPr/>
        <w:t>Наименование закупаемой продукции</w:t>
      </w:r>
      <w:bookmarkEnd w:id="6"/>
      <w:bookmarkEnd w:id="7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b w:val="false"/>
          <w:bCs/>
          <w:i w:val="false"/>
          <w:shd w:fill="auto" w:val="clear"/>
        </w:rPr>
        <w:t>Техническая поддержка программного обеспечения АСДУ ЦУС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8" w:name="__RefHeading___Toc72592_1647355771"/>
      <w:bookmarkStart w:id="9" w:name="_Toc54643697"/>
      <w:bookmarkStart w:id="10" w:name="_Toc46743507"/>
      <w:bookmarkEnd w:id="8"/>
      <w:r>
        <w:rPr/>
        <w:t xml:space="preserve">Цель </w:t>
      </w:r>
      <w:bookmarkEnd w:id="10"/>
      <w:r>
        <w:rPr>
          <w:lang w:val="ru-RU"/>
        </w:rPr>
        <w:t>оказания услуг</w:t>
      </w:r>
      <w:bookmarkEnd w:id="9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/>
        <w:t>Защита АСДУ ЦУС путем обеспечения функционирования эксплуатируемых программных и аппаратно-программных комплексов в состоянии, обеспечивающем защиту информации в КСПД и ТСПД.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/>
        <w:t>Наименование и количество имеющихся программных и аппаратно-программных комплексов приведено в таблице 1.</w:t>
      </w:r>
    </w:p>
    <w:p>
      <w:pPr>
        <w:pStyle w:val="Heading4"/>
        <w:numPr>
          <w:ilvl w:val="1"/>
          <w:numId w:val="3"/>
        </w:numPr>
        <w:rPr/>
      </w:pPr>
      <w:bookmarkStart w:id="11" w:name="__RefHeading___Toc72594_1647355771"/>
      <w:bookmarkStart w:id="12" w:name="_Toc46743508"/>
      <w:bookmarkStart w:id="13" w:name="_Toc54643698"/>
      <w:bookmarkEnd w:id="11"/>
      <w:r>
        <w:rPr/>
        <w:t>Существующее положение</w:t>
      </w:r>
      <w:bookmarkEnd w:id="12"/>
      <w:bookmarkEnd w:id="1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/>
        <w:t>В настоящий момент в филиале АО «ДРСК» «Приморские электрические сети» в эксплуатации находятся аппаратно-программные комплексы «Континент», InfoDiod и операционные системы Astra Linux  Special Edition.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4" w:name="__RefHeading___Toc72596_1647355771"/>
      <w:bookmarkStart w:id="15" w:name="_Toc54643699"/>
      <w:bookmarkEnd w:id="14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</w:t>
      </w:r>
      <w:bookmarkEnd w:id="15"/>
      <w:r>
        <w:rPr>
          <w:sz w:val="24"/>
          <w:szCs w:val="24"/>
          <w:lang w:val="ru-RU"/>
        </w:rPr>
        <w:t>а</w:t>
      </w:r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7"/>
        <w:gridCol w:w="4161"/>
        <w:gridCol w:w="4940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Операционная система Astra Linux Special Edition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г. Владивосток, ул. Командорская, 13А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AK InfoDiode Mini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г. Владивосток, ул. Командорская, 13А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Континент 4. Узел безопасности. Платформа IPC1000NF2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Владивосток, ул. Командорская, 13А</w:t>
            </w:r>
          </w:p>
        </w:tc>
      </w:tr>
      <w:tr>
        <w:trPr/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4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Континент 4. Узел безопасности. Платформа IPC3000NF2</w:t>
            </w:r>
          </w:p>
        </w:tc>
        <w:tc>
          <w:tcPr>
            <w:tcW w:w="4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Владивосток, ул. Командорская, 13А</w:t>
            </w:r>
          </w:p>
        </w:tc>
      </w:tr>
      <w:tr>
        <w:trPr/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4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Континент 4. Узел безопасности. Платформа IPC50</w:t>
            </w:r>
          </w:p>
        </w:tc>
        <w:tc>
          <w:tcPr>
            <w:tcW w:w="4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Владивосток, ул. Командорская, 13А</w:t>
            </w:r>
          </w:p>
        </w:tc>
      </w:tr>
      <w:tr>
        <w:trPr/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4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Континент 4. Узел безопасности. Платформа IPC500</w:t>
            </w:r>
          </w:p>
        </w:tc>
        <w:tc>
          <w:tcPr>
            <w:tcW w:w="4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Владивосток, ул. Командорская, 13А</w:t>
            </w:r>
          </w:p>
        </w:tc>
      </w:tr>
      <w:tr>
        <w:trPr/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4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Континент 4. ЦУС. Платформа IPC500М</w:t>
            </w:r>
          </w:p>
        </w:tc>
        <w:tc>
          <w:tcPr>
            <w:tcW w:w="4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Владивосток, ул. Командорская, 13А</w:t>
            </w:r>
          </w:p>
        </w:tc>
      </w:tr>
      <w:tr>
        <w:trPr/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4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СКЗИ Континент</w:t>
            </w:r>
          </w:p>
        </w:tc>
        <w:tc>
          <w:tcPr>
            <w:tcW w:w="4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Владивосток, ул. Командорская, 13А</w:t>
            </w:r>
          </w:p>
        </w:tc>
      </w:tr>
      <w:tr>
        <w:trPr/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4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ПАК ViPNet Coordinator HW1000 4.x</w:t>
            </w:r>
          </w:p>
        </w:tc>
        <w:tc>
          <w:tcPr>
            <w:tcW w:w="4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Владивосток, ул. Командорская, 13А</w:t>
            </w:r>
          </w:p>
        </w:tc>
      </w:tr>
      <w:tr>
        <w:trPr/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4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ПАК ViPNet Coordinator HW100 С 4.x</w:t>
            </w:r>
          </w:p>
        </w:tc>
        <w:tc>
          <w:tcPr>
            <w:tcW w:w="4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Владивосток, ул. Командорская, 13А</w:t>
            </w:r>
          </w:p>
        </w:tc>
      </w:tr>
      <w:tr>
        <w:trPr/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4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ПАК ViPNet Coordinator HW50 А 4.x</w:t>
            </w:r>
          </w:p>
        </w:tc>
        <w:tc>
          <w:tcPr>
            <w:tcW w:w="4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Владивосток, ул. Командорская, 13А</w:t>
            </w:r>
          </w:p>
        </w:tc>
      </w:tr>
      <w:tr>
        <w:trPr/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4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ViPNet Administrator 4.x (KC2)</w:t>
            </w:r>
          </w:p>
        </w:tc>
        <w:tc>
          <w:tcPr>
            <w:tcW w:w="4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Владивосток, ул. Командорская, 13А</w:t>
            </w:r>
          </w:p>
        </w:tc>
      </w:tr>
    </w:tbl>
    <w:p>
      <w:pPr>
        <w:pStyle w:val="Normal"/>
        <w:spacing w:before="240" w:after="60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spacing w:before="0" w:after="60"/>
        <w:ind w:left="357" w:hanging="357"/>
        <w:jc w:val="center"/>
        <w:rPr>
          <w:iCs/>
          <w:caps/>
          <w:lang w:val="ru-RU"/>
        </w:rPr>
      </w:pPr>
      <w:bookmarkStart w:id="16" w:name="__RefHeading___Toc72600_1647355771"/>
      <w:bookmarkStart w:id="17" w:name="_Toc51339693"/>
      <w:bookmarkStart w:id="18" w:name="_Toc54643702"/>
      <w:bookmarkEnd w:id="16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17"/>
      <w:bookmarkEnd w:id="18"/>
    </w:p>
    <w:p>
      <w:pPr>
        <w:pStyle w:val="Heading4"/>
        <w:numPr>
          <w:ilvl w:val="1"/>
          <w:numId w:val="3"/>
        </w:numPr>
        <w:rPr/>
      </w:pPr>
      <w:bookmarkStart w:id="19" w:name="__RefHeading___Toc72602_1647355771"/>
      <w:bookmarkStart w:id="20" w:name="_Toc54643703"/>
      <w:bookmarkEnd w:id="19"/>
      <w:r>
        <w:rPr/>
        <w:t xml:space="preserve">Требования к объемам и срокам </w:t>
      </w:r>
      <w:r>
        <w:rPr>
          <w:lang w:val="ru-RU"/>
        </w:rPr>
        <w:t>оказания услу</w:t>
      </w:r>
      <w:bookmarkEnd w:id="20"/>
      <w:r>
        <w:rPr>
          <w:lang w:val="ru-RU"/>
        </w:rPr>
        <w:t>г</w:t>
      </w:r>
    </w:p>
    <w:p>
      <w:pPr>
        <w:pStyle w:val="Heading3"/>
        <w:numPr>
          <w:ilvl w:val="2"/>
          <w:numId w:val="3"/>
        </w:numPr>
        <w:rPr/>
      </w:pPr>
      <w:bookmarkStart w:id="21" w:name="__RefHeading___Toc72604_1647355771"/>
      <w:bookmarkStart w:id="22" w:name="_Toc54643704"/>
      <w:bookmarkEnd w:id="21"/>
      <w:r>
        <w:rPr>
          <w:lang w:val="ru-RU"/>
        </w:rPr>
        <w:t>Требования к перечню и объему услуг</w:t>
      </w:r>
      <w:bookmarkEnd w:id="2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23" w:name="__RefHeading___Toc72606_1647355771"/>
      <w:bookmarkStart w:id="24" w:name="_Toc54643705"/>
      <w:bookmarkStart w:id="25" w:name="_Toc51339695"/>
      <w:bookmarkEnd w:id="2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5"/>
      <w:r>
        <w:rPr>
          <w:sz w:val="24"/>
          <w:szCs w:val="24"/>
          <w:lang w:val="ru-RU"/>
        </w:rPr>
        <w:t>и объем оказываемых услуг</w:t>
      </w:r>
      <w:bookmarkEnd w:id="24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3"/>
        <w:gridCol w:w="4849"/>
        <w:gridCol w:w="2001"/>
        <w:gridCol w:w="2116"/>
      </w:tblGrid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Сертификат технической поддержки с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включенными консультациями по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использованию программы для ЭВМ на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операционную систему специального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назначения «Astra Linux Special Edition» для 64-х разрядной платформы на базе процессорной архитектуры x86-64, уровень защищенности «Максимальный» («Смоленск»), для рабочей станции, тип "Стандарт", на 12 мес.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>
        <w:trPr/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технической поддержки с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включенными консультациями по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использованию программы для ЭВМ на операционную систему специального назначения «Astra Linux Special Edition» для 64- х разрядной платформы на базе процессорной архитектуры x86-64, уровень защищенности «Максимальный» («Смоленск»), для сервера до 2 сокетов, тип "Стандарт", на 12 мес.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технической поддержки с включенными консультациями по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использованию программы для ЭВМ на операционную систему специального назначения «Astra Linux Special Edition» для 64-х разрядной платформы на базе процессорной архитектуры x86-64, уровень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защищенности «Усиленный» («Воронеж»), для рабочей станции, тип "Стандарт", на 12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мес.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Сертификат технической поддержки аппаратно-программного комплекса AK InfoDiode Mini, тип «Gold» — 12 месяцев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 активации сервиса прямой технической поддержки уровня "Стандартный" для Континент 4,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Платформа IPC-1000F/1000FM/1000NF2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/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 активации сервиса прямой технической поддержки уровня "Стандартный" для Континент 4,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К4-3000NF2-HW-SP1Y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 активации сервиса прямой технической поддержки уровня "Стандартный" для Континент 4,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К4-50-HW-SP1Y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 активации сервиса прямой технической поддержки уровня "Стандартный" для Континент 4,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Платформа IPC-500/500F/500M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 активации сервиса прямой технической поддержки уровня "Стандартный" для Континент 4,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К4-R50-HW-SP1Y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 активации сервиса прямой технической поддержки уровня "Стандартный" для СКЗИ "Континент", HSEC-4-ACS-AP-lic-SP1Y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активации сервиса совместной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технической поддержки ПАК ViPNet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Coordinator HW1000 4.x на срок 1 год, уровень - Расширенный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активации сервиса совместной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технической поддержки ПАК ViPNet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Coordinator HW100 C 4.x (+unlim) на срок 1 год, уровень - Расширенный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активации сервиса совместной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технической поддержки ПАК ViPNet Coordinator HW50 A 4.x (+unlim) на срок 1 год, уровень - Расширенный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>
        <w:trPr/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активации сервиса совместной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технической поддержки ПО ViPNet Administrator 4.x (КС2) на срок 1 год, уровень - Расширенный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26" w:name="__RefHeading___Toc72608_1647355771"/>
      <w:bookmarkStart w:id="27" w:name="_Toc54643706"/>
      <w:bookmarkStart w:id="28" w:name="_Toc51339696"/>
      <w:bookmarkEnd w:id="26"/>
      <w:r>
        <w:rPr>
          <w:lang w:val="ru-RU"/>
        </w:rPr>
        <w:t xml:space="preserve">Требования </w:t>
      </w:r>
      <w:bookmarkEnd w:id="28"/>
      <w:r>
        <w:rPr>
          <w:lang w:val="ru-RU"/>
        </w:rPr>
        <w:t>к срокам оказания услуг</w:t>
      </w:r>
      <w:bookmarkEnd w:id="27"/>
    </w:p>
    <w:p>
      <w:pPr>
        <w:pStyle w:val="Heading1"/>
        <w:keepLines/>
        <w:tabs>
          <w:tab w:val="clear" w:pos="0"/>
        </w:tabs>
        <w:spacing w:before="240" w:after="0"/>
        <w:ind w:left="0" w:hanging="0"/>
        <w:rPr>
          <w:sz w:val="24"/>
          <w:szCs w:val="24"/>
          <w:lang w:val="ru-RU"/>
        </w:rPr>
      </w:pPr>
      <w:bookmarkStart w:id="29" w:name="__RefHeading___Toc72610_1647355771"/>
      <w:bookmarkStart w:id="30" w:name="_Toc54643707"/>
      <w:bookmarkStart w:id="31" w:name="_Toc51339697"/>
      <w:bookmarkStart w:id="32" w:name="_Toc50125127"/>
      <w:bookmarkStart w:id="33" w:name="_Toc501251261"/>
      <w:bookmarkEnd w:id="29"/>
      <w:bookmarkEnd w:id="3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4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1"/>
      <w:bookmarkEnd w:id="32"/>
      <w:bookmarkEnd w:id="34"/>
      <w:r>
        <w:rPr>
          <w:sz w:val="24"/>
          <w:szCs w:val="24"/>
          <w:lang w:val="ru-RU"/>
        </w:rPr>
        <w:t>оказания услуг</w:t>
      </w:r>
      <w:bookmarkEnd w:id="30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68"/>
        <w:gridCol w:w="5123"/>
        <w:gridCol w:w="1977"/>
        <w:gridCol w:w="2007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Требования к окончанию срока оказания услуг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Передача Заказчику сертификатов/ключей технической поддержки согласно номенклатуре, указанной в Таблице 2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дней</w:t>
            </w:r>
          </w:p>
        </w:tc>
      </w:tr>
      <w:tr>
        <w:trPr/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5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 сертификатов/ключей технической поддержки согласно номенклатуре, указанной в Таблице 2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момента активации</w:t>
            </w:r>
          </w:p>
        </w:tc>
        <w:tc>
          <w:tcPr>
            <w:tcW w:w="2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месяцев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35" w:name="__RefHeading___Toc72612_1647355771"/>
      <w:bookmarkStart w:id="36" w:name="_Toc54643709"/>
      <w:bookmarkStart w:id="37" w:name="_Toc51339698"/>
      <w:bookmarkStart w:id="38" w:name="_Toc54643708"/>
      <w:bookmarkStart w:id="39" w:name="_Toc46743511"/>
      <w:bookmarkEnd w:id="35"/>
      <w:r>
        <w:rPr/>
        <w:t xml:space="preserve">Требования к </w:t>
      </w:r>
      <w:bookmarkEnd w:id="39"/>
      <w:r>
        <w:rPr>
          <w:lang w:val="ru-RU"/>
        </w:rPr>
        <w:t>качеству услуг</w:t>
      </w:r>
      <w:bookmarkEnd w:id="38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40" w:name="__RefHeading___Toc72614_1647355771"/>
      <w:bookmarkEnd w:id="40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37"/>
      <w:r>
        <w:rPr>
          <w:sz w:val="24"/>
          <w:szCs w:val="24"/>
          <w:lang w:val="ru-RU"/>
        </w:rPr>
        <w:t>качеству услуг</w:t>
      </w:r>
      <w:bookmarkEnd w:id="36"/>
      <w:r>
        <w:rPr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Style w:val="Style8"/>
          <w:b w:val="false"/>
        </w:rPr>
      </w:pPr>
      <w:r>
        <w:rPr>
          <w:b w:val="false"/>
        </w:rPr>
      </w:r>
    </w:p>
    <w:tbl>
      <w:tblPr>
        <w:tblStyle w:val="affff5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51"/>
        <w:gridCol w:w="2718"/>
        <w:gridCol w:w="4080"/>
        <w:gridCol w:w="3916"/>
        <w:gridCol w:w="3320"/>
      </w:tblGrid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7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08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916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32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7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08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9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32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41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41"/>
          </w:p>
        </w:tc>
        <w:tc>
          <w:tcPr>
            <w:tcW w:w="27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0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39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3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679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391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2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79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391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2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7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Сертификат технической поддержки с включенными консультациями по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использованию программы для ЭВМ на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операционную систему специального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назначения «Astra Linux Special Edition» для 64-х разрядной платформы на базе процессорной архитектуры x86-64, уровень защищенности «Максимальный» («Смоленск»), для рабочей станции, тип "Стандарт", на 12 мес.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(Позиция 1, Таблица 2)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Сертификат технической поддержки с включенными консультациями по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использованию программы для ЭВМ на операционную систему специального назначения «Astra Linux Special Edition» для 64- х разрядной платформы на базе процессорной архитектуры x86-64, уровень защищенности «Максимальный» («Смоленск»), для сервера до 2 сокетов, тип "Стандарт", на 12 мес.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(Позиция 2, Таблица 2)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технической поддержки с включенными консультациями по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использованию программы для ЭВМ на операционную систему специального назначения «Astra Linux Special Edition» для 64-х разрядной платформы на базе процессорной архитектуры x86-64, уровень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защищенности «Усиленный» («Воронеж»), для рабочей станции, тип "Стандарт", на 12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(Позиция 3, Таблица 2)</w:t>
            </w:r>
          </w:p>
        </w:tc>
        <w:tc>
          <w:tcPr>
            <w:tcW w:w="408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Техническая поддержка осуществляется Вендором круглосуточно через Личный кабинет (кроме уровня "начальный" (самообеспечение)). Прием обращений по телефону осуществляется по рабочим дням с 09:00 до 18:00 по МСК. Оповещения о регистрации приходят автоматически на электронную почту с адреса no-reply@astralinux.ru. Для получения обратной связи по телефону Заказчику необходимо указать контактное лицо, телефон и предпочтительное время для связи.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Многоканальный телефон +7 (495) 369-48-16 доб. 3, 8 (800) 222 07 00 доб. 3.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Личный кабинет - web-ресурс: https://lk-new.astralinux.ru/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9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718" w:type="dxa"/>
            <w:tcBorders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Сертификат технической поддержки аппаратно-программного комплекса AK InfoDiode Mini, тип «Gold» — 12 месяцев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z w:val="24"/>
                <w:szCs w:val="24"/>
                <w:shd w:fill="auto" w:val="clear"/>
                <w:lang w:val="en-US" w:eastAsia="ru-RU" w:bidi="ar-SA"/>
              </w:rPr>
              <w:t>(Позиция 4, Таблица 2)</w:t>
            </w:r>
          </w:p>
        </w:tc>
        <w:tc>
          <w:tcPr>
            <w:tcW w:w="40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Техническая поддержка осуществляется Вендором круглосуточно (24х7) через портал самообслуживания, e-mail или телефон.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 сервисном складе резервируется достаточный объём ЗиП, отгрузка осуществляется в рабочие дни (8х5)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Портал самообслуживания: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hyperlink r:id="rId5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t>https://support.amt.ru/</w:t>
              </w:r>
            </w:hyperlink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E-mail: tac@amt.ru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9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7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Ключ активации сервиса прямой технической поддержки уровня "Стандартный" для Континент 4, Платформа IPC-1000F/1000FM/1000NF2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(Позиция 5, Таблица 2);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Ключ активации сервиса прямой технической поддержки уровня "Стандартный" для Континент 4,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К4-3000NF2-HW-SP1Y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(Позиция 6, Таблица 2);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Ключ активации сервиса прямой технической поддержки уровня "Стандартный" для Континент 4, К4-50-HW-SP1Y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(Позиция 7, Таблица 2);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Ключ активации сервиса прямой технической поддержки уровня "Стандартный" для Континент 4, Платформа IPC-500/500F/500M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(Позиция 8, Таблица 2);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Ключ активации сервиса прямой технической поддержки уровня "Стандартный" для Континент 4, К4-R50-HW-SP1Y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(Позиция 9, Таблица 2);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Ключ активации сервиса прямой технической поддержки уровня "Стандартный" для СКЗИ "Континент", HSEC-4-ACS-AP-lic-SP1Y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(Позиция 10, Таблица 2);</w:t>
            </w:r>
          </w:p>
        </w:tc>
        <w:tc>
          <w:tcPr>
            <w:tcW w:w="408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Техническая поддержка осуществляется Вендором круглосуточно (24х7) через портал самообслуживания или e-mail.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Работа над инцидентами в рабочие дни с 10:00 до 18:00 по МСК (8х5)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Портал самообслуживания: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hyperlink r:id="rId6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t>https://support.securitycode.ru/</w:t>
              </w:r>
            </w:hyperlink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E-mail: support@securitycode.ru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7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активации сервиса совместной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технической поддержки ПАК ViPNet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Coordinator HW1000 4.x на срок 1 год, уровень - Расширенный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(Позиция 11, Таблица 2)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активации сервиса совместной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технической поддержки ПАК ViPNet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Coordinator HW100 C 4.x (+unlim) на срок 1 год, уровень - Расширенный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(Позиция 12, Таблица 2)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активации сервиса совместной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технической поддержки ПАК ViPNet Coordinator HW50 A 4.x (+unlim) на срок 1 год, уровень - Расширенный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(Позиция 13, Таблица 2)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активации сервиса совместной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технической поддержки ПО ViPNet Administrator 4.x (КС2) на срок 1 год, уровень - Расширенный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(Позиция 14, Таблица 2)</w:t>
            </w:r>
          </w:p>
        </w:tc>
        <w:tc>
          <w:tcPr>
            <w:tcW w:w="408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Техническая поддержка осуществляется Вендором, совместно с авторизованным партнёром.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Прием обращений по телефону осуществляется авторизованным партнёром по рабочим дням с 09:00 до 18:00 местного времени (г. Владивосток),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 электронной почте круглосуточно.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3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679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3916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20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7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Сертификат технической поддержки с включенными консультациями по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использованию программы для ЭВМ на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операционную систему специального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назначения «Astra Linux Special Edition» для 64-х разрядной платформы на базе процессорной архитектуры x86-64, уровень защищенности «Максимальный» («Смоленск»), для рабочей станции, тип "Стандарт", на 12 мес.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(Позиция 1, Таблица 2)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Сертификат технической поддержки с включенными консультациями по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использованию программы для ЭВМ на операционную систему специального назначения «Astra Linux Special Edition» для 64- х разрядной платформы на базе процессорной архитектуры x86-64, уровень защищенности «Максимальный» («Смоленск»), для сервера до 2 сокетов, тип "Стандарт", на 12 мес.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(Позиция 2, Таблица 2)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Сертификат технической поддержки с включенными консультациями по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использованию программы для ЭВМ на операционную систему специального назначения «Astra Linux Special Edition» для 64-х разрядной платформы на базе процессорной архитектуры x86-64, уровень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защищенности «Усиленный» («Воронеж»), для рабочей станции, тип "Стандарт", на 12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(Позиция 3, Таблица 2)</w:t>
            </w:r>
          </w:p>
        </w:tc>
        <w:tc>
          <w:tcPr>
            <w:tcW w:w="408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Техническая поддержка организуется на основе инцидентной модели. Каждое событие, связанное с обращением за технической поддержкой (далее - Заявкой), считается инцидентом, а все действия, связанные с ним – обработкой инцидента.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Для классификации инцидентов при регистрации Заявки применяется классификационный параметр – «Критичность инцидента».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Критичность инцидента может принимать значения: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•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Экстренный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•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Высокий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•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Средний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•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Низкий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Уровень критичности первоначально присваиваются инциденту при регистрации Заявки, но в дальнейшем, при обработке инцидента, уровень может быть изменен.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Время реакции на инцидент не более: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•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Экстренный - 4 часа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•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Высокий - 8 часов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•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Средний - 2 рабочих дня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•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Низкий - 4 рабочих дня</w:t>
            </w:r>
          </w:p>
        </w:tc>
        <w:tc>
          <w:tcPr>
            <w:tcW w:w="391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718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Сертификат технической поддержки аппаратно-программного комплекса AK InfoDiode Mini, тип «Gold» — 12 месяцев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z w:val="24"/>
                <w:szCs w:val="24"/>
                <w:shd w:fill="auto" w:val="clear"/>
                <w:lang w:val="en-US" w:eastAsia="ru-RU" w:bidi="ar-SA"/>
              </w:rPr>
              <w:t>(Позиция 4, Таблица 2)</w:t>
            </w:r>
          </w:p>
        </w:tc>
        <w:tc>
          <w:tcPr>
            <w:tcW w:w="40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поддержка организуется на основе инцидентной модели. Каждое событие, связанное с обращением за технической поддержкой (далее - Заявкой), считается инцидентом, а все действия, связанные с ним – обработкой инцидента.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классификации инцидентов при регистрации Заявки инциденту присваивается «Приоритет проблемы»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Приоритет проблемы может принимать значения: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</w:t>
            </w:r>
            <w:r>
              <w:rPr>
                <w:sz w:val="24"/>
                <w:szCs w:val="24"/>
              </w:rPr>
              <w:t>Приоритет 1 (критический)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</w:t>
            </w:r>
            <w:r>
              <w:rPr>
                <w:sz w:val="24"/>
                <w:szCs w:val="24"/>
              </w:rPr>
              <w:t>Приоритет 2 (высокий)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</w:t>
            </w:r>
            <w:r>
              <w:rPr>
                <w:sz w:val="24"/>
                <w:szCs w:val="24"/>
              </w:rPr>
              <w:t>Приоритет 3 (средний)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</w:t>
            </w:r>
            <w:r>
              <w:rPr>
                <w:sz w:val="24"/>
                <w:szCs w:val="24"/>
              </w:rPr>
              <w:t>Приоритет 4 (низкий)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приоритета первоначально присваиваются инциденту при регистрации Заявки, но в дальнейшем, при обработке инцидента, уровень может быть изменен.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по заявкам с уровнем Приоритет 1 ведётся круглосуточно.</w:t>
            </w:r>
          </w:p>
        </w:tc>
        <w:tc>
          <w:tcPr>
            <w:tcW w:w="3916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2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7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Ключ активации сервиса прямой технической поддержки уровня "Стандартный" для Континент 4, Платформа IPC-1000F/1000FM/1000NF2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(Позиция 5, Таблица 2);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Ключ активации сервиса прямой технической поддержки уровня "Стандартный" для Континент 4,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К4-3000NF2-HW-SP1Y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(Позиция 6, Таблица 2);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Ключ активации сервиса прямой технической поддержки уровня "Стандартный" для Континент 4, К4-50-HW-SP1Y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(Позиция 7, Таблица 2);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Ключ активации сервиса прямой технической поддержки уровня "Стандартный" для Континент 4, Платформа IPC-500/500F/500M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(Позиция 8, Таблица 2);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Ключ активации сервиса прямой технической поддержки уровня "Стандартный" для Континент 4, К4-R50-HW-SP1Y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(Позиция 9, Таблица 2);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Ключ активации сервиса прямой технической поддержки уровня "Стандартный" для СКЗИ "Континент", HSEC-4-ACS-AP-lic-SP1Y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(Позиция 10, Таблица 2);</w:t>
            </w:r>
          </w:p>
        </w:tc>
        <w:tc>
          <w:tcPr>
            <w:tcW w:w="408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Вендор обязан: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Обеспечить предоставление услуги «Техническая поддержка» с надлежащим качеством, в соответствии с установленными сроками и приобретенным пакетом технической поддержки.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В случае обнаружения уязвимости в сертифицированном продукте – предоставить решение, закрывающее обнаруженную уязвимость.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Регистрировать каждое обращение Пользователя в собственной системе управления инцидентами,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возвращая Пользователю по электронной почте номер зарегистрированного инцидента для идентификации обращения.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Предоставлять информацию о ходе решения зарегистрированных обращений по запросу Пользователя.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При определении причины обращения как ошибки продукта предоставить Пользователю достаточную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информацию для решения инцидента, а именно: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информацию об имеющейся версии, решающей проблему;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либо информацию об имеющемся обновлении продукта, решающем проблему;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либо информацию о планируемых сроках выпуска версии или обновления, с помощью которых можно решить данную проблему;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либо информацию о способе обхода данной проблемы.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Предоставлять ответы по обращениям Пользователя, а именно: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готовое решение или рекомендации для решения проблемы;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консультации по продукту;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доступ к онлайн-ресурсам, содержащим информацию по известным проблемам и рекомендации по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решению типовых обращений.</w:t>
            </w:r>
          </w:p>
        </w:tc>
        <w:tc>
          <w:tcPr>
            <w:tcW w:w="39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7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активации сервиса совместной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технической поддержки ПАК ViPNet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Coordinator HW1000 4.x на срок 1 год, уровень - Расширенный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(Позиция 11, Таблица 2)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активации сервиса совместной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технической поддержки ПАК ViPNet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Coordinator HW100 C 4.x (+unlim) на срок 1 год, уровень - Расширенный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(Позиция 12, Таблица 2)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активации сервиса совместной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технической поддержки ПАК ViPNet Coordinator HW50 A 4.x (+unlim) на срок 1 год, уровень - Расширенный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(Позиция 13, Таблица 2)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активации сервиса совместной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технической поддержки ПО ViPNet Administrator 4.x (КС2) на срок 1 год, уровень - Расширенный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(Позиция 14, Таблица 2)</w:t>
            </w:r>
          </w:p>
        </w:tc>
        <w:tc>
          <w:tcPr>
            <w:tcW w:w="408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Техническая поддержка организуется на основе инцидентной модели. Каждое событие, связанное с обращением за технической поддержкой (далее - Заявкой), считается инцидентом, а все действия, связанные с ним – обработкой инцидента.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Для классификации инцидентов при регистрации Заявки применяется классификационный параметр – «Критичность инцидента».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Критичность инцидента может принимать значения: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•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Критичный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•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Средний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•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Низкий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Уровень критичности первоначально присваиваются инциденту при регистрации Заявки, но в дальнейшем, при обработке инцидента, уровень может быть изменен.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Время реакции на инцидент не более: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•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Критичный - 8 часов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•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Средний - 24 часа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•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Низкий - 48 часов</w:t>
            </w:r>
          </w:p>
        </w:tc>
        <w:tc>
          <w:tcPr>
            <w:tcW w:w="39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3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679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391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2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679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391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2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7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Сертификаты/ключи технической поддержки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(Позиции 1-14, Таблицы 2)</w:t>
            </w:r>
          </w:p>
        </w:tc>
        <w:tc>
          <w:tcPr>
            <w:tcW w:w="40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 электронный почтовый ящик , либо официальным письмом на адрес: 690080 Россия, Приморский край, г. Владивосток, ул. Командорская 13А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должна быть предоставлена информация необходимая и достаточная для активации услуг технической поддержки по всем позициям.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2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679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391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2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7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Сертификаты/ключи технической поддержки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(Позиции 1-14, Таблицы 2)</w:t>
            </w:r>
          </w:p>
        </w:tc>
        <w:tc>
          <w:tcPr>
            <w:tcW w:w="40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Сертификаты/ключи технической поддержки должны иметь гарантийный срок в течение всего срока действия сертификата/ключа.</w:t>
            </w:r>
          </w:p>
        </w:tc>
        <w:tc>
          <w:tcPr>
            <w:tcW w:w="39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20" w:type="dxa"/>
            <w:tcBorders/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679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требования к оказанию услуг</w:t>
            </w:r>
          </w:p>
        </w:tc>
        <w:tc>
          <w:tcPr>
            <w:tcW w:w="3916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20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7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Сертификаты/ключи технической поддержки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(Позиции 1-14, Таблицы 2)</w:t>
            </w:r>
          </w:p>
        </w:tc>
        <w:tc>
          <w:tcPr>
            <w:tcW w:w="4080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120"/>
              <w:jc w:val="left"/>
              <w:rPr>
                <w:sz w:val="24"/>
                <w:szCs w:val="24"/>
              </w:rPr>
            </w:pPr>
            <w:bookmarkStart w:id="42" w:name="__RefHeading___Toc72624_1647355771"/>
            <w:bookmarkEnd w:id="42"/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Должны быть предоставлены Заказчику и доступны для активации в течении 30 дней с даты подписания договора.</w:t>
            </w:r>
          </w:p>
        </w:tc>
        <w:tc>
          <w:tcPr>
            <w:tcW w:w="39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20" w:type="dxa"/>
            <w:tcBorders/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even" r:id="rId7"/>
          <w:headerReference w:type="default" r:id="rId8"/>
          <w:headerReference w:type="first" r:id="rId9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</w:rPr>
      </w:pPr>
      <w:bookmarkStart w:id="43" w:name="__RefHeading___Toc72626_1647355771"/>
      <w:bookmarkStart w:id="44" w:name="_Toc54643710"/>
      <w:bookmarkStart w:id="45" w:name="_Toc53393312"/>
      <w:bookmarkStart w:id="46" w:name="_Toc53395937"/>
      <w:bookmarkStart w:id="47" w:name="_Toc46743519"/>
      <w:bookmarkStart w:id="48" w:name="_Toc51339699"/>
      <w:bookmarkEnd w:id="43"/>
      <w:bookmarkEnd w:id="47"/>
      <w:bookmarkEnd w:id="48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45"/>
      <w:bookmarkEnd w:id="46"/>
      <w:r>
        <w:rPr>
          <w:sz w:val="24"/>
          <w:szCs w:val="24"/>
          <w:lang w:val="ru-RU"/>
        </w:rPr>
        <w:t xml:space="preserve"> на этапе закупки</w:t>
      </w:r>
      <w:bookmarkEnd w:id="4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sz w:val="24"/>
          <w:szCs w:val="24"/>
        </w:rPr>
      </w:pPr>
      <w:r>
        <w:rPr>
          <w:sz w:val="24"/>
          <w:szCs w:val="24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sz w:val="24"/>
          <w:szCs w:val="24"/>
        </w:rPr>
      </w:pPr>
      <w:r>
        <w:rPr>
          <w:sz w:val="24"/>
          <w:szCs w:val="24"/>
        </w:rPr>
        <w:t>Указанная Участником стоимость включает в себя прибыль  и все прочие затраты и расходы Участника, связанные с оказанием Услуг, приобретение материально-технических ресурсов, необходимых для оказания Услуг, уплатой налогов и т. д.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sz w:val="24"/>
          <w:szCs w:val="24"/>
        </w:rPr>
      </w:pPr>
      <w:r>
        <w:rPr/>
      </w:r>
    </w:p>
    <w:sectPr>
      <w:headerReference w:type="even" r:id="rId10"/>
      <w:headerReference w:type="default" r:id="rId11"/>
      <w:headerReference w:type="first" r:id="rId12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6E3AA15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6E3AA15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14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 w:customStyle="1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4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2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WW8Num21z0" w:customStyle="1">
    <w:name w:val="WW8Num21z0"/>
    <w:qFormat/>
    <w:rPr>
      <w:rFonts w:ascii="Symbol" w:hAnsi="Symbol" w:cs="OpenSymbol;Arial Unicode MS"/>
    </w:rPr>
  </w:style>
  <w:style w:type="character" w:styleId="WW8Num21z1" w:customStyle="1">
    <w:name w:val="WW8Num21z1"/>
    <w:qFormat/>
    <w:rPr>
      <w:rFonts w:ascii="OpenSymbol;Arial Unicode MS" w:hAnsi="OpenSymbol;Arial Unicode MS" w:cs="OpenSymbol;Arial Unicode MS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</w:rPr>
  </w:style>
  <w:style w:type="paragraph" w:styleId="Caption1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Колонтитулы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4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5" w:customStyle="1">
    <w:name w:val="Раздел регламента"/>
    <w:basedOn w:val="Normal"/>
    <w:qFormat/>
    <w:rsid w:val="00e228fa"/>
    <w:pPr/>
    <w:rPr/>
  </w:style>
  <w:style w:type="paragraph" w:styleId="Style26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7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2">
    <w:name w:val="index heading2"/>
    <w:basedOn w:val="Style16"/>
    <w:qFormat/>
    <w:pPr/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8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9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0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1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2" w:customStyle="1">
    <w:name w:val="Подподпункт"/>
    <w:basedOn w:val="Style24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5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6">
    <w:name w:val="Содержимое врезки"/>
    <w:basedOn w:val="Normal"/>
    <w:qFormat/>
    <w:pPr/>
    <w:rPr/>
  </w:style>
  <w:style w:type="paragraph" w:styleId="Style37">
    <w:name w:val="Содержимое таблицы"/>
    <w:basedOn w:val="Normal"/>
    <w:qFormat/>
    <w:pPr>
      <w:widowControl w:val="false"/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numbering" w:styleId="Style39" w:default="1">
    <w:name w:val="Без списка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WW8Num21" w:customStyle="1">
    <w:name w:val="WW8Num2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yperlink" Target="https://support.securitycode.ru/" TargetMode="External"/><Relationship Id="rId6" Type="http://schemas.openxmlformats.org/officeDocument/2006/relationships/hyperlink" Target="https://support.securitycode.ru/" TargetMode="Externa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header" Target="header6.xml"/><Relationship Id="rId10" Type="http://schemas.openxmlformats.org/officeDocument/2006/relationships/header" Target="header7.xml"/><Relationship Id="rId11" Type="http://schemas.openxmlformats.org/officeDocument/2006/relationships/header" Target="header8.xml"/><Relationship Id="rId12" Type="http://schemas.openxmlformats.org/officeDocument/2006/relationships/header" Target="header9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5D2D9-7E1C-44D8-A0C3-E1FDECB11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20074</TotalTime>
  <Application>AlterOffice/3.3.1.3$Linux_X86_64 LibreOffice_project/90d829a0d92d6015ad4fa014ce4f460a7fe6c0ba</Application>
  <AppVersion>15.0000</AppVersion>
  <Pages>17</Pages>
  <Words>2414</Words>
  <Characters>16182</Characters>
  <CharactersWithSpaces>18166</CharactersWithSpaces>
  <Paragraphs>432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ignatova_ta</cp:lastModifiedBy>
  <cp:lastPrinted>2026-07-06T15:32:19Z</cp:lastPrinted>
  <dcterms:modified xsi:type="dcterms:W3CDTF">2026-07-21T11:15:58Z</dcterms:modified>
  <cp:revision>202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