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234"/>
        <w:gridCol w:w="8837"/>
      </w:tblGrid>
      <w:tr>
        <w:trPr>
          <w:trHeight w:val="2025" w:hRule="atLeast"/>
        </w:trPr>
        <w:tc>
          <w:tcPr>
            <w:tcW w:w="2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88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11"/>
              <w:jc w:val="left"/>
              <w:rPr/>
            </w:pPr>
            <w:r>
              <w:rPr/>
              <w:drawing>
                <wp:inline distT="0" distB="0" distL="0" distR="0">
                  <wp:extent cx="5479415" cy="93789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41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Запрос 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8"/>
          <w:rFonts w:eastAsia="Calibri" w:ascii="Times New Roman" w:hAnsi="Times New Roman"/>
          <w:b/>
          <w:bCs/>
          <w:i w:val="false"/>
          <w:iCs w:val="false"/>
          <w:spacing w:val="-2"/>
          <w:sz w:val="24"/>
          <w:szCs w:val="24"/>
          <w:shd w:fill="auto" w:val="clear"/>
        </w:rPr>
        <w:t>на т</w:t>
      </w:r>
      <w:r>
        <w:rPr>
          <w:rStyle w:val="Style8"/>
          <w:rFonts w:eastAsia="Calibri" w:ascii="Times New Roman" w:hAnsi="Times New Roman"/>
          <w:b/>
          <w:bCs/>
          <w:i w:val="false"/>
          <w:iCs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val="ru-RU"/>
        </w:rPr>
        <w:t>екущий ремонт блоков аналоговых входов терминала электрических защит ГА1, двух терминалов электрических защит ГА2 Нижне-Бурейской ГЭС в заводских условиях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80"/>
        <w:ind w:left="0" w:hanging="0"/>
        <w:jc w:val="center"/>
        <w:outlineLvl w:val="0"/>
        <w:rPr>
          <w:rStyle w:val="Style8"/>
          <w:rFonts w:ascii="Times New Roman" w:hAnsi="Times New Roman" w:eastAsia="Calibri"/>
          <w:b w:val="false"/>
          <w:bCs w:val="false"/>
          <w:i w:val="false"/>
          <w:i w:val="false"/>
          <w:iCs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val="ru-RU"/>
        </w:rPr>
      </w:pPr>
      <w:r>
        <w:rPr>
          <w:rFonts w:eastAsia="Calibri"/>
          <w:b w:val="false"/>
          <w:bCs w:val="false"/>
          <w:i w:val="false"/>
          <w:iCs w:val="false"/>
          <w:caps w:val="false"/>
          <w:smallCaps w:val="false"/>
          <w:color w:val="2C2D2E"/>
          <w:spacing w:val="0"/>
          <w:sz w:val="24"/>
          <w:szCs w:val="24"/>
          <w:shd w:fill="auto" w:val="clear"/>
          <w:lang w:val="ru-RU"/>
        </w:rPr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1. Филиал ПАО «РусГидро» - «Бурейская ГЭС»  (далее – Заказчик) сообщает о проведении анализа коммерческих предложений потенциальных исполнителей на текущий ремонт блоков аналоговых входов терминала электрических защит ГА1, двух терминалов электрических защит ГА2 Нижне-Бурейской ГЭС в заводских условиях</w:t>
      </w:r>
      <w:r>
        <w:rPr>
          <w:b w:val="false"/>
          <w:i w:val="false"/>
          <w:caps w:val="false"/>
          <w:smallCaps w:val="false"/>
          <w:color w:val="2C2D2E"/>
          <w:spacing w:val="0"/>
          <w:sz w:val="24"/>
          <w:szCs w:val="24"/>
          <w:lang w:val="ru-RU"/>
        </w:rPr>
        <w:t>.</w:t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2. Подробные требования к работам (в том числе, сведения об объеме, месте, сроках) приведены в приложении 1 к настоящему запросу.</w:t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BodyText"/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4. Ответ с коммерческим предложением должен быть оформлен на официальном бланке </w:t>
      </w:r>
      <w:r>
        <w:rPr>
          <w:sz w:val="24"/>
          <w:szCs w:val="24"/>
        </w:rPr>
        <w:t>Подрядчика</w:t>
      </w:r>
      <w:r>
        <w:rPr>
          <w:sz w:val="24"/>
          <w:szCs w:val="24"/>
        </w:rPr>
        <w:t xml:space="preserve">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</w:t>
      </w:r>
      <w:r>
        <w:rPr>
          <w:sz w:val="24"/>
          <w:szCs w:val="24"/>
        </w:rPr>
        <w:t>Подрядчика</w:t>
      </w:r>
      <w:r>
        <w:rPr>
          <w:sz w:val="24"/>
          <w:szCs w:val="24"/>
        </w:rPr>
        <w:t>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5. Срок подачи коммерческих предложений: до 10:00 (МСК) 30.07.2026г.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r>
        <w:rPr>
          <w:sz w:val="24"/>
          <w:szCs w:val="24"/>
        </w:rPr>
        <w:t xml:space="preserve">6.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spacing w:lineRule="auto" w:line="240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1. Технические требования.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911db6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b1523c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AlterOffice/3.4.0.9$Linux_X86_64 LibreOffice_project/b8daf9e823b1a5463a2f48435ddc2e8696e7d4fc</Application>
  <AppVersion>15.0000</AppVersion>
  <Pages>1</Pages>
  <Words>242</Words>
  <Characters>1651</Characters>
  <CharactersWithSpaces>1876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2023-08-20T04:08:00Z</dcterms:created>
  <dc:creator>Лысенко Екатерина Алексеевна</dc:creator>
  <dc:description/>
  <dc:language>ru-RU</dc:language>
  <cp:lastModifiedBy>petrovigv@corp.gidroogk.com</cp:lastModifiedBy>
  <cp:lastPrinted>2024-01-17T01:07:00Z</cp:lastPrinted>
  <dcterms:modified xsi:type="dcterms:W3CDTF">2026-07-23T16:04:48Z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