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oter9.xml" ContentType="application/vnd.openxmlformats-officedocument.wordprocessingml.footer+xml"/>
  <Override PartName="/word/footer8.xml" ContentType="application/vnd.openxmlformats-officedocument.wordprocessingml.footer+xml"/>
  <Override PartName="/word/footer6.xml" ContentType="application/vnd.openxmlformats-officedocument.wordprocessingml.footer+xml"/>
  <Override PartName="/word/footer15.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header9.xml" ContentType="application/vnd.openxmlformats-officedocument.wordprocessingml.header+xml"/>
  <Override PartName="/word/media/image4.wmf" ContentType="image/x-wmf"/>
  <Override PartName="/word/media/image5.wmf" ContentType="image/x-wmf"/>
  <Override PartName="/word/media/image1.wmf" ContentType="image/x-wmf"/>
  <Override PartName="/word/media/image2.wmf" ContentType="image/x-wmf"/>
  <Override PartName="/word/media/image3.wmf" ContentType="image/x-wmf"/>
  <Override PartName="/word/footer4.xml" ContentType="application/vnd.openxmlformats-officedocument.wordprocessingml.footer+xml"/>
  <Override PartName="/word/footer13.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header12.xml" ContentType="application/vnd.openxmlformats-officedocument.wordprocessingml.header+xml"/>
  <Override PartName="/word/header13.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header10.xml" ContentType="application/vnd.openxmlformats-officedocument.wordprocessingml.header+xml"/>
  <Override PartName="/word/settings.xml" ContentType="application/vnd.openxmlformats-officedocument.wordprocessingml.settings+xml"/>
  <Override PartName="/word/header15.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oter1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3.xml" ContentType="application/vnd.openxmlformats-officedocument.wordprocessingml.footer+xml"/>
  <Override PartName="/word/embeddings/oleObject3.docx" ContentType="application/vnd.openxmlformats-officedocument.wordprocessingml.document"/>
  <Override PartName="/word/embeddings/oleObject5.docx" ContentType="application/vnd.openxmlformats-officedocument.wordprocessingml.document"/>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4.xlsx" ContentType="application/vnd.openxmlformats-officedocument.spreadsheetml.sheet"/>
  <Override PartName="/word/header8.xml" ContentType="application/vnd.openxmlformats-officedocument.wordprocessingml.header+xml"/>
  <Override PartName="/word/header3.xml" ContentType="application/vnd.openxmlformats-officedocument.wordprocessingml.header+xml"/>
  <Override PartName="/word/header14.xml" ContentType="application/vnd.openxmlformats-officedocument.wordprocessingml.header+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8"/>
        <w:keepNext w:val="true"/>
        <w:spacing w:before="120" w:after="0"/>
        <w:ind w:left="4536" w:hanging="0"/>
        <w:rPr/>
      </w:pPr>
      <w:r>
        <w:rPr/>
        <w:t>«УТВЕРЖДАЮ»</w:t>
      </w:r>
    </w:p>
    <w:p>
      <w:pPr>
        <w:pStyle w:val="Style28"/>
        <w:keepNext w:val="true"/>
        <w:ind w:left="4536" w:hanging="0"/>
        <w:rPr/>
      </w:pPr>
      <w:r>
        <w:rPr/>
        <w:t>Зам. Председателя закупочной комиссии</w:t>
      </w:r>
    </w:p>
    <w:p>
      <w:pPr>
        <w:pStyle w:val="Style28"/>
        <w:keepNext w:val="true"/>
        <w:ind w:left="4536" w:hanging="0"/>
        <w:rPr>
          <w:rStyle w:val="Style8"/>
          <w:rFonts w:eastAsia="Calibri" w:cs="" w:cstheme="minorBidi" w:eastAsiaTheme="minorHAnsi"/>
          <w:i w:val="false"/>
          <w:i w:val="false"/>
          <w:iCs w:val="false"/>
          <w:color w:val="000000"/>
          <w:kern w:val="0"/>
          <w:sz w:val="26"/>
          <w:szCs w:val="22"/>
          <w:shd w:fill="auto" w:val="clear"/>
          <w:lang w:val="ru-RU" w:eastAsia="en-US" w:bidi="ar-SA"/>
        </w:rPr>
      </w:pPr>
      <w:r>
        <w:rPr/>
        <w:t>___________________</w:t>
      </w:r>
    </w:p>
    <w:p>
      <w:pPr>
        <w:pStyle w:val="Style28"/>
        <w:keepNext w:val="true"/>
        <w:ind w:left="4536" w:hanging="0"/>
        <w:rPr/>
      </w:pPr>
      <w:r>
        <w:rPr/>
        <w:t>«____» ___________________ 2026 год</w:t>
      </w:r>
    </w:p>
    <w:p>
      <w:pPr>
        <w:pStyle w:val="Style28"/>
        <w:rPr/>
      </w:pPr>
      <w:r>
        <w:rPr/>
      </w:r>
    </w:p>
    <w:p>
      <w:pPr>
        <w:pStyle w:val="Style28"/>
        <w:rPr/>
      </w:pPr>
      <w:r>
        <w:rPr/>
      </w:r>
    </w:p>
    <w:p>
      <w:pPr>
        <w:pStyle w:val="Style28"/>
        <w:rPr/>
      </w:pPr>
      <w:r>
        <w:rPr/>
      </w:r>
    </w:p>
    <w:p>
      <w:pPr>
        <w:pStyle w:val="Style28"/>
        <w:rPr/>
      </w:pPr>
      <w:r>
        <w:rPr/>
      </w:r>
    </w:p>
    <w:p>
      <w:pPr>
        <w:pStyle w:val="Style28"/>
        <w:rPr/>
      </w:pPr>
      <w:r>
        <w:rPr/>
      </w:r>
    </w:p>
    <w:p>
      <w:pPr>
        <w:pStyle w:val="Style28"/>
        <w:keepNext w:val="true"/>
        <w:numPr>
          <w:ilvl w:val="0"/>
          <w:numId w:val="0"/>
        </w:numPr>
        <w:ind w:left="0" w:hanging="0"/>
        <w:jc w:val="center"/>
        <w:outlineLvl w:val="2"/>
        <w:rPr>
          <w:b/>
          <w:bCs/>
          <w:caps/>
        </w:rPr>
      </w:pPr>
      <w:r>
        <w:rPr>
          <w:b/>
          <w:bCs/>
          <w:caps/>
        </w:rPr>
        <w:t>Документация о закупке</w:t>
      </w:r>
    </w:p>
    <w:p>
      <w:pPr>
        <w:pStyle w:val="Style28"/>
        <w:keepNext w:val="true"/>
        <w:spacing w:before="240" w:after="0"/>
        <w:jc w:val="center"/>
        <w:rPr>
          <w:rStyle w:val="Style8"/>
        </w:rPr>
      </w:pPr>
      <w:r>
        <w:rPr/>
        <w:t>Ко</w:t>
      </w:r>
      <w:r>
        <w:rPr>
          <w:i w:val="false"/>
          <w:iCs w:val="false"/>
          <w:shd w:fill="auto" w:val="clear"/>
        </w:rPr>
        <w:t>нкурс в электронной форме,</w:t>
        <w:br/>
        <w:t>участниками которого могут быть только субъекты МСП,</w:t>
        <w:br/>
        <w:t>на право заключения договора на</w:t>
      </w:r>
      <w:r>
        <w:rPr>
          <w:rStyle w:val="Style8"/>
          <w:i w:val="false"/>
          <w:iCs w:val="false"/>
          <w:shd w:fill="auto" w:val="clear"/>
        </w:rPr>
        <w:t> выполнение работ</w:t>
      </w:r>
    </w:p>
    <w:p>
      <w:pPr>
        <w:pStyle w:val="Style28"/>
        <w:spacing w:before="240" w:after="0"/>
        <w:jc w:val="center"/>
        <w:rPr/>
      </w:pPr>
      <w:r>
        <w:rPr>
          <w:rStyle w:val="Style8"/>
          <w:b/>
          <w:bCs/>
          <w:i/>
          <w:iCs/>
          <w:shd w:fill="auto" w:val="clear"/>
        </w:rPr>
        <w:t>«ОКПД2 42.22.12.110 Выполнение проектных, строительно-монтажных работ (в том числе оформление правоустанавливающих документов на землю) по объекту: «Реконструкция РУ 35 кВ ПС 35 кВ Соловей ключ с расширением на одну линейную ячейку 35 кВ со строительством ЛЭП 35 кВ от РУ ПС 35 кВ Соловей ключ до РУ 35 кВ ПС 220 кВ Гродеков (яч.ТСН-35 кВ) в п.Соловей ключ Надеждинского района Приморского края для заявителя ПАО "Россети" с платой за технологическое присоединение к электрическим сетям ПЭС в рамках инвестиционного проекта Q_25-ПЭС-6187 ПТП»</w:t>
      </w:r>
    </w:p>
    <w:p>
      <w:pPr>
        <w:sectPr>
          <w:type w:val="nextPage"/>
          <w:pgSz w:w="11906" w:h="16838"/>
          <w:pgMar w:left="1134" w:right="850" w:gutter="0" w:header="0" w:top="851" w:footer="0" w:bottom="851"/>
          <w:pgNumType w:fmt="decimal"/>
          <w:formProt w:val="false"/>
          <w:textDirection w:val="lrTb"/>
          <w:docGrid w:type="default" w:linePitch="360" w:charSpace="0"/>
        </w:sectPr>
        <w:pStyle w:val="Style28"/>
        <w:spacing w:before="240" w:after="0"/>
        <w:jc w:val="center"/>
        <w:rPr/>
      </w:pPr>
      <w:r>
        <w:rPr>
          <w:rStyle w:val="Style8"/>
          <w:b w:val="false"/>
          <w:bCs w:val="false"/>
          <w:i w:val="false"/>
          <w:iCs w:val="false"/>
          <w:shd w:fill="auto" w:val="clear"/>
        </w:rPr>
        <w:t>(Лот №307001-ТПИР ОБСЛ-2026-ДРСК)</w:t>
      </w:r>
    </w:p>
    <w:p>
      <w:pPr>
        <w:pStyle w:val="Style27"/>
        <w:numPr>
          <w:ilvl w:val="0"/>
          <w:numId w:val="0"/>
        </w:numPr>
        <w:ind w:left="0" w:hanging="0"/>
        <w:outlineLvl w:val="2"/>
        <w:rPr/>
      </w:pPr>
      <w:r>
        <w:rPr/>
        <w:t>Содержание</w:t>
      </w:r>
    </w:p>
    <w:sdt>
      <w:sdtPr>
        <w:docPartObj>
          <w:docPartGallery w:val="Table of Contents"/>
          <w:docPartUnique w:val="true"/>
        </w:docPartObj>
      </w:sdtPr>
      <w:sdtContent>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r>
            <w:fldChar w:fldCharType="begin"/>
          </w:r>
          <w:r>
            <w:rPr>
              <w:webHidden/>
              <w:rStyle w:val="Style17"/>
              <w:vanish w:val="false"/>
            </w:rPr>
            <w:instrText xml:space="preserve"> TOC \z \u \t "[РГ] Перечисление,5,[РГ] Подпункт,4,[РГ] Пункт,3,[РГ] Подраздел,2,[РГ] Раздел,1,[РГ] Раздел,1,[РГ] Раздел,1,[РГ] Раздел,1,[РГ] Раздел,1,[РГ] Раздел,1,[РГ] Раздел,1,[РГ] Подраздел,2,[РГ] Подраздел,2,[РГ] Подраздел,2,[РГ] Подраздел,2,[РГ] Подраздел,2,[РГ] Подраздел,2,[РГ] Пункт,3,[РГ] Пункт,3,[РГ] Пункт,3,[РГ] Пункт,3,[РГ] Пункт,3,[РГ] Подпункт,4,[РГ] Подпункт,4,[РГ] Подпункт,4,[РГ] Подпункт,4,[РГ] Подпункт,4,[РГ] Перечисление,5,[РГ] Перечисление,5,[РГ] Перечисление,5,[РГ] Перечисление,5,[РГ] Перечисление,5" \h</w:instrText>
          </w:r>
          <w:r>
            <w:rPr>
              <w:webHidden/>
              <w:rStyle w:val="Style17"/>
              <w:vanish w:val="false"/>
            </w:rPr>
            <w:fldChar w:fldCharType="separate"/>
          </w:r>
          <w:hyperlink w:anchor="_Toc228876833">
            <w:r>
              <w:rPr>
                <w:webHidden/>
              </w:rPr>
              <w:fldChar w:fldCharType="begin"/>
            </w:r>
            <w:r>
              <w:rPr>
                <w:webHidden/>
              </w:rPr>
              <w:instrText xml:space="preserve">PAGEREF _Toc228876833 \h</w:instrText>
            </w:r>
            <w:r>
              <w:rPr>
                <w:webHidden/>
              </w:rPr>
              <w:fldChar w:fldCharType="separate"/>
            </w:r>
            <w:r>
              <w:rPr>
                <w:webHidden/>
                <w:rStyle w:val="Style17"/>
                <w:vanish w:val="false"/>
              </w:rPr>
              <w:t>Сокращения</w:t>
              <w:tab/>
              <w:t>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834">
            <w:r>
              <w:rPr>
                <w:webHidden/>
              </w:rPr>
              <w:fldChar w:fldCharType="begin"/>
            </w:r>
            <w:r>
              <w:rPr>
                <w:webHidden/>
              </w:rPr>
              <w:instrText xml:space="preserve">PAGEREF _Toc228876834 \h</w:instrText>
            </w:r>
            <w:r>
              <w:rPr>
                <w:webHidden/>
              </w:rPr>
              <w:fldChar w:fldCharType="separate"/>
            </w:r>
            <w:r>
              <w:rPr>
                <w:webHidden/>
                <w:rStyle w:val="Style17"/>
                <w:vanish w:val="false"/>
              </w:rPr>
              <w:t>Термины и определения</w:t>
              <w:tab/>
              <w:t>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835">
            <w:r>
              <w:rPr>
                <w:webHidden/>
                <w:rStyle w:val="Style17"/>
                <w:vanish w:val="false"/>
              </w:rPr>
              <w:t>1.</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Основные сведения о закупке</w:t>
            </w:r>
            <w:r>
              <w:rPr>
                <w:webHidden/>
              </w:rPr>
              <w:fldChar w:fldCharType="begin"/>
            </w:r>
            <w:r>
              <w:rPr>
                <w:webHidden/>
              </w:rPr>
              <w:instrText xml:space="preserve">PAGEREF _Toc228876835 \h</w:instrText>
            </w:r>
            <w:r>
              <w:rPr>
                <w:webHidden/>
              </w:rPr>
              <w:fldChar w:fldCharType="separate"/>
            </w:r>
            <w:r>
              <w:rPr>
                <w:rStyle w:val="Style17"/>
                <w:vanish w:val="false"/>
              </w:rPr>
              <w:tab/>
              <w:t>12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36">
            <w:r>
              <w:rPr>
                <w:webHidden/>
                <w:rStyle w:val="Style17"/>
                <w:vanish w:val="false"/>
              </w:rPr>
              <w:t>1.1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Статус настоящего раздела</w:t>
            </w:r>
            <w:r>
              <w:rPr>
                <w:webHidden/>
              </w:rPr>
              <w:fldChar w:fldCharType="begin"/>
            </w:r>
            <w:r>
              <w:rPr>
                <w:webHidden/>
              </w:rPr>
              <w:instrText xml:space="preserve">PAGEREF _Toc228876836 \h</w:instrText>
            </w:r>
            <w:r>
              <w:rPr>
                <w:webHidden/>
              </w:rPr>
              <w:fldChar w:fldCharType="separate"/>
            </w:r>
            <w:r>
              <w:rPr>
                <w:rStyle w:val="Style17"/>
                <w:vanish w:val="false"/>
              </w:rPr>
              <w:tab/>
              <w:t>12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37">
            <w:r>
              <w:rPr>
                <w:webHidden/>
                <w:rStyle w:val="Style17"/>
                <w:vanish w:val="false"/>
              </w:rPr>
              <w:t>1.2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Информация о проводимой закупке</w:t>
            </w:r>
            <w:r>
              <w:rPr>
                <w:webHidden/>
              </w:rPr>
              <w:fldChar w:fldCharType="begin"/>
            </w:r>
            <w:r>
              <w:rPr>
                <w:webHidden/>
              </w:rPr>
              <w:instrText xml:space="preserve">PAGEREF _Toc228876837 \h</w:instrText>
            </w:r>
            <w:r>
              <w:rPr>
                <w:webHidden/>
              </w:rPr>
              <w:fldChar w:fldCharType="separate"/>
            </w:r>
            <w:r>
              <w:rPr>
                <w:rStyle w:val="Style17"/>
                <w:vanish w:val="false"/>
              </w:rPr>
              <w:tab/>
              <w:t>12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838">
            <w:r>
              <w:rPr>
                <w:webHidden/>
                <w:rStyle w:val="Style17"/>
                <w:vanish w:val="false"/>
              </w:rPr>
              <w:t>2.</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Общие положения</w:t>
            </w:r>
            <w:r>
              <w:rPr>
                <w:webHidden/>
              </w:rPr>
              <w:fldChar w:fldCharType="begin"/>
            </w:r>
            <w:r>
              <w:rPr>
                <w:webHidden/>
              </w:rPr>
              <w:instrText xml:space="preserve">PAGEREF _Toc228876838 \h</w:instrText>
            </w:r>
            <w:r>
              <w:rPr>
                <w:webHidden/>
              </w:rPr>
              <w:fldChar w:fldCharType="separate"/>
            </w:r>
            <w:r>
              <w:rPr>
                <w:rStyle w:val="Style17"/>
                <w:vanish w:val="false"/>
              </w:rPr>
              <w:tab/>
              <w:t>26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39">
            <w:r>
              <w:rPr>
                <w:webHidden/>
                <w:rStyle w:val="Style17"/>
                <w:vanish w:val="false"/>
              </w:rPr>
              <w:t>2.1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Общие сведения о закупке</w:t>
            </w:r>
            <w:r>
              <w:rPr>
                <w:webHidden/>
              </w:rPr>
              <w:fldChar w:fldCharType="begin"/>
            </w:r>
            <w:r>
              <w:rPr>
                <w:webHidden/>
              </w:rPr>
              <w:instrText xml:space="preserve">PAGEREF _Toc228876839 \h</w:instrText>
            </w:r>
            <w:r>
              <w:rPr>
                <w:webHidden/>
              </w:rPr>
              <w:fldChar w:fldCharType="separate"/>
            </w:r>
            <w:r>
              <w:rPr>
                <w:rStyle w:val="Style17"/>
                <w:vanish w:val="false"/>
              </w:rPr>
              <w:tab/>
              <w:t>26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40">
            <w:r>
              <w:rPr>
                <w:webHidden/>
                <w:rStyle w:val="Style17"/>
                <w:vanish w:val="false"/>
              </w:rPr>
              <w:t>2.2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Правовой статус документов</w:t>
            </w:r>
            <w:r>
              <w:rPr>
                <w:webHidden/>
              </w:rPr>
              <w:fldChar w:fldCharType="begin"/>
            </w:r>
            <w:r>
              <w:rPr>
                <w:webHidden/>
              </w:rPr>
              <w:instrText xml:space="preserve">PAGEREF _Toc228876840 \h</w:instrText>
            </w:r>
            <w:r>
              <w:rPr>
                <w:webHidden/>
              </w:rPr>
              <w:fldChar w:fldCharType="separate"/>
            </w:r>
            <w:r>
              <w:rPr>
                <w:rStyle w:val="Style17"/>
                <w:vanish w:val="false"/>
              </w:rPr>
              <w:tab/>
              <w:t>26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41">
            <w:r>
              <w:rPr>
                <w:webHidden/>
                <w:rStyle w:val="Style17"/>
                <w:vanish w:val="false"/>
              </w:rPr>
              <w:t>2.3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Обжалование</w:t>
            </w:r>
            <w:r>
              <w:rPr>
                <w:webHidden/>
              </w:rPr>
              <w:fldChar w:fldCharType="begin"/>
            </w:r>
            <w:r>
              <w:rPr>
                <w:webHidden/>
              </w:rPr>
              <w:instrText xml:space="preserve">PAGEREF _Toc228876841 \h</w:instrText>
            </w:r>
            <w:r>
              <w:rPr>
                <w:webHidden/>
              </w:rPr>
              <w:fldChar w:fldCharType="separate"/>
            </w:r>
            <w:r>
              <w:rPr>
                <w:rStyle w:val="Style17"/>
                <w:vanish w:val="false"/>
              </w:rPr>
              <w:tab/>
              <w:t>27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42">
            <w:r>
              <w:rPr>
                <w:webHidden/>
                <w:rStyle w:val="Style17"/>
                <w:vanish w:val="false"/>
              </w:rPr>
              <w:t>2.4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Особые положения при проведении закупки с использованием ЭП</w:t>
            </w:r>
            <w:r>
              <w:rPr>
                <w:webHidden/>
              </w:rPr>
              <w:fldChar w:fldCharType="begin"/>
            </w:r>
            <w:r>
              <w:rPr>
                <w:webHidden/>
              </w:rPr>
              <w:instrText xml:space="preserve">PAGEREF _Toc228876842 \h</w:instrText>
            </w:r>
            <w:r>
              <w:rPr>
                <w:webHidden/>
              </w:rPr>
              <w:fldChar w:fldCharType="separate"/>
            </w:r>
            <w:r>
              <w:rPr>
                <w:rStyle w:val="Style17"/>
                <w:vanish w:val="false"/>
              </w:rPr>
              <w:tab/>
              <w:t>28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43">
            <w:r>
              <w:rPr>
                <w:webHidden/>
                <w:rStyle w:val="Style17"/>
                <w:vanish w:val="false"/>
              </w:rPr>
              <w:t>2.5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Прочие положения</w:t>
            </w:r>
            <w:r>
              <w:rPr>
                <w:webHidden/>
              </w:rPr>
              <w:fldChar w:fldCharType="begin"/>
            </w:r>
            <w:r>
              <w:rPr>
                <w:webHidden/>
              </w:rPr>
              <w:instrText xml:space="preserve">PAGEREF _Toc228876843 \h</w:instrText>
            </w:r>
            <w:r>
              <w:rPr>
                <w:webHidden/>
              </w:rPr>
              <w:fldChar w:fldCharType="separate"/>
            </w:r>
            <w:r>
              <w:rPr>
                <w:rStyle w:val="Style17"/>
                <w:vanish w:val="false"/>
              </w:rPr>
              <w:tab/>
              <w:t>28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844">
            <w:r>
              <w:rPr>
                <w:webHidden/>
                <w:rStyle w:val="Style17"/>
                <w:vanish w:val="false"/>
              </w:rPr>
              <w:t>3.</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Требования к Участникам</w:t>
            </w:r>
            <w:r>
              <w:rPr>
                <w:webHidden/>
              </w:rPr>
              <w:fldChar w:fldCharType="begin"/>
            </w:r>
            <w:r>
              <w:rPr>
                <w:webHidden/>
              </w:rPr>
              <w:instrText xml:space="preserve">PAGEREF _Toc228876844 \h</w:instrText>
            </w:r>
            <w:r>
              <w:rPr>
                <w:webHidden/>
              </w:rPr>
              <w:fldChar w:fldCharType="separate"/>
            </w:r>
            <w:r>
              <w:rPr>
                <w:rStyle w:val="Style17"/>
                <w:vanish w:val="false"/>
              </w:rPr>
              <w:tab/>
              <w:t>30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45">
            <w:r>
              <w:rPr>
                <w:webHidden/>
                <w:rStyle w:val="Style17"/>
                <w:vanish w:val="false"/>
              </w:rPr>
              <w:t>3.1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Общие требования к Участникам</w:t>
            </w:r>
            <w:r>
              <w:rPr>
                <w:webHidden/>
              </w:rPr>
              <w:fldChar w:fldCharType="begin"/>
            </w:r>
            <w:r>
              <w:rPr>
                <w:webHidden/>
              </w:rPr>
              <w:instrText xml:space="preserve">PAGEREF _Toc228876845 \h</w:instrText>
            </w:r>
            <w:r>
              <w:rPr>
                <w:webHidden/>
              </w:rPr>
              <w:fldChar w:fldCharType="separate"/>
            </w:r>
            <w:r>
              <w:rPr>
                <w:rStyle w:val="Style17"/>
                <w:vanish w:val="false"/>
              </w:rPr>
              <w:tab/>
              <w:t>30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46">
            <w:r>
              <w:rPr>
                <w:webHidden/>
                <w:rStyle w:val="Style17"/>
                <w:vanish w:val="false"/>
              </w:rPr>
              <w:t>3.2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Генеральные подрядчики</w:t>
            </w:r>
            <w:r>
              <w:rPr>
                <w:webHidden/>
              </w:rPr>
              <w:fldChar w:fldCharType="begin"/>
            </w:r>
            <w:r>
              <w:rPr>
                <w:webHidden/>
              </w:rPr>
              <w:instrText xml:space="preserve">PAGEREF _Toc228876846 \h</w:instrText>
            </w:r>
            <w:r>
              <w:rPr>
                <w:webHidden/>
              </w:rPr>
              <w:fldChar w:fldCharType="separate"/>
            </w:r>
            <w:r>
              <w:rPr>
                <w:rStyle w:val="Style17"/>
                <w:vanish w:val="false"/>
              </w:rPr>
              <w:tab/>
              <w:t>30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847">
            <w:r>
              <w:rPr>
                <w:webHidden/>
                <w:rStyle w:val="Style17"/>
                <w:vanish w:val="false"/>
              </w:rPr>
              <w:t>4.</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Порядок проведения закупки</w:t>
            </w:r>
            <w:r>
              <w:rPr>
                <w:webHidden/>
              </w:rPr>
              <w:fldChar w:fldCharType="begin"/>
            </w:r>
            <w:r>
              <w:rPr>
                <w:webHidden/>
              </w:rPr>
              <w:instrText xml:space="preserve">PAGEREF _Toc228876847 \h</w:instrText>
            </w:r>
            <w:r>
              <w:rPr>
                <w:webHidden/>
              </w:rPr>
              <w:fldChar w:fldCharType="separate"/>
            </w:r>
            <w:r>
              <w:rPr>
                <w:rStyle w:val="Style17"/>
                <w:vanish w:val="false"/>
              </w:rPr>
              <w:tab/>
              <w:t>32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48">
            <w:r>
              <w:rPr>
                <w:webHidden/>
                <w:rStyle w:val="Style17"/>
                <w:vanish w:val="false"/>
              </w:rPr>
              <w:t>4.1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Общий порядок проведения закупки</w:t>
            </w:r>
            <w:r>
              <w:rPr>
                <w:webHidden/>
              </w:rPr>
              <w:fldChar w:fldCharType="begin"/>
            </w:r>
            <w:r>
              <w:rPr>
                <w:webHidden/>
              </w:rPr>
              <w:instrText xml:space="preserve">PAGEREF _Toc228876848 \h</w:instrText>
            </w:r>
            <w:r>
              <w:rPr>
                <w:webHidden/>
              </w:rPr>
              <w:fldChar w:fldCharType="separate"/>
            </w:r>
            <w:r>
              <w:rPr>
                <w:rStyle w:val="Style17"/>
                <w:vanish w:val="false"/>
              </w:rPr>
              <w:tab/>
              <w:t>32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49">
            <w:r>
              <w:rPr>
                <w:webHidden/>
                <w:rStyle w:val="Style17"/>
                <w:vanish w:val="false"/>
              </w:rPr>
              <w:t>4.2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Официальное размещение Извещения и Документации о закупке</w:t>
            </w:r>
            <w:r>
              <w:rPr>
                <w:webHidden/>
              </w:rPr>
              <w:fldChar w:fldCharType="begin"/>
            </w:r>
            <w:r>
              <w:rPr>
                <w:webHidden/>
              </w:rPr>
              <w:instrText xml:space="preserve">PAGEREF _Toc228876849 \h</w:instrText>
            </w:r>
            <w:r>
              <w:rPr>
                <w:webHidden/>
              </w:rPr>
              <w:fldChar w:fldCharType="separate"/>
            </w:r>
            <w:r>
              <w:rPr>
                <w:rStyle w:val="Style17"/>
                <w:vanish w:val="false"/>
              </w:rPr>
              <w:tab/>
              <w:t>35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50">
            <w:r>
              <w:rPr>
                <w:webHidden/>
                <w:rStyle w:val="Style17"/>
                <w:vanish w:val="false"/>
              </w:rPr>
              <w:t>4.3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Предзаявочное обсуждение</w:t>
            </w:r>
            <w:r>
              <w:rPr>
                <w:webHidden/>
              </w:rPr>
              <w:fldChar w:fldCharType="begin"/>
            </w:r>
            <w:r>
              <w:rPr>
                <w:webHidden/>
              </w:rPr>
              <w:instrText xml:space="preserve">PAGEREF _Toc228876850 \h</w:instrText>
            </w:r>
            <w:r>
              <w:rPr>
                <w:webHidden/>
              </w:rPr>
              <w:fldChar w:fldCharType="separate"/>
            </w:r>
            <w:r>
              <w:rPr>
                <w:rStyle w:val="Style17"/>
                <w:vanish w:val="false"/>
              </w:rPr>
              <w:tab/>
              <w:t>35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51">
            <w:r>
              <w:rPr>
                <w:webHidden/>
                <w:rStyle w:val="Style17"/>
                <w:vanish w:val="false"/>
              </w:rPr>
              <w:t>4.4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Подготовка заявки</w:t>
            </w:r>
            <w:r>
              <w:rPr>
                <w:webHidden/>
              </w:rPr>
              <w:fldChar w:fldCharType="begin"/>
            </w:r>
            <w:r>
              <w:rPr>
                <w:webHidden/>
              </w:rPr>
              <w:instrText xml:space="preserve">PAGEREF _Toc228876851 \h</w:instrText>
            </w:r>
            <w:r>
              <w:rPr>
                <w:webHidden/>
              </w:rPr>
              <w:fldChar w:fldCharType="separate"/>
            </w:r>
            <w:r>
              <w:rPr>
                <w:rStyle w:val="Style17"/>
                <w:vanish w:val="false"/>
              </w:rPr>
              <w:tab/>
              <w:t>37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52">
            <w:r>
              <w:rPr>
                <w:webHidden/>
                <w:rStyle w:val="Style17"/>
                <w:vanish w:val="false"/>
              </w:rPr>
              <w:t>4.5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Разъяснение Документации о закупке</w:t>
            </w:r>
            <w:r>
              <w:rPr>
                <w:webHidden/>
              </w:rPr>
              <w:fldChar w:fldCharType="begin"/>
            </w:r>
            <w:r>
              <w:rPr>
                <w:webHidden/>
              </w:rPr>
              <w:instrText xml:space="preserve">PAGEREF _Toc228876852 \h</w:instrText>
            </w:r>
            <w:r>
              <w:rPr>
                <w:webHidden/>
              </w:rPr>
              <w:fldChar w:fldCharType="separate"/>
            </w:r>
            <w:r>
              <w:rPr>
                <w:rStyle w:val="Style17"/>
                <w:vanish w:val="false"/>
              </w:rPr>
              <w:tab/>
              <w:t>41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53">
            <w:r>
              <w:rPr>
                <w:webHidden/>
                <w:rStyle w:val="Style17"/>
                <w:vanish w:val="false"/>
              </w:rPr>
              <w:t>4.6</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Изменения Извещения и (или) Документации о закупке</w:t>
            </w:r>
            <w:r>
              <w:rPr>
                <w:webHidden/>
              </w:rPr>
              <w:fldChar w:fldCharType="begin"/>
            </w:r>
            <w:r>
              <w:rPr>
                <w:webHidden/>
              </w:rPr>
              <w:instrText xml:space="preserve">PAGEREF _Toc228876853 \h</w:instrText>
            </w:r>
            <w:r>
              <w:rPr>
                <w:webHidden/>
              </w:rPr>
              <w:fldChar w:fldCharType="separate"/>
            </w:r>
            <w:r>
              <w:rPr>
                <w:rStyle w:val="Style17"/>
                <w:vanish w:val="false"/>
              </w:rPr>
              <w:tab/>
              <w:t>41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54">
            <w:r>
              <w:rPr>
                <w:webHidden/>
                <w:rStyle w:val="Style17"/>
                <w:vanish w:val="false"/>
              </w:rPr>
              <w:t>4.7</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Подача заявок и их прием</w:t>
            </w:r>
            <w:r>
              <w:rPr>
                <w:webHidden/>
              </w:rPr>
              <w:fldChar w:fldCharType="begin"/>
            </w:r>
            <w:r>
              <w:rPr>
                <w:webHidden/>
              </w:rPr>
              <w:instrText xml:space="preserve">PAGEREF _Toc228876854 \h</w:instrText>
            </w:r>
            <w:r>
              <w:rPr>
                <w:webHidden/>
              </w:rPr>
              <w:fldChar w:fldCharType="separate"/>
            </w:r>
            <w:r>
              <w:rPr>
                <w:rStyle w:val="Style17"/>
                <w:vanish w:val="false"/>
              </w:rPr>
              <w:tab/>
              <w:t>42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55">
            <w:r>
              <w:rPr>
                <w:webHidden/>
                <w:rStyle w:val="Style17"/>
                <w:vanish w:val="false"/>
              </w:rPr>
              <w:t>4.8</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Изменение и отзыв заявок</w:t>
            </w:r>
            <w:r>
              <w:rPr>
                <w:webHidden/>
              </w:rPr>
              <w:fldChar w:fldCharType="begin"/>
            </w:r>
            <w:r>
              <w:rPr>
                <w:webHidden/>
              </w:rPr>
              <w:instrText xml:space="preserve">PAGEREF _Toc228876855 \h</w:instrText>
            </w:r>
            <w:r>
              <w:rPr>
                <w:webHidden/>
              </w:rPr>
              <w:fldChar w:fldCharType="separate"/>
            </w:r>
            <w:r>
              <w:rPr>
                <w:rStyle w:val="Style17"/>
                <w:vanish w:val="false"/>
              </w:rPr>
              <w:tab/>
              <w:t>43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56">
            <w:r>
              <w:rPr>
                <w:webHidden/>
                <w:rStyle w:val="Style17"/>
                <w:vanish w:val="false"/>
              </w:rPr>
              <w:t>4.9</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Открытие доступа к первым частям заявок</w:t>
            </w:r>
            <w:r>
              <w:rPr>
                <w:webHidden/>
              </w:rPr>
              <w:fldChar w:fldCharType="begin"/>
            </w:r>
            <w:r>
              <w:rPr>
                <w:webHidden/>
              </w:rPr>
              <w:instrText xml:space="preserve">PAGEREF _Toc228876856 \h</w:instrText>
            </w:r>
            <w:r>
              <w:rPr>
                <w:webHidden/>
              </w:rPr>
              <w:fldChar w:fldCharType="separate"/>
            </w:r>
            <w:r>
              <w:rPr>
                <w:rStyle w:val="Style17"/>
                <w:vanish w:val="false"/>
              </w:rPr>
              <w:tab/>
              <w:t>43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57">
            <w:r>
              <w:rPr>
                <w:webHidden/>
                <w:rStyle w:val="Style17"/>
                <w:vanish w:val="false"/>
              </w:rPr>
              <w:t>4.10</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Обсуждение заявок</w:t>
            </w:r>
            <w:r>
              <w:rPr>
                <w:webHidden/>
              </w:rPr>
              <w:fldChar w:fldCharType="begin"/>
            </w:r>
            <w:r>
              <w:rPr>
                <w:webHidden/>
              </w:rPr>
              <w:instrText xml:space="preserve">PAGEREF _Toc228876857 \h</w:instrText>
            </w:r>
            <w:r>
              <w:rPr>
                <w:webHidden/>
              </w:rPr>
              <w:fldChar w:fldCharType="separate"/>
            </w:r>
            <w:r>
              <w:rPr>
                <w:rStyle w:val="Style17"/>
                <w:vanish w:val="false"/>
              </w:rPr>
              <w:tab/>
              <w:t>43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58">
            <w:r>
              <w:rPr>
                <w:webHidden/>
                <w:rStyle w:val="Style17"/>
                <w:vanish w:val="false"/>
              </w:rPr>
              <w:t>4.11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Подача окончательных предложений</w:t>
            </w:r>
            <w:r>
              <w:rPr>
                <w:webHidden/>
              </w:rPr>
              <w:fldChar w:fldCharType="begin"/>
            </w:r>
            <w:r>
              <w:rPr>
                <w:webHidden/>
              </w:rPr>
              <w:instrText xml:space="preserve">PAGEREF _Toc228876858 \h</w:instrText>
            </w:r>
            <w:r>
              <w:rPr>
                <w:webHidden/>
              </w:rPr>
              <w:fldChar w:fldCharType="separate"/>
            </w:r>
            <w:r>
              <w:rPr>
                <w:rStyle w:val="Style17"/>
                <w:vanish w:val="false"/>
              </w:rPr>
              <w:tab/>
              <w:t>45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59">
            <w:r>
              <w:rPr>
                <w:webHidden/>
                <w:rStyle w:val="Style17"/>
                <w:vanish w:val="false"/>
              </w:rPr>
              <w:t>4.12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Открытие доступа к окончательным предложениям</w:t>
            </w:r>
            <w:r>
              <w:rPr>
                <w:webHidden/>
              </w:rPr>
              <w:fldChar w:fldCharType="begin"/>
            </w:r>
            <w:r>
              <w:rPr>
                <w:webHidden/>
              </w:rPr>
              <w:instrText xml:space="preserve">PAGEREF _Toc228876859 \h</w:instrText>
            </w:r>
            <w:r>
              <w:rPr>
                <w:webHidden/>
              </w:rPr>
              <w:fldChar w:fldCharType="separate"/>
            </w:r>
            <w:r>
              <w:rPr>
                <w:rStyle w:val="Style17"/>
                <w:vanish w:val="false"/>
              </w:rPr>
              <w:tab/>
              <w:t>46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60">
            <w:r>
              <w:rPr>
                <w:webHidden/>
                <w:rStyle w:val="Style17"/>
                <w:vanish w:val="false"/>
              </w:rPr>
              <w:t>4.13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Рассмотрение первых частей заявок / окончательных предложений (отборочная стадия)</w:t>
            </w:r>
            <w:r>
              <w:rPr>
                <w:webHidden/>
              </w:rPr>
              <w:fldChar w:fldCharType="begin"/>
            </w:r>
            <w:r>
              <w:rPr>
                <w:webHidden/>
              </w:rPr>
              <w:instrText xml:space="preserve">PAGEREF _Toc228876860 \h</w:instrText>
            </w:r>
            <w:r>
              <w:rPr>
                <w:webHidden/>
              </w:rPr>
              <w:fldChar w:fldCharType="separate"/>
            </w:r>
            <w:r>
              <w:rPr>
                <w:rStyle w:val="Style17"/>
                <w:vanish w:val="false"/>
              </w:rPr>
              <w:tab/>
              <w:t>46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61">
            <w:r>
              <w:rPr>
                <w:webHidden/>
                <w:rStyle w:val="Style17"/>
                <w:vanish w:val="false"/>
              </w:rPr>
              <w:t>4.14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Открытие доступа ко вторым частям заявок и ценовым предложениям</w:t>
            </w:r>
            <w:r>
              <w:rPr>
                <w:webHidden/>
              </w:rPr>
              <w:fldChar w:fldCharType="begin"/>
            </w:r>
            <w:r>
              <w:rPr>
                <w:webHidden/>
              </w:rPr>
              <w:instrText xml:space="preserve">PAGEREF _Toc228876861 \h</w:instrText>
            </w:r>
            <w:r>
              <w:rPr>
                <w:webHidden/>
              </w:rPr>
              <w:fldChar w:fldCharType="separate"/>
            </w:r>
            <w:r>
              <w:rPr>
                <w:rStyle w:val="Style17"/>
                <w:vanish w:val="false"/>
              </w:rPr>
              <w:tab/>
              <w:t>47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62">
            <w:r>
              <w:rPr>
                <w:webHidden/>
                <w:rStyle w:val="Style17"/>
                <w:vanish w:val="false"/>
              </w:rPr>
              <w:t>4.15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Рассмотрение вторых частей заявок (отборочная стадия), в том числе (при необходимости) проведение аккредитации, и ценовых предложений</w:t>
            </w:r>
            <w:r>
              <w:rPr>
                <w:webHidden/>
              </w:rPr>
              <w:fldChar w:fldCharType="begin"/>
            </w:r>
            <w:r>
              <w:rPr>
                <w:webHidden/>
              </w:rPr>
              <w:instrText xml:space="preserve">PAGEREF _Toc228876862 \h</w:instrText>
            </w:r>
            <w:r>
              <w:rPr>
                <w:webHidden/>
              </w:rPr>
              <w:fldChar w:fldCharType="separate"/>
            </w:r>
            <w:r>
              <w:rPr>
                <w:rStyle w:val="Style17"/>
                <w:vanish w:val="false"/>
              </w:rPr>
              <w:tab/>
              <w:t>48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63">
            <w:r>
              <w:rPr>
                <w:webHidden/>
                <w:rStyle w:val="Style17"/>
                <w:vanish w:val="false"/>
              </w:rPr>
              <w:t>4.16</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запросы разъяснений заявок</w:t>
            </w:r>
            <w:r>
              <w:rPr>
                <w:webHidden/>
              </w:rPr>
              <w:fldChar w:fldCharType="begin"/>
            </w:r>
            <w:r>
              <w:rPr>
                <w:webHidden/>
              </w:rPr>
              <w:instrText xml:space="preserve">PAGEREF _Toc228876863 \h</w:instrText>
            </w:r>
            <w:r>
              <w:rPr>
                <w:webHidden/>
              </w:rPr>
              <w:fldChar w:fldCharType="separate"/>
            </w:r>
            <w:r>
              <w:rPr>
                <w:rStyle w:val="Style17"/>
                <w:vanish w:val="false"/>
              </w:rPr>
              <w:tab/>
              <w:t>49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64">
            <w:r>
              <w:rPr>
                <w:webHidden/>
                <w:rStyle w:val="Style17"/>
                <w:vanish w:val="false"/>
              </w:rPr>
              <w:t>4.17</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Переторжка (подача дополнительных ценовых предложений)</w:t>
            </w:r>
            <w:r>
              <w:rPr>
                <w:webHidden/>
              </w:rPr>
              <w:fldChar w:fldCharType="begin"/>
            </w:r>
            <w:r>
              <w:rPr>
                <w:webHidden/>
              </w:rPr>
              <w:instrText xml:space="preserve">PAGEREF _Toc228876864 \h</w:instrText>
            </w:r>
            <w:r>
              <w:rPr>
                <w:webHidden/>
              </w:rPr>
              <w:fldChar w:fldCharType="separate"/>
            </w:r>
            <w:r>
              <w:rPr>
                <w:rStyle w:val="Style17"/>
                <w:vanish w:val="false"/>
              </w:rPr>
              <w:tab/>
              <w:t>51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65">
            <w:r>
              <w:rPr>
                <w:webHidden/>
                <w:rStyle w:val="Style17"/>
                <w:vanish w:val="false"/>
              </w:rPr>
              <w:t>4.18</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Рассмотрение дополнительных ценовых предложений</w:t>
            </w:r>
            <w:r>
              <w:rPr>
                <w:webHidden/>
              </w:rPr>
              <w:fldChar w:fldCharType="begin"/>
            </w:r>
            <w:r>
              <w:rPr>
                <w:webHidden/>
              </w:rPr>
              <w:instrText xml:space="preserve">PAGEREF _Toc228876865 \h</w:instrText>
            </w:r>
            <w:r>
              <w:rPr>
                <w:webHidden/>
              </w:rPr>
              <w:fldChar w:fldCharType="separate"/>
            </w:r>
            <w:r>
              <w:rPr>
                <w:rStyle w:val="Style17"/>
                <w:vanish w:val="false"/>
              </w:rPr>
              <w:tab/>
              <w:t>52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66">
            <w:r>
              <w:rPr>
                <w:webHidden/>
                <w:rStyle w:val="Style17"/>
                <w:vanish w:val="false"/>
              </w:rPr>
              <w:t>4.19</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Оценка и сопоставление заявок</w:t>
            </w:r>
            <w:r>
              <w:rPr>
                <w:webHidden/>
              </w:rPr>
              <w:fldChar w:fldCharType="begin"/>
            </w:r>
            <w:r>
              <w:rPr>
                <w:webHidden/>
              </w:rPr>
              <w:instrText xml:space="preserve">PAGEREF _Toc228876866 \h</w:instrText>
            </w:r>
            <w:r>
              <w:rPr>
                <w:webHidden/>
              </w:rPr>
              <w:fldChar w:fldCharType="separate"/>
            </w:r>
            <w:r>
              <w:rPr>
                <w:rStyle w:val="Style17"/>
                <w:vanish w:val="false"/>
              </w:rPr>
              <w:tab/>
              <w:t>53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67">
            <w:r>
              <w:rPr>
                <w:webHidden/>
                <w:rStyle w:val="Style17"/>
                <w:vanish w:val="false"/>
              </w:rPr>
              <w:t>4.20</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Применение законодательства о национальном режиме</w:t>
            </w:r>
            <w:r>
              <w:rPr>
                <w:webHidden/>
              </w:rPr>
              <w:fldChar w:fldCharType="begin"/>
            </w:r>
            <w:r>
              <w:rPr>
                <w:webHidden/>
              </w:rPr>
              <w:instrText xml:space="preserve">PAGEREF _Toc228876867 \h</w:instrText>
            </w:r>
            <w:r>
              <w:rPr>
                <w:webHidden/>
              </w:rPr>
              <w:fldChar w:fldCharType="separate"/>
            </w:r>
            <w:r>
              <w:rPr>
                <w:rStyle w:val="Style17"/>
                <w:vanish w:val="false"/>
              </w:rPr>
              <w:tab/>
              <w:t>54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68">
            <w:r>
              <w:rPr>
                <w:webHidden/>
                <w:rStyle w:val="Style17"/>
                <w:vanish w:val="false"/>
              </w:rPr>
              <w:t>4.21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Преференции в части использования российского алюминия</w:t>
            </w:r>
            <w:r>
              <w:rPr>
                <w:webHidden/>
              </w:rPr>
              <w:fldChar w:fldCharType="begin"/>
            </w:r>
            <w:r>
              <w:rPr>
                <w:webHidden/>
              </w:rPr>
              <w:instrText xml:space="preserve">PAGEREF _Toc228876868 \h</w:instrText>
            </w:r>
            <w:r>
              <w:rPr>
                <w:webHidden/>
              </w:rPr>
              <w:fldChar w:fldCharType="separate"/>
            </w:r>
            <w:r>
              <w:rPr>
                <w:rStyle w:val="Style17"/>
                <w:vanish w:val="false"/>
              </w:rPr>
              <w:tab/>
              <w:t>56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69">
            <w:r>
              <w:rPr>
                <w:webHidden/>
                <w:rStyle w:val="Style17"/>
                <w:vanish w:val="false"/>
              </w:rPr>
              <w:t>4.22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Подведение итогов закупки (определение Победителя)</w:t>
            </w:r>
            <w:r>
              <w:rPr>
                <w:webHidden/>
              </w:rPr>
              <w:fldChar w:fldCharType="begin"/>
            </w:r>
            <w:r>
              <w:rPr>
                <w:webHidden/>
              </w:rPr>
              <w:instrText xml:space="preserve">PAGEREF _Toc228876869 \h</w:instrText>
            </w:r>
            <w:r>
              <w:rPr>
                <w:webHidden/>
              </w:rPr>
              <w:fldChar w:fldCharType="separate"/>
            </w:r>
            <w:r>
              <w:rPr>
                <w:rStyle w:val="Style17"/>
                <w:vanish w:val="false"/>
              </w:rPr>
              <w:tab/>
              <w:t>57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70">
            <w:r>
              <w:rPr>
                <w:webHidden/>
                <w:rStyle w:val="Style17"/>
                <w:vanish w:val="false"/>
              </w:rPr>
              <w:t>4.23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Признание закупки несостоявшейся</w:t>
            </w:r>
            <w:r>
              <w:rPr>
                <w:webHidden/>
              </w:rPr>
              <w:fldChar w:fldCharType="begin"/>
            </w:r>
            <w:r>
              <w:rPr>
                <w:webHidden/>
              </w:rPr>
              <w:instrText xml:space="preserve">PAGEREF _Toc228876870 \h</w:instrText>
            </w:r>
            <w:r>
              <w:rPr>
                <w:webHidden/>
              </w:rPr>
              <w:fldChar w:fldCharType="separate"/>
            </w:r>
            <w:r>
              <w:rPr>
                <w:rStyle w:val="Style17"/>
                <w:vanish w:val="false"/>
              </w:rPr>
              <w:tab/>
              <w:t>58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71">
            <w:r>
              <w:rPr>
                <w:webHidden/>
                <w:rStyle w:val="Style17"/>
                <w:vanish w:val="false"/>
              </w:rPr>
              <w:t>4.24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Отказ от проведения закупки (отмена закупки)</w:t>
            </w:r>
            <w:r>
              <w:rPr>
                <w:webHidden/>
              </w:rPr>
              <w:fldChar w:fldCharType="begin"/>
            </w:r>
            <w:r>
              <w:rPr>
                <w:webHidden/>
              </w:rPr>
              <w:instrText xml:space="preserve">PAGEREF _Toc228876871 \h</w:instrText>
            </w:r>
            <w:r>
              <w:rPr>
                <w:webHidden/>
              </w:rPr>
              <w:fldChar w:fldCharType="separate"/>
            </w:r>
            <w:r>
              <w:rPr>
                <w:rStyle w:val="Style17"/>
                <w:vanish w:val="false"/>
              </w:rPr>
              <w:tab/>
              <w:t>60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72">
            <w:r>
              <w:rPr>
                <w:webHidden/>
                <w:rStyle w:val="Style17"/>
                <w:vanish w:val="false"/>
              </w:rPr>
              <w:t>4.25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Особенности проведения закупки с необходимостью обеспечения заявки</w:t>
            </w:r>
            <w:r>
              <w:rPr>
                <w:webHidden/>
              </w:rPr>
              <w:fldChar w:fldCharType="begin"/>
            </w:r>
            <w:r>
              <w:rPr>
                <w:webHidden/>
              </w:rPr>
              <w:instrText xml:space="preserve">PAGEREF _Toc228876872 \h</w:instrText>
            </w:r>
            <w:r>
              <w:rPr>
                <w:webHidden/>
              </w:rPr>
              <w:fldChar w:fldCharType="separate"/>
            </w:r>
            <w:r>
              <w:rPr>
                <w:rStyle w:val="Style17"/>
                <w:vanish w:val="false"/>
              </w:rPr>
              <w:tab/>
              <w:t>60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73">
            <w:r>
              <w:rPr>
                <w:webHidden/>
                <w:rStyle w:val="Style17"/>
                <w:vanish w:val="false"/>
              </w:rPr>
              <w:t>4.26</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Особенности проведения многолотовой закупки</w:t>
            </w:r>
            <w:r>
              <w:rPr>
                <w:webHidden/>
              </w:rPr>
              <w:fldChar w:fldCharType="begin"/>
            </w:r>
            <w:r>
              <w:rPr>
                <w:webHidden/>
              </w:rPr>
              <w:instrText xml:space="preserve">PAGEREF _Toc228876873 \h</w:instrText>
            </w:r>
            <w:r>
              <w:rPr>
                <w:webHidden/>
              </w:rPr>
              <w:fldChar w:fldCharType="separate"/>
            </w:r>
            <w:r>
              <w:rPr>
                <w:rStyle w:val="Style17"/>
                <w:vanish w:val="false"/>
              </w:rPr>
              <w:tab/>
              <w:t>64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74">
            <w:r>
              <w:rPr>
                <w:webHidden/>
                <w:rStyle w:val="Style17"/>
                <w:vanish w:val="false"/>
              </w:rPr>
              <w:t>4.27</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Особенности проведения закупки с выбором нескольких победителей</w:t>
            </w:r>
            <w:r>
              <w:rPr>
                <w:webHidden/>
              </w:rPr>
              <w:fldChar w:fldCharType="begin"/>
            </w:r>
            <w:r>
              <w:rPr>
                <w:webHidden/>
              </w:rPr>
              <w:instrText xml:space="preserve">PAGEREF _Toc228876874 \h</w:instrText>
            </w:r>
            <w:r>
              <w:rPr>
                <w:webHidden/>
              </w:rPr>
              <w:fldChar w:fldCharType="separate"/>
            </w:r>
            <w:r>
              <w:rPr>
                <w:rStyle w:val="Style17"/>
                <w:vanish w:val="false"/>
              </w:rPr>
              <w:tab/>
              <w:t>65</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875">
            <w:r>
              <w:rPr>
                <w:webHidden/>
                <w:rStyle w:val="Style17"/>
                <w:vanish w:val="false"/>
              </w:rPr>
              <w:t>5.</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Порядок заключения Договора</w:t>
            </w:r>
            <w:r>
              <w:rPr>
                <w:webHidden/>
              </w:rPr>
              <w:fldChar w:fldCharType="begin"/>
            </w:r>
            <w:r>
              <w:rPr>
                <w:webHidden/>
              </w:rPr>
              <w:instrText xml:space="preserve">PAGEREF _Toc228876875 \h</w:instrText>
            </w:r>
            <w:r>
              <w:rPr>
                <w:webHidden/>
              </w:rPr>
              <w:fldChar w:fldCharType="separate"/>
            </w:r>
            <w:r>
              <w:rPr>
                <w:rStyle w:val="Style17"/>
                <w:vanish w:val="false"/>
              </w:rPr>
              <w:tab/>
              <w:t>66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76">
            <w:r>
              <w:rPr>
                <w:webHidden/>
                <w:rStyle w:val="Style17"/>
                <w:vanish w:val="false"/>
              </w:rPr>
              <w:t>5.1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Общие положения</w:t>
            </w:r>
            <w:r>
              <w:rPr>
                <w:webHidden/>
              </w:rPr>
              <w:fldChar w:fldCharType="begin"/>
            </w:r>
            <w:r>
              <w:rPr>
                <w:webHidden/>
              </w:rPr>
              <w:instrText xml:space="preserve">PAGEREF _Toc228876876 \h</w:instrText>
            </w:r>
            <w:r>
              <w:rPr>
                <w:webHidden/>
              </w:rPr>
              <w:fldChar w:fldCharType="separate"/>
            </w:r>
            <w:r>
              <w:rPr>
                <w:rStyle w:val="Style17"/>
                <w:vanish w:val="false"/>
              </w:rPr>
              <w:tab/>
              <w:t>66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77">
            <w:r>
              <w:rPr>
                <w:webHidden/>
                <w:rStyle w:val="Style17"/>
                <w:vanish w:val="false"/>
              </w:rPr>
              <w:t>5.2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Заключение Договора</w:t>
            </w:r>
            <w:r>
              <w:rPr>
                <w:webHidden/>
              </w:rPr>
              <w:fldChar w:fldCharType="begin"/>
            </w:r>
            <w:r>
              <w:rPr>
                <w:webHidden/>
              </w:rPr>
              <w:instrText xml:space="preserve">PAGEREF _Toc228876877 \h</w:instrText>
            </w:r>
            <w:r>
              <w:rPr>
                <w:webHidden/>
              </w:rPr>
              <w:fldChar w:fldCharType="separate"/>
            </w:r>
            <w:r>
              <w:rPr>
                <w:rStyle w:val="Style17"/>
                <w:vanish w:val="false"/>
              </w:rPr>
              <w:tab/>
              <w:t>66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78">
            <w:r>
              <w:rPr>
                <w:webHidden/>
                <w:rStyle w:val="Style17"/>
                <w:vanish w:val="false"/>
              </w:rPr>
              <w:t>5.3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Уклонение Победителя от заключения Договора</w:t>
            </w:r>
            <w:r>
              <w:rPr>
                <w:webHidden/>
              </w:rPr>
              <w:fldChar w:fldCharType="begin"/>
            </w:r>
            <w:r>
              <w:rPr>
                <w:webHidden/>
              </w:rPr>
              <w:instrText xml:space="preserve">PAGEREF _Toc228876878 \h</w:instrText>
            </w:r>
            <w:r>
              <w:rPr>
                <w:webHidden/>
              </w:rPr>
              <w:fldChar w:fldCharType="separate"/>
            </w:r>
            <w:r>
              <w:rPr>
                <w:rStyle w:val="Style17"/>
                <w:vanish w:val="false"/>
              </w:rPr>
              <w:tab/>
              <w:t>68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879">
            <w:r>
              <w:rPr>
                <w:webHidden/>
                <w:rStyle w:val="Style17"/>
                <w:vanish w:val="false"/>
              </w:rPr>
              <w:t>6.</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1 – Технические требования</w:t>
            </w:r>
            <w:r>
              <w:rPr>
                <w:webHidden/>
              </w:rPr>
              <w:fldChar w:fldCharType="begin"/>
            </w:r>
            <w:r>
              <w:rPr>
                <w:webHidden/>
              </w:rPr>
              <w:instrText xml:space="preserve">PAGEREF _Toc228876879 \h</w:instrText>
            </w:r>
            <w:r>
              <w:rPr>
                <w:webHidden/>
              </w:rPr>
              <w:fldChar w:fldCharType="separate"/>
            </w:r>
            <w:r>
              <w:rPr>
                <w:rStyle w:val="Style17"/>
                <w:vanish w:val="false"/>
              </w:rPr>
              <w:tab/>
              <w:t>70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80">
            <w:r>
              <w:rPr>
                <w:webHidden/>
                <w:rStyle w:val="Style17"/>
                <w:vanish w:val="false"/>
              </w:rPr>
              <w:t>6.1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Техническим требованиям</w:t>
            </w:r>
            <w:r>
              <w:rPr>
                <w:webHidden/>
              </w:rPr>
              <w:fldChar w:fldCharType="begin"/>
            </w:r>
            <w:r>
              <w:rPr>
                <w:webHidden/>
              </w:rPr>
              <w:instrText xml:space="preserve">PAGEREF _Toc228876880 \h</w:instrText>
            </w:r>
            <w:r>
              <w:rPr>
                <w:webHidden/>
              </w:rPr>
              <w:fldChar w:fldCharType="separate"/>
            </w:r>
            <w:r>
              <w:rPr>
                <w:rStyle w:val="Style17"/>
                <w:vanish w:val="false"/>
              </w:rPr>
              <w:tab/>
              <w:t>70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881">
            <w:r>
              <w:rPr>
                <w:webHidden/>
                <w:rStyle w:val="Style17"/>
                <w:vanish w:val="false"/>
              </w:rPr>
              <w:t>7.</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2 – Проект договора</w:t>
            </w:r>
            <w:r>
              <w:rPr>
                <w:webHidden/>
              </w:rPr>
              <w:fldChar w:fldCharType="begin"/>
            </w:r>
            <w:r>
              <w:rPr>
                <w:webHidden/>
              </w:rPr>
              <w:instrText xml:space="preserve">PAGEREF _Toc228876881 \h</w:instrText>
            </w:r>
            <w:r>
              <w:rPr>
                <w:webHidden/>
              </w:rPr>
              <w:fldChar w:fldCharType="separate"/>
            </w:r>
            <w:r>
              <w:rPr>
                <w:rStyle w:val="Style17"/>
                <w:vanish w:val="false"/>
              </w:rPr>
              <w:tab/>
              <w:t>71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82">
            <w:r>
              <w:rPr>
                <w:webHidden/>
                <w:rStyle w:val="Style17"/>
                <w:vanish w:val="false"/>
              </w:rPr>
              <w:t>7.1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Проекту договора</w:t>
            </w:r>
            <w:r>
              <w:rPr>
                <w:webHidden/>
              </w:rPr>
              <w:fldChar w:fldCharType="begin"/>
            </w:r>
            <w:r>
              <w:rPr>
                <w:webHidden/>
              </w:rPr>
              <w:instrText xml:space="preserve">PAGEREF _Toc228876882 \h</w:instrText>
            </w:r>
            <w:r>
              <w:rPr>
                <w:webHidden/>
              </w:rPr>
              <w:fldChar w:fldCharType="separate"/>
            </w:r>
            <w:r>
              <w:rPr>
                <w:rStyle w:val="Style17"/>
                <w:vanish w:val="false"/>
              </w:rPr>
              <w:tab/>
              <w:t>71</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883">
            <w:r>
              <w:rPr>
                <w:webHidden/>
                <w:rStyle w:val="Style17"/>
                <w:vanish w:val="false"/>
              </w:rPr>
              <w:t>8.</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3 – Требования к Участникам</w:t>
            </w:r>
            <w:r>
              <w:rPr>
                <w:webHidden/>
              </w:rPr>
              <w:fldChar w:fldCharType="begin"/>
            </w:r>
            <w:r>
              <w:rPr>
                <w:webHidden/>
              </w:rPr>
              <w:instrText xml:space="preserve">PAGEREF _Toc228876883 \h</w:instrText>
            </w:r>
            <w:r>
              <w:rPr>
                <w:webHidden/>
              </w:rPr>
              <w:fldChar w:fldCharType="separate"/>
            </w:r>
            <w:r>
              <w:rPr>
                <w:rStyle w:val="Style17"/>
                <w:vanish w:val="false"/>
              </w:rPr>
              <w:tab/>
              <w:t>72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84">
            <w:r>
              <w:rPr>
                <w:webHidden/>
                <w:rStyle w:val="Style17"/>
                <w:vanish w:val="false"/>
              </w:rPr>
              <w:t>8.1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требованиям к Участникам</w:t>
            </w:r>
            <w:r>
              <w:rPr>
                <w:webHidden/>
              </w:rPr>
              <w:fldChar w:fldCharType="begin"/>
            </w:r>
            <w:r>
              <w:rPr>
                <w:webHidden/>
              </w:rPr>
              <w:instrText xml:space="preserve">PAGEREF _Toc228876884 \h</w:instrText>
            </w:r>
            <w:r>
              <w:rPr>
                <w:webHidden/>
              </w:rPr>
              <w:fldChar w:fldCharType="separate"/>
            </w:r>
            <w:r>
              <w:rPr>
                <w:rStyle w:val="Style17"/>
                <w:vanish w:val="false"/>
              </w:rPr>
              <w:tab/>
              <w:t>72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85">
            <w:r>
              <w:rPr>
                <w:webHidden/>
                <w:rStyle w:val="Style17"/>
                <w:vanish w:val="false"/>
              </w:rPr>
              <w:t>8.2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Обязательные требования</w:t>
            </w:r>
            <w:r>
              <w:rPr>
                <w:webHidden/>
              </w:rPr>
              <w:fldChar w:fldCharType="begin"/>
            </w:r>
            <w:r>
              <w:rPr>
                <w:webHidden/>
              </w:rPr>
              <w:instrText xml:space="preserve">PAGEREF _Toc228876885 \h</w:instrText>
            </w:r>
            <w:r>
              <w:rPr>
                <w:webHidden/>
              </w:rPr>
              <w:fldChar w:fldCharType="separate"/>
            </w:r>
            <w:r>
              <w:rPr>
                <w:rStyle w:val="Style17"/>
                <w:vanish w:val="false"/>
              </w:rPr>
              <w:tab/>
              <w:t>72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86">
            <w:r>
              <w:rPr>
                <w:webHidden/>
                <w:rStyle w:val="Style17"/>
                <w:vanish w:val="false"/>
              </w:rPr>
              <w:t>8.3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Специальные требования</w:t>
            </w:r>
            <w:r>
              <w:rPr>
                <w:webHidden/>
              </w:rPr>
              <w:fldChar w:fldCharType="begin"/>
            </w:r>
            <w:r>
              <w:rPr>
                <w:webHidden/>
              </w:rPr>
              <w:instrText xml:space="preserve">PAGEREF _Toc228876886 \h</w:instrText>
            </w:r>
            <w:r>
              <w:rPr>
                <w:webHidden/>
              </w:rPr>
              <w:fldChar w:fldCharType="separate"/>
            </w:r>
            <w:r>
              <w:rPr>
                <w:rStyle w:val="Style17"/>
                <w:vanish w:val="false"/>
              </w:rPr>
              <w:tab/>
              <w:t>76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87">
            <w:r>
              <w:rPr>
                <w:webHidden/>
                <w:rStyle w:val="Style17"/>
                <w:vanish w:val="false"/>
              </w:rPr>
              <w:t>8.4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требования к Генеральным подрядчикам</w:t>
            </w:r>
            <w:r>
              <w:rPr>
                <w:webHidden/>
              </w:rPr>
              <w:fldChar w:fldCharType="begin"/>
            </w:r>
            <w:r>
              <w:rPr>
                <w:webHidden/>
              </w:rPr>
              <w:instrText xml:space="preserve">PAGEREF _Toc228876887 \h</w:instrText>
            </w:r>
            <w:r>
              <w:rPr>
                <w:webHidden/>
              </w:rPr>
              <w:fldChar w:fldCharType="separate"/>
            </w:r>
            <w:r>
              <w:rPr>
                <w:rStyle w:val="Style17"/>
                <w:vanish w:val="false"/>
              </w:rPr>
              <w:tab/>
              <w:t>77</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888">
            <w:r>
              <w:rPr>
                <w:webHidden/>
                <w:rStyle w:val="Style17"/>
                <w:vanish w:val="false"/>
              </w:rPr>
              <w:t>9.</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4 – Образцы форм документов, включаемых в состав заявки</w:t>
            </w:r>
            <w:r>
              <w:rPr>
                <w:webHidden/>
              </w:rPr>
              <w:fldChar w:fldCharType="begin"/>
            </w:r>
            <w:r>
              <w:rPr>
                <w:webHidden/>
              </w:rPr>
              <w:instrText xml:space="preserve">PAGEREF _Toc228876888 \h</w:instrText>
            </w:r>
            <w:r>
              <w:rPr>
                <w:webHidden/>
              </w:rPr>
              <w:fldChar w:fldCharType="separate"/>
            </w:r>
            <w:r>
              <w:rPr>
                <w:rStyle w:val="Style17"/>
                <w:vanish w:val="false"/>
              </w:rPr>
              <w:tab/>
              <w:t>79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89">
            <w:r>
              <w:rPr>
                <w:webHidden/>
                <w:rStyle w:val="Style17"/>
                <w:vanish w:val="false"/>
              </w:rPr>
              <w:t>9.1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Образцам форм документов, включаемых в состав заявки</w:t>
            </w:r>
            <w:r>
              <w:rPr>
                <w:webHidden/>
              </w:rPr>
              <w:fldChar w:fldCharType="begin"/>
            </w:r>
            <w:r>
              <w:rPr>
                <w:webHidden/>
              </w:rPr>
              <w:instrText xml:space="preserve">PAGEREF _Toc228876889 \h</w:instrText>
            </w:r>
            <w:r>
              <w:rPr>
                <w:webHidden/>
              </w:rPr>
              <w:fldChar w:fldCharType="separate"/>
            </w:r>
            <w:r>
              <w:rPr>
                <w:rStyle w:val="Style17"/>
                <w:vanish w:val="false"/>
              </w:rPr>
              <w:tab/>
              <w:t>79</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890">
            <w:r>
              <w:rPr>
                <w:webHidden/>
                <w:rStyle w:val="Style17"/>
                <w:vanish w:val="false"/>
              </w:rPr>
              <w:t>10.</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5 – Образцы форм документов, предоставляемых Победителем</w:t>
            </w:r>
            <w:r>
              <w:rPr>
                <w:webHidden/>
              </w:rPr>
              <w:fldChar w:fldCharType="begin"/>
            </w:r>
            <w:r>
              <w:rPr>
                <w:webHidden/>
              </w:rPr>
              <w:instrText xml:space="preserve">PAGEREF _Toc228876890 \h</w:instrText>
            </w:r>
            <w:r>
              <w:rPr>
                <w:webHidden/>
              </w:rPr>
              <w:fldChar w:fldCharType="separate"/>
            </w:r>
            <w:r>
              <w:rPr>
                <w:rStyle w:val="Style17"/>
                <w:vanish w:val="false"/>
              </w:rPr>
              <w:tab/>
              <w:t>80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91">
            <w:r>
              <w:rPr>
                <w:webHidden/>
                <w:rStyle w:val="Style17"/>
                <w:vanish w:val="false"/>
              </w:rPr>
              <w:t>10.1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Образцам форм документов, предоставляемых Победителем</w:t>
            </w:r>
            <w:r>
              <w:rPr>
                <w:webHidden/>
              </w:rPr>
              <w:fldChar w:fldCharType="begin"/>
            </w:r>
            <w:r>
              <w:rPr>
                <w:webHidden/>
              </w:rPr>
              <w:instrText xml:space="preserve">PAGEREF _Toc228876891 \h</w:instrText>
            </w:r>
            <w:r>
              <w:rPr>
                <w:webHidden/>
              </w:rPr>
              <w:fldChar w:fldCharType="separate"/>
            </w:r>
            <w:r>
              <w:rPr>
                <w:rStyle w:val="Style17"/>
                <w:vanish w:val="false"/>
              </w:rPr>
              <w:tab/>
              <w:t>80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92">
            <w:r>
              <w:rPr>
                <w:webHidden/>
                <w:rStyle w:val="Style17"/>
                <w:vanish w:val="false"/>
              </w:rPr>
              <w:t>10.2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Форма справки «Сведения о цепочке собственников, включая бенефициаров (в том числе конечных)»</w:t>
            </w:r>
            <w:r>
              <w:rPr>
                <w:webHidden/>
              </w:rPr>
              <w:fldChar w:fldCharType="begin"/>
            </w:r>
            <w:r>
              <w:rPr>
                <w:webHidden/>
              </w:rPr>
              <w:instrText xml:space="preserve">PAGEREF _Toc228876892 \h</w:instrText>
            </w:r>
            <w:r>
              <w:rPr>
                <w:webHidden/>
              </w:rPr>
              <w:fldChar w:fldCharType="separate"/>
            </w:r>
            <w:r>
              <w:rPr>
                <w:rStyle w:val="Style17"/>
                <w:vanish w:val="false"/>
              </w:rPr>
              <w:tab/>
              <w:t>80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93">
            <w:r>
              <w:rPr>
                <w:webHidden/>
                <w:rStyle w:val="Style17"/>
                <w:vanish w:val="false"/>
              </w:rPr>
              <w:t>10.3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Форма «Заверение об обстоятельствах»</w:t>
            </w:r>
            <w:r>
              <w:rPr>
                <w:webHidden/>
              </w:rPr>
              <w:fldChar w:fldCharType="begin"/>
            </w:r>
            <w:r>
              <w:rPr>
                <w:webHidden/>
              </w:rPr>
              <w:instrText xml:space="preserve">PAGEREF _Toc228876893 \h</w:instrText>
            </w:r>
            <w:r>
              <w:rPr>
                <w:webHidden/>
              </w:rPr>
              <w:fldChar w:fldCharType="separate"/>
            </w:r>
            <w:r>
              <w:rPr>
                <w:rStyle w:val="Style17"/>
                <w:vanish w:val="false"/>
              </w:rPr>
              <w:tab/>
              <w:t>80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894">
            <w:r>
              <w:rPr>
                <w:webHidden/>
                <w:rStyle w:val="Style17"/>
                <w:vanish w:val="false"/>
              </w:rPr>
              <w:t>11.</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6 – Состав заявки</w:t>
            </w:r>
            <w:r>
              <w:rPr>
                <w:webHidden/>
              </w:rPr>
              <w:fldChar w:fldCharType="begin"/>
            </w:r>
            <w:r>
              <w:rPr>
                <w:webHidden/>
              </w:rPr>
              <w:instrText xml:space="preserve">PAGEREF _Toc228876894 \h</w:instrText>
            </w:r>
            <w:r>
              <w:rPr>
                <w:webHidden/>
              </w:rPr>
              <w:fldChar w:fldCharType="separate"/>
            </w:r>
            <w:r>
              <w:rPr>
                <w:rStyle w:val="Style17"/>
                <w:vanish w:val="false"/>
              </w:rPr>
              <w:tab/>
              <w:t>82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95">
            <w:r>
              <w:rPr>
                <w:webHidden/>
                <w:rStyle w:val="Style17"/>
                <w:vanish w:val="false"/>
              </w:rPr>
              <w:t>11.1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Состав заявки</w:t>
            </w:r>
            <w:r>
              <w:rPr>
                <w:webHidden/>
              </w:rPr>
              <w:fldChar w:fldCharType="begin"/>
            </w:r>
            <w:r>
              <w:rPr>
                <w:webHidden/>
              </w:rPr>
              <w:instrText xml:space="preserve">PAGEREF _Toc228876895 \h</w:instrText>
            </w:r>
            <w:r>
              <w:rPr>
                <w:webHidden/>
              </w:rPr>
              <w:fldChar w:fldCharType="separate"/>
            </w:r>
            <w:r>
              <w:rPr>
                <w:rStyle w:val="Style17"/>
                <w:vanish w:val="false"/>
              </w:rPr>
              <w:tab/>
              <w:t>82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896">
            <w:r>
              <w:rPr>
                <w:webHidden/>
                <w:rStyle w:val="Style17"/>
                <w:vanish w:val="false"/>
              </w:rPr>
              <w:t>12.</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7 – Отборочные критерии рассмотрения заявок</w:t>
            </w:r>
            <w:r>
              <w:rPr>
                <w:webHidden/>
              </w:rPr>
              <w:fldChar w:fldCharType="begin"/>
            </w:r>
            <w:r>
              <w:rPr>
                <w:webHidden/>
              </w:rPr>
              <w:instrText xml:space="preserve">PAGEREF _Toc228876896 \h</w:instrText>
            </w:r>
            <w:r>
              <w:rPr>
                <w:webHidden/>
              </w:rPr>
              <w:fldChar w:fldCharType="separate"/>
            </w:r>
            <w:r>
              <w:rPr>
                <w:rStyle w:val="Style17"/>
                <w:vanish w:val="false"/>
              </w:rPr>
              <w:tab/>
              <w:t>85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97">
            <w:r>
              <w:rPr>
                <w:webHidden/>
                <w:rStyle w:val="Style17"/>
                <w:vanish w:val="false"/>
              </w:rPr>
              <w:t>12.1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Отборочные критерии рассмотрения первых частей заявок (первых частей заявок, содержащихся в окончательных предложениях)</w:t>
            </w:r>
            <w:r>
              <w:rPr>
                <w:webHidden/>
              </w:rPr>
              <w:fldChar w:fldCharType="begin"/>
            </w:r>
            <w:r>
              <w:rPr>
                <w:webHidden/>
              </w:rPr>
              <w:instrText xml:space="preserve">PAGEREF _Toc228876897 \h</w:instrText>
            </w:r>
            <w:r>
              <w:rPr>
                <w:webHidden/>
              </w:rPr>
              <w:fldChar w:fldCharType="separate"/>
            </w:r>
            <w:r>
              <w:rPr>
                <w:rStyle w:val="Style17"/>
                <w:vanish w:val="false"/>
              </w:rPr>
              <w:tab/>
              <w:t>85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98">
            <w:r>
              <w:rPr>
                <w:webHidden/>
                <w:rStyle w:val="Style17"/>
                <w:vanish w:val="false"/>
              </w:rPr>
              <w:t>12.2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критерии проверки первых частей заявок на соответствия условиям Документации о закупке</w:t>
            </w:r>
            <w:r>
              <w:rPr>
                <w:webHidden/>
              </w:rPr>
              <w:fldChar w:fldCharType="begin"/>
            </w:r>
            <w:r>
              <w:rPr>
                <w:webHidden/>
              </w:rPr>
              <w:instrText xml:space="preserve">PAGEREF _Toc228876898 \h</w:instrText>
            </w:r>
            <w:r>
              <w:rPr>
                <w:webHidden/>
              </w:rPr>
              <w:fldChar w:fldCharType="separate"/>
            </w:r>
            <w:r>
              <w:rPr>
                <w:rStyle w:val="Style17"/>
                <w:vanish w:val="false"/>
              </w:rPr>
              <w:tab/>
              <w:t>86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899">
            <w:r>
              <w:rPr>
                <w:webHidden/>
                <w:rStyle w:val="Style17"/>
                <w:vanish w:val="false"/>
              </w:rPr>
              <w:t>12.3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Отборочные критерии рассмотрения вторых частей заявок</w:t>
            </w:r>
            <w:r>
              <w:rPr>
                <w:webHidden/>
              </w:rPr>
              <w:fldChar w:fldCharType="begin"/>
            </w:r>
            <w:r>
              <w:rPr>
                <w:webHidden/>
              </w:rPr>
              <w:instrText xml:space="preserve">PAGEREF _Toc228876899 \h</w:instrText>
            </w:r>
            <w:r>
              <w:rPr>
                <w:webHidden/>
              </w:rPr>
              <w:fldChar w:fldCharType="separate"/>
            </w:r>
            <w:r>
              <w:rPr>
                <w:rStyle w:val="Style17"/>
                <w:vanish w:val="false"/>
              </w:rPr>
              <w:tab/>
              <w:t>87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900">
            <w:r>
              <w:rPr>
                <w:webHidden/>
                <w:rStyle w:val="Style17"/>
                <w:vanish w:val="false"/>
              </w:rPr>
              <w:t>12.4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Отборочные критерии рассмотрения ценовых предложений (дополнительных ценовых предложений)</w:t>
            </w:r>
            <w:r>
              <w:rPr>
                <w:webHidden/>
              </w:rPr>
              <w:fldChar w:fldCharType="begin"/>
            </w:r>
            <w:r>
              <w:rPr>
                <w:webHidden/>
              </w:rPr>
              <w:instrText xml:space="preserve">PAGEREF _Toc228876900 \h</w:instrText>
            </w:r>
            <w:r>
              <w:rPr>
                <w:webHidden/>
              </w:rPr>
              <w:fldChar w:fldCharType="separate"/>
            </w:r>
            <w:r>
              <w:rPr>
                <w:rStyle w:val="Style17"/>
                <w:vanish w:val="false"/>
              </w:rPr>
              <w:tab/>
              <w:t>90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901">
            <w:r>
              <w:rPr>
                <w:webHidden/>
                <w:rStyle w:val="Style17"/>
                <w:vanish w:val="false"/>
              </w:rPr>
              <w:t>12.5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критерии проверки заявок на соответствие условиям Документации о закупке</w:t>
            </w:r>
            <w:r>
              <w:rPr>
                <w:webHidden/>
              </w:rPr>
              <w:fldChar w:fldCharType="begin"/>
            </w:r>
            <w:r>
              <w:rPr>
                <w:webHidden/>
              </w:rPr>
              <w:instrText xml:space="preserve">PAGEREF _Toc228876901 \h</w:instrText>
            </w:r>
            <w:r>
              <w:rPr>
                <w:webHidden/>
              </w:rPr>
              <w:fldChar w:fldCharType="separate"/>
            </w:r>
            <w:r>
              <w:rPr>
                <w:rStyle w:val="Style17"/>
                <w:vanish w:val="false"/>
              </w:rPr>
              <w:tab/>
              <w:t>91</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902">
            <w:r>
              <w:rPr>
                <w:webHidden/>
                <w:rStyle w:val="Style17"/>
                <w:vanish w:val="false"/>
              </w:rPr>
              <w:t>13.</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8 – Порядок и критерии оценки и сопоставления заявок</w:t>
            </w:r>
            <w:r>
              <w:rPr>
                <w:webHidden/>
              </w:rPr>
              <w:fldChar w:fldCharType="begin"/>
            </w:r>
            <w:r>
              <w:rPr>
                <w:webHidden/>
              </w:rPr>
              <w:instrText xml:space="preserve">PAGEREF _Toc228876902 \h</w:instrText>
            </w:r>
            <w:r>
              <w:rPr>
                <w:webHidden/>
              </w:rPr>
              <w:fldChar w:fldCharType="separate"/>
            </w:r>
            <w:r>
              <w:rPr>
                <w:rStyle w:val="Style17"/>
                <w:vanish w:val="false"/>
              </w:rPr>
              <w:tab/>
              <w:t>94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903">
            <w:r>
              <w:rPr>
                <w:webHidden/>
                <w:rStyle w:val="Style17"/>
                <w:vanish w:val="false"/>
              </w:rPr>
              <w:t>13.1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Порядок и критерии оценки и сопоставления заявок</w:t>
            </w:r>
            <w:r>
              <w:rPr>
                <w:webHidden/>
              </w:rPr>
              <w:fldChar w:fldCharType="begin"/>
            </w:r>
            <w:r>
              <w:rPr>
                <w:webHidden/>
              </w:rPr>
              <w:instrText xml:space="preserve">PAGEREF _Toc228876903 \h</w:instrText>
            </w:r>
            <w:r>
              <w:rPr>
                <w:webHidden/>
              </w:rPr>
              <w:fldChar w:fldCharType="separate"/>
            </w:r>
            <w:r>
              <w:rPr>
                <w:rStyle w:val="Style17"/>
                <w:vanish w:val="false"/>
              </w:rPr>
              <w:tab/>
              <w:t>94</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904">
            <w:r>
              <w:rPr>
                <w:webHidden/>
                <w:rStyle w:val="Style17"/>
                <w:vanish w:val="false"/>
              </w:rPr>
              <w:t>14.</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9 – Обоснование НМЦ</w:t>
            </w:r>
            <w:r>
              <w:rPr>
                <w:webHidden/>
              </w:rPr>
              <w:fldChar w:fldCharType="begin"/>
            </w:r>
            <w:r>
              <w:rPr>
                <w:webHidden/>
              </w:rPr>
              <w:instrText xml:space="preserve">PAGEREF _Toc228876904 \h</w:instrText>
            </w:r>
            <w:r>
              <w:rPr>
                <w:webHidden/>
              </w:rPr>
              <w:fldChar w:fldCharType="separate"/>
            </w:r>
            <w:r>
              <w:rPr>
                <w:rStyle w:val="Style17"/>
                <w:vanish w:val="false"/>
              </w:rPr>
              <w:tab/>
              <w:t>100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905">
            <w:r>
              <w:rPr>
                <w:webHidden/>
                <w:rStyle w:val="Style17"/>
                <w:vanish w:val="false"/>
              </w:rPr>
              <w:t>14.1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Обоснованию НМЦ</w:t>
            </w:r>
            <w:r>
              <w:rPr>
                <w:webHidden/>
              </w:rPr>
              <w:fldChar w:fldCharType="begin"/>
            </w:r>
            <w:r>
              <w:rPr>
                <w:webHidden/>
              </w:rPr>
              <w:instrText xml:space="preserve">PAGEREF _Toc228876905 \h</w:instrText>
            </w:r>
            <w:r>
              <w:rPr>
                <w:webHidden/>
              </w:rPr>
              <w:fldChar w:fldCharType="separate"/>
            </w:r>
            <w:r>
              <w:rPr>
                <w:rStyle w:val="Style17"/>
                <w:vanish w:val="false"/>
              </w:rPr>
              <w:tab/>
              <w:t>100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906">
            <w:r>
              <w:rPr>
                <w:webHidden/>
                <w:rStyle w:val="Style17"/>
                <w:vanish w:val="false"/>
              </w:rPr>
              <w:t>15.</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10 – Форма Заявки на аккредитацию</w:t>
            </w:r>
            <w:r>
              <w:rPr>
                <w:webHidden/>
              </w:rPr>
              <w:fldChar w:fldCharType="begin"/>
            </w:r>
            <w:r>
              <w:rPr>
                <w:webHidden/>
              </w:rPr>
              <w:instrText xml:space="preserve">PAGEREF _Toc228876906 \h</w:instrText>
            </w:r>
            <w:r>
              <w:rPr>
                <w:webHidden/>
              </w:rPr>
              <w:fldChar w:fldCharType="separate"/>
            </w:r>
            <w:r>
              <w:rPr>
                <w:rStyle w:val="Style17"/>
                <w:vanish w:val="false"/>
              </w:rPr>
              <w:tab/>
              <w:t>101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907">
            <w:r>
              <w:rPr>
                <w:webHidden/>
                <w:rStyle w:val="Style17"/>
                <w:vanish w:val="false"/>
              </w:rPr>
              <w:t>15.1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форме Заявки на аккредитацию</w:t>
            </w:r>
            <w:r>
              <w:rPr>
                <w:webHidden/>
              </w:rPr>
              <w:fldChar w:fldCharType="begin"/>
            </w:r>
            <w:r>
              <w:rPr>
                <w:webHidden/>
              </w:rPr>
              <w:instrText xml:space="preserve">PAGEREF _Toc228876907 \h</w:instrText>
            </w:r>
            <w:r>
              <w:rPr>
                <w:webHidden/>
              </w:rPr>
              <w:fldChar w:fldCharType="separate"/>
            </w:r>
            <w:r>
              <w:rPr>
                <w:rStyle w:val="Style17"/>
                <w:vanish w:val="false"/>
              </w:rPr>
              <w:tab/>
              <w:t>101</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6908">
            <w:r>
              <w:rPr>
                <w:webHidden/>
                <w:rStyle w:val="Style17"/>
                <w:vanish w:val="false"/>
              </w:rPr>
              <w:t>16.</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11 – форма Данных бухгалтерской (финансовой) отчетности</w:t>
            </w:r>
            <w:r>
              <w:rPr>
                <w:webHidden/>
              </w:rPr>
              <w:fldChar w:fldCharType="begin"/>
            </w:r>
            <w:r>
              <w:rPr>
                <w:webHidden/>
              </w:rPr>
              <w:instrText xml:space="preserve">PAGEREF _Toc228876908 \h</w:instrText>
            </w:r>
            <w:r>
              <w:rPr>
                <w:webHidden/>
              </w:rPr>
              <w:fldChar w:fldCharType="separate"/>
            </w:r>
            <w:r>
              <w:rPr>
                <w:rStyle w:val="Style17"/>
                <w:vanish w:val="false"/>
              </w:rPr>
              <w:tab/>
              <w:t>102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6909">
            <w:r>
              <w:rPr>
                <w:webHidden/>
                <w:rStyle w:val="Style17"/>
                <w:vanish w:val="false"/>
              </w:rPr>
              <w:t>16.1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форме Данных бухгалтерской (финансовой) отчетности</w:t>
            </w:r>
            <w:r>
              <w:rPr>
                <w:webHidden/>
              </w:rPr>
              <w:fldChar w:fldCharType="begin"/>
            </w:r>
            <w:r>
              <w:rPr>
                <w:webHidden/>
              </w:rPr>
              <w:instrText xml:space="preserve">PAGEREF _Toc228876909 \h</w:instrText>
            </w:r>
            <w:r>
              <w:rPr>
                <w:webHidden/>
              </w:rPr>
              <w:fldChar w:fldCharType="separate"/>
            </w:r>
            <w:r>
              <w:rPr>
                <w:rStyle w:val="Style17"/>
                <w:vanish w:val="false"/>
              </w:rPr>
              <w:tab/>
              <w:t>102</w:t>
            </w:r>
            <w:r>
              <w:rPr>
                <w:webHidden/>
              </w:rPr>
              <w:fldChar w:fldCharType="end"/>
            </w:r>
          </w:hyperlink>
          <w:r>
            <w:rPr>
              <w:rStyle w:val="Style17"/>
              <w:vanish w:val="false"/>
            </w:rPr>
            <w:fldChar w:fldCharType="end"/>
          </w:r>
        </w:p>
      </w:sdtContent>
    </w:sdt>
    <w:p>
      <w:pPr>
        <w:pStyle w:val="Style28"/>
        <w:jc w:val="both"/>
        <w:rPr/>
      </w:pPr>
      <w:r>
        <w:rPr/>
      </w:r>
    </w:p>
    <w:p>
      <w:pPr>
        <w:pStyle w:val="Style28"/>
        <w:keepNext w:val="true"/>
        <w:spacing w:before="60" w:after="0"/>
        <w:rPr>
          <w:rStyle w:val="Style14"/>
        </w:rPr>
      </w:pPr>
      <w:r>
        <w:rPr>
          <w:rStyle w:val="Style14"/>
        </w:rPr>
        <w:t xml:space="preserve">[Примечание (дополнительные удобства работы с Документацией о закупке; Microsoft Word | </w:t>
      </w:r>
      <w:r>
        <w:rPr>
          <w:rStyle w:val="Style14"/>
          <w:color w:val="4472C4" w:themeColor="accent1"/>
        </w:rPr>
        <w:t>AlterOffice AText – отмечены отличая для данного текстового редактора</w:t>
      </w:r>
      <w:r>
        <w:rPr>
          <w:rStyle w:val="Style14"/>
        </w:rPr>
        <w:t>):</w:t>
      </w:r>
    </w:p>
    <w:p>
      <w:pPr>
        <w:pStyle w:val="Style28"/>
        <w:numPr>
          <w:ilvl w:val="0"/>
          <w:numId w:val="9"/>
        </w:numPr>
        <w:spacing w:before="60" w:after="0"/>
        <w:ind w:left="284" w:hanging="284"/>
        <w:rPr>
          <w:rStyle w:val="Style14"/>
        </w:rPr>
      </w:pPr>
      <w:r>
        <w:rPr>
          <w:rStyle w:val="Style14"/>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14"/>
          <w:color w:val="4472C4" w:themeColor="accent1"/>
        </w:rPr>
        <w:t>включается на вкладке «Вид» опцией «Навигатор»</w:t>
      </w:r>
      <w:r>
        <w:rPr>
          <w:rStyle w:val="Style14"/>
        </w:rPr>
        <w:t>;</w:t>
      </w:r>
    </w:p>
    <w:p>
      <w:pPr>
        <w:pStyle w:val="Style28"/>
        <w:numPr>
          <w:ilvl w:val="0"/>
          <w:numId w:val="9"/>
        </w:numPr>
        <w:spacing w:before="60" w:after="0"/>
        <w:ind w:left="284" w:hanging="284"/>
        <w:rPr>
          <w:rStyle w:val="Style14"/>
        </w:rPr>
      </w:pPr>
      <w:r>
        <w:rPr>
          <w:rStyle w:val="Style14"/>
        </w:rPr>
        <w:t>переход по перекрестным и другим ссылкам осуществляется левым кликом мыши с</w:t>
      </w:r>
      <w:r>
        <w:rPr>
          <w:rStyle w:val="Style14"/>
          <w:lang w:val="en-US"/>
        </w:rPr>
        <w:t> </w:t>
      </w:r>
      <w:r>
        <w:rPr>
          <w:rStyle w:val="Style14"/>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14"/>
          <w:color w:val="4472C4" w:themeColor="accent1"/>
        </w:rPr>
        <w:t>(обратный переход функционально не реализован в AlterOffice AText, пользуйтесь функциональностью «Навигатор»)</w:t>
      </w:r>
      <w:r>
        <w:rPr>
          <w:rStyle w:val="Style14"/>
        </w:rPr>
        <w:t>;</w:t>
      </w:r>
    </w:p>
    <w:p>
      <w:pPr>
        <w:pStyle w:val="Style28"/>
        <w:numPr>
          <w:ilvl w:val="0"/>
          <w:numId w:val="9"/>
        </w:numPr>
        <w:spacing w:before="60" w:after="0"/>
        <w:ind w:left="284" w:hanging="284"/>
        <w:rPr>
          <w:rStyle w:val="Style14"/>
        </w:rPr>
      </w:pPr>
      <w:r>
        <w:rPr>
          <w:rStyle w:val="Style14"/>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14"/>
          <w:lang w:val="en-US"/>
        </w:rPr>
        <w:t> </w:t>
      </w:r>
      <w:r>
        <w:rPr>
          <w:rStyle w:val="Style14"/>
        </w:rPr>
        <w:t>тексте;</w:t>
      </w:r>
    </w:p>
    <w:p>
      <w:pPr>
        <w:pStyle w:val="Style28"/>
        <w:numPr>
          <w:ilvl w:val="0"/>
          <w:numId w:val="9"/>
        </w:numPr>
        <w:spacing w:before="60" w:after="0"/>
        <w:ind w:left="284" w:hanging="284"/>
        <w:rPr>
          <w:rStyle w:val="Style14"/>
        </w:rPr>
      </w:pPr>
      <w:r>
        <w:rPr>
          <w:rStyle w:val="Style14"/>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14"/>
        </w:rPr>
        <w:t>.]</w:t>
      </w:r>
    </w:p>
    <w:p>
      <w:pPr>
        <w:pStyle w:val="Style27"/>
        <w:numPr>
          <w:ilvl w:val="0"/>
          <w:numId w:val="0"/>
        </w:numPr>
        <w:ind w:left="0" w:hanging="0"/>
        <w:outlineLvl w:val="0"/>
        <w:rPr/>
      </w:pPr>
      <w:bookmarkStart w:id="0" w:name="_Toc228876833"/>
      <w:r>
        <w:rPr/>
        <w:t>Сокращения</w:t>
      </w:r>
      <w:bookmarkEnd w:id="0"/>
    </w:p>
    <w:p>
      <w:pPr>
        <w:pStyle w:val="Style28"/>
        <w:ind w:firstLine="567"/>
        <w:rPr/>
      </w:pPr>
      <w:r>
        <w:rPr>
          <w:b/>
          <w:bCs/>
        </w:rPr>
        <w:t>ГК РФ</w:t>
      </w:r>
      <w:r>
        <w:rPr/>
        <w:t xml:space="preserve"> – Гражданской кодекс Российской Федерации.</w:t>
      </w:r>
    </w:p>
    <w:p>
      <w:pPr>
        <w:pStyle w:val="Style28"/>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8"/>
        <w:ind w:firstLine="567"/>
        <w:rPr/>
      </w:pPr>
      <w:r>
        <w:rPr>
          <w:b/>
          <w:bCs/>
        </w:rPr>
        <w:t>ЕАЭС</w:t>
      </w:r>
      <w:r>
        <w:rPr/>
        <w:t xml:space="preserve"> – Евразийский экономический союз.</w:t>
      </w:r>
    </w:p>
    <w:p>
      <w:pPr>
        <w:pStyle w:val="Style28"/>
        <w:ind w:firstLine="567"/>
        <w:rPr/>
      </w:pPr>
      <w:r>
        <w:rPr>
          <w:b/>
          <w:bCs/>
        </w:rPr>
        <w:t>ЕГРИП</w:t>
      </w:r>
      <w:r>
        <w:rPr/>
        <w:t xml:space="preserve"> – Единый государственный реестр индивидуальных предпринимателей.</w:t>
      </w:r>
    </w:p>
    <w:p>
      <w:pPr>
        <w:pStyle w:val="Style28"/>
        <w:ind w:firstLine="567"/>
        <w:rPr/>
      </w:pPr>
      <w:r>
        <w:rPr>
          <w:b/>
          <w:bCs/>
        </w:rPr>
        <w:t>ЕГРЮЛ</w:t>
      </w:r>
      <w:r>
        <w:rPr/>
        <w:t xml:space="preserve"> – Единый государственный реестр юридических лиц.</w:t>
      </w:r>
    </w:p>
    <w:p>
      <w:pPr>
        <w:pStyle w:val="Style28"/>
        <w:ind w:firstLine="567"/>
        <w:rPr/>
      </w:pPr>
      <w:r>
        <w:rPr>
          <w:b/>
          <w:bCs/>
        </w:rPr>
        <w:t>ЕИС</w:t>
      </w:r>
      <w:r>
        <w:rPr/>
        <w:t xml:space="preserve"> – Единая информационная система в сфере закупок.</w:t>
      </w:r>
    </w:p>
    <w:p>
      <w:pPr>
        <w:pStyle w:val="Style28"/>
        <w:ind w:firstLine="567"/>
        <w:rPr/>
      </w:pPr>
      <w:r>
        <w:rPr>
          <w:b/>
          <w:bCs/>
        </w:rPr>
        <w:t>Закон 44-ФЗ</w:t>
      </w:r>
      <w:r>
        <w:rPr/>
        <w:t xml:space="preserve"> – Федеральный закон от 05.04.2013 № 44-ФЗ «О контрактной системе в сфере закупок товаров, работ, услуг для обеспечения государственных и муниципальных нужд».</w:t>
      </w:r>
    </w:p>
    <w:p>
      <w:pPr>
        <w:pStyle w:val="Style28"/>
        <w:ind w:firstLine="567"/>
        <w:rPr/>
      </w:pPr>
      <w:r>
        <w:rPr>
          <w:b/>
          <w:bCs/>
        </w:rPr>
        <w:t>Закон 98-ФЗ</w:t>
      </w:r>
      <w:r>
        <w:rPr/>
        <w:t xml:space="preserve"> – Федеральный закон от 29 июля 2004 года № 98-ФЗ «О коммерческой тайне».</w:t>
      </w:r>
    </w:p>
    <w:p>
      <w:pPr>
        <w:pStyle w:val="Style28"/>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8"/>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8"/>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8"/>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8"/>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8"/>
        <w:ind w:firstLine="567"/>
        <w:rPr/>
      </w:pPr>
      <w:r>
        <w:rPr>
          <w:b/>
          <w:bCs/>
        </w:rPr>
        <w:t>Извещение</w:t>
      </w:r>
      <w:r>
        <w:rPr/>
        <w:t xml:space="preserve"> – извещение о проведении настоящей закупки.</w:t>
      </w:r>
    </w:p>
    <w:p>
      <w:pPr>
        <w:pStyle w:val="Style28"/>
        <w:ind w:firstLine="567"/>
        <w:rPr/>
      </w:pPr>
      <w:r>
        <w:rPr>
          <w:b/>
          <w:bCs/>
        </w:rPr>
        <w:t>ИНН</w:t>
      </w:r>
      <w:r>
        <w:rPr/>
        <w:t xml:space="preserve"> – идентификационный номер налогоплательщика.</w:t>
      </w:r>
    </w:p>
    <w:p>
      <w:pPr>
        <w:pStyle w:val="Style28"/>
        <w:ind w:firstLine="567"/>
        <w:rPr/>
      </w:pPr>
      <w:r>
        <w:rPr>
          <w:b/>
          <w:bCs/>
        </w:rPr>
        <w:t>ИФНС</w:t>
      </w:r>
      <w:r>
        <w:rPr/>
        <w:t xml:space="preserve"> – инспекция Федеральной налоговой службы Российской Федерации.</w:t>
      </w:r>
    </w:p>
    <w:p>
      <w:pPr>
        <w:pStyle w:val="Style28"/>
        <w:ind w:firstLine="567"/>
        <w:rPr/>
      </w:pPr>
      <w:r>
        <w:rPr>
          <w:b/>
          <w:bCs/>
        </w:rPr>
        <w:t>МТР</w:t>
      </w:r>
      <w:r>
        <w:rPr/>
        <w:t xml:space="preserve"> – материально-технические ресурсы.</w:t>
      </w:r>
    </w:p>
    <w:p>
      <w:pPr>
        <w:pStyle w:val="Style28"/>
        <w:ind w:firstLine="567"/>
        <w:rPr/>
      </w:pPr>
      <w:r>
        <w:rPr>
          <w:b/>
          <w:bCs/>
        </w:rPr>
        <w:t>НДС</w:t>
      </w:r>
      <w:r>
        <w:rPr/>
        <w:t xml:space="preserve"> – налог на добавленную стоимость.</w:t>
      </w:r>
    </w:p>
    <w:p>
      <w:pPr>
        <w:pStyle w:val="Style28"/>
        <w:ind w:firstLine="567"/>
        <w:rPr/>
      </w:pPr>
      <w:r>
        <w:rPr>
          <w:b/>
          <w:bCs/>
        </w:rPr>
        <w:t>НМЦ</w:t>
      </w:r>
      <w:r>
        <w:rPr/>
        <w:t xml:space="preserve"> – начальная (максимальная) цена договора.</w:t>
      </w:r>
    </w:p>
    <w:p>
      <w:pPr>
        <w:pStyle w:val="Style28"/>
        <w:ind w:firstLine="567"/>
        <w:rPr/>
      </w:pPr>
      <w:r>
        <w:rPr>
          <w:b/>
          <w:bCs/>
        </w:rPr>
        <w:t>Оператор ЭП</w:t>
      </w:r>
      <w:r>
        <w:rPr/>
        <w:t xml:space="preserve"> – оператор электронной площадки.</w:t>
      </w:r>
    </w:p>
    <w:p>
      <w:pPr>
        <w:pStyle w:val="Style28"/>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8"/>
        <w:ind w:firstLine="567"/>
        <w:rPr/>
      </w:pPr>
      <w:r>
        <w:rPr>
          <w:b/>
          <w:bCs/>
        </w:rPr>
        <w:t>Положение о закупке</w:t>
      </w:r>
      <w:r>
        <w:rPr/>
        <w:t xml:space="preserve"> – Единое Положение о закупке продукции для нужд Группы РусГидро.</w:t>
      </w:r>
    </w:p>
    <w:p>
      <w:pPr>
        <w:pStyle w:val="Style28"/>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8"/>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28"/>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28"/>
        <w:ind w:firstLine="567"/>
        <w:rPr/>
      </w:pPr>
      <w:r>
        <w:rPr/>
      </w:r>
    </w:p>
    <w:p>
      <w:pPr>
        <w:pStyle w:val="Style28"/>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8"/>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8"/>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8"/>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8"/>
        <w:ind w:firstLine="567"/>
        <w:rPr/>
      </w:pPr>
      <w:r>
        <w:rPr>
          <w:b/>
          <w:bCs/>
        </w:rPr>
        <w:t>Субъект МСП</w:t>
      </w:r>
      <w:r>
        <w:rPr/>
        <w:t xml:space="preserve"> – субъект малого и среднего предпринимательства.</w:t>
      </w:r>
    </w:p>
    <w:p>
      <w:pPr>
        <w:pStyle w:val="Style28"/>
        <w:ind w:firstLine="567"/>
        <w:rPr/>
      </w:pPr>
      <w:r>
        <w:rPr>
          <w:b/>
          <w:bCs/>
        </w:rPr>
        <w:t>ЭП</w:t>
      </w:r>
      <w:r>
        <w:rPr/>
        <w:t xml:space="preserve"> – электронная площадка.</w:t>
      </w:r>
    </w:p>
    <w:p>
      <w:pPr>
        <w:pStyle w:val="Style27"/>
        <w:numPr>
          <w:ilvl w:val="0"/>
          <w:numId w:val="0"/>
        </w:numPr>
        <w:ind w:left="0" w:hanging="0"/>
        <w:outlineLvl w:val="0"/>
        <w:rPr/>
      </w:pPr>
      <w:bookmarkStart w:id="1" w:name="_Toc228876834"/>
      <w:r>
        <w:rPr/>
        <w:t>Термины и определения</w:t>
      </w:r>
      <w:bookmarkEnd w:id="1"/>
    </w:p>
    <w:p>
      <w:pPr>
        <w:pStyle w:val="Style28"/>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8"/>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8"/>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информацию и документы, необходимые для осуществления оценки заявки в отношении Участника (в случае установления в Документации о закупке соответствующих критериев и порядка оценки) (без указания сведений о ценовом предложении Участника).</w:t>
      </w:r>
    </w:p>
    <w:p>
      <w:pPr>
        <w:pStyle w:val="Style28"/>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8"/>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8"/>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8"/>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8"/>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8"/>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8"/>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8"/>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8"/>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8"/>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8"/>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8"/>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8"/>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8"/>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8"/>
        <w:ind w:firstLine="567"/>
        <w:rPr/>
      </w:pPr>
      <w:r>
        <w:rPr>
          <w:b/>
          <w:bCs/>
        </w:rPr>
        <w:t>Окончательное предложение</w:t>
      </w:r>
      <w:r>
        <w:rPr/>
        <w:t xml:space="preserve"> – комплект документов, входящих в состав первой части заявки и содержащих предложение Участника о функциональных характеристиках (потребительских свойствах) предлагаемой к поставке продукции и об иных условиях исполнения договора, с учетом уточненных Извещения и Документации о закупке по результатам проведенных обсуждений (в случае проведения таковых и выявления необходимости внесения изменений в Извещение и Документацию о закупке).</w:t>
      </w:r>
    </w:p>
    <w:p>
      <w:pPr>
        <w:pStyle w:val="Style28"/>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8"/>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8"/>
        <w:ind w:firstLine="567"/>
        <w:rPr/>
      </w:pPr>
      <w:r>
        <w:rPr>
          <w:b/>
          <w:bCs/>
        </w:rPr>
        <w:t>Официальное размещение</w:t>
      </w:r>
      <w:r>
        <w:rPr/>
        <w:t xml:space="preserve"> – размещение информации о закупке в ЕИС, на Официальном сайте </w:t>
      </w:r>
      <w:bookmarkStart w:id="2" w:name="_Hlk149048701"/>
      <w:r>
        <w:rPr/>
        <w:t>(с размещением копий на ЭП)</w:t>
      </w:r>
      <w:bookmarkEnd w:id="2"/>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8"/>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ценовых предложений с целью повысить их предпочтительность для Заказчика.</w:t>
      </w:r>
    </w:p>
    <w:p>
      <w:pPr>
        <w:pStyle w:val="Style31"/>
        <w:rPr/>
      </w:pPr>
      <w:r>
        <w:rPr/>
      </w:r>
    </w:p>
    <w:p>
      <w:pPr>
        <w:pStyle w:val="Style28"/>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об окончательном предложении Участника по результатам проведения обсуждений (в случае проведения таковых), а также информацию и документы, необходимые для осуществления оценки заявки в отношении предлагаемой к поставке продукции (в случае установления в Документации о закупке соответствующих критериев и порядка оценки).</w:t>
      </w:r>
    </w:p>
    <w:p>
      <w:pPr>
        <w:pStyle w:val="Style28"/>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8"/>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8"/>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8"/>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8"/>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8"/>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8"/>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8"/>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8"/>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2"/>
      </w:r>
      <w:r>
        <w:rPr/>
        <w:t>, если иное не установлено в Документации о закупке.</w:t>
      </w:r>
    </w:p>
    <w:p>
      <w:pPr>
        <w:pStyle w:val="Style28"/>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28"/>
        <w:ind w:firstLine="567"/>
        <w:rPr/>
      </w:pPr>
      <w:r>
        <w:rPr>
          <w:b/>
          <w:bCs/>
        </w:rPr>
        <w:t>Участник</w:t>
      </w:r>
      <w:r>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в том числе индивидуальный предприниматель, ,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8"/>
        <w:ind w:firstLine="567"/>
        <w:rPr/>
      </w:pPr>
      <w:r>
        <w:rPr>
          <w:b/>
          <w:bCs/>
        </w:rPr>
        <w:t>Ценовое предложение</w:t>
      </w:r>
      <w:r>
        <w:rPr/>
        <w:t xml:space="preserve"> – комплект документов, входящих в состав заявки, но подаваемых отдельно от первой и второй частей заявки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w:t>
      </w:r>
    </w:p>
    <w:p>
      <w:pPr>
        <w:pStyle w:val="Style22"/>
        <w:rPr/>
      </w:pPr>
      <w:bookmarkStart w:id="3" w:name="_Toc228876835"/>
      <w:bookmarkStart w:id="4" w:name="_Ref125359988"/>
      <w:r>
        <w:rPr/>
        <w:t>Основные сведения о закупке</w:t>
      </w:r>
      <w:bookmarkEnd w:id="3"/>
      <w:bookmarkEnd w:id="4"/>
    </w:p>
    <w:p>
      <w:pPr>
        <w:pStyle w:val="Style23"/>
        <w:rPr/>
      </w:pPr>
      <w:bookmarkStart w:id="5" w:name="_Toc228876836"/>
      <w:r>
        <w:rPr/>
        <w:t>Статус настоящего раздела</w:t>
      </w:r>
      <w:bookmarkEnd w:id="5"/>
    </w:p>
    <w:p>
      <w:pPr>
        <w:pStyle w:val="Style24"/>
        <w:rPr/>
      </w:pPr>
      <w:r>
        <w:rPr/>
        <w:t>В настоящем разделе содержатся основные сведения о предмете, способе и иных ключевых условиях проводимой закупки.</w:t>
      </w:r>
    </w:p>
    <w:p>
      <w:pPr>
        <w:pStyle w:val="Style24"/>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1"/>
          </w:rPr>
          <w:t>Технических требованиях (Приложение № 1)</w:t>
        </w:r>
      </w:hyperlink>
      <w:r>
        <w:rPr>
          <w:rStyle w:val="Style11"/>
        </w:rPr>
        <w:t>,</w:t>
      </w:r>
      <w:r>
        <w:rPr/>
        <w:t xml:space="preserve"> в </w:t>
      </w:r>
      <w:hyperlink w:anchor="Прил02_ПроектДоговора">
        <w:r>
          <w:rPr>
            <w:rStyle w:val="Style11"/>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4"/>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23"/>
        <w:spacing w:before="360" w:after="120"/>
        <w:rPr/>
      </w:pPr>
      <w:bookmarkStart w:id="6" w:name="_Toc228876837"/>
      <w:bookmarkStart w:id="7" w:name="_Ref132876309"/>
      <w:bookmarkStart w:id="8" w:name="_Ref127270076"/>
      <w:bookmarkStart w:id="9" w:name="_Ref125359973"/>
      <w:r>
        <w:rPr/>
        <w:t>Информация о проводимой закупке</w:t>
      </w:r>
      <w:bookmarkEnd w:id="6"/>
      <w:bookmarkEnd w:id="7"/>
      <w:bookmarkEnd w:id="8"/>
      <w:bookmarkEnd w:id="9"/>
    </w:p>
    <w:tbl>
      <w:tblPr>
        <w:tblStyle w:val="af9"/>
        <w:tblW w:w="9912" w:type="dxa"/>
        <w:jc w:val="left"/>
        <w:tblInd w:w="-2" w:type="dxa"/>
        <w:tblLayout w:type="fixed"/>
        <w:tblCellMar>
          <w:top w:w="55" w:type="dxa"/>
          <w:left w:w="57" w:type="dxa"/>
          <w:bottom w:w="55" w:type="dxa"/>
          <w:right w:w="57" w:type="dxa"/>
        </w:tblCellMar>
        <w:tblLook w:val="04a0" w:noVBand="1" w:noHBand="0" w:lastColumn="0" w:firstColumn="1" w:lastRow="0" w:firstRow="1"/>
      </w:tblPr>
      <w:tblGrid>
        <w:gridCol w:w="1126"/>
        <w:gridCol w:w="2973"/>
        <w:gridCol w:w="5813"/>
      </w:tblGrid>
      <w:tr>
        <w:trPr>
          <w:cnfStyle w:val="100000000000" w:firstRow="1" w:lastRow="0" w:firstColumn="0" w:lastColumn="0" w:oddVBand="0" w:evenVBand="0" w:oddHBand="0" w:evenHBand="0" w:firstRowFirstColumn="0" w:firstRowLastColumn="0" w:lastRowFirstColumn="0" w:lastRowLastColumn="0"/>
        </w:trPr>
        <w:tc>
          <w:tcPr>
            <w:tcW w:w="1126" w:type="dxa"/>
            <w:tcBorders>
              <w:top w:val="single" w:sz="6" w:space="0" w:color="7F7F7F"/>
              <w:left w:val="single" w:sz="6" w:space="0" w:color="7F7F7F"/>
              <w:bottom w:val="single" w:sz="6" w:space="0" w:color="7F7F7F"/>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2973" w:type="dxa"/>
            <w:tcBorders>
              <w:top w:val="single" w:sz="6" w:space="0" w:color="7F7F7F"/>
              <w:left w:val="single" w:sz="6" w:space="0" w:color="7F7F7F"/>
              <w:bottom w:val="single" w:sz="6" w:space="0" w:color="7F7F7F"/>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813" w:type="dxa"/>
            <w:tcBorders>
              <w:top w:val="single" w:sz="6" w:space="0" w:color="7F7F7F"/>
              <w:left w:val="single" w:sz="6" w:space="0" w:color="7F7F7F"/>
              <w:bottom w:val="single" w:sz="6" w:space="0" w:color="7F7F7F"/>
              <w:right w:val="single" w:sz="6" w:space="0" w:color="7F7F7F"/>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0" w:name="_Ref125360980"/>
            <w:bookmarkStart w:id="11" w:name="_Ref125360980"/>
            <w:bookmarkEnd w:id="11"/>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Конкурс в электронной форме, участниками которого могут быть только субъекты МСП.</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2" w:name="_Ref125360996"/>
            <w:bookmarkStart w:id="13" w:name="_Ref125360996"/>
            <w:bookmarkEnd w:id="13"/>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pPr>
            <w:r>
              <w:rPr>
                <w:rFonts w:eastAsia="Calibri" w:cs="" w:cstheme="minorBidi" w:eastAsiaTheme="minorHAnsi"/>
                <w:b/>
                <w:bCs/>
                <w:color w:val="000000"/>
                <w:kern w:val="0"/>
                <w:sz w:val="26"/>
                <w:szCs w:val="22"/>
                <w:shd w:fill="auto" w:val="clear"/>
                <w:lang w:val="ru-RU" w:eastAsia="en-US" w:bidi="ar-SA"/>
              </w:rPr>
              <w:t>Лот №</w:t>
            </w:r>
            <w:r>
              <w:rPr>
                <w:rStyle w:val="Style8"/>
                <w:rFonts w:eastAsia="Calibri" w:cs="" w:cstheme="minorBidi" w:eastAsiaTheme="minorHAnsi"/>
                <w:b/>
                <w:bCs/>
                <w:color w:val="000000"/>
                <w:kern w:val="0"/>
                <w:sz w:val="26"/>
                <w:szCs w:val="22"/>
                <w:shd w:fill="auto" w:val="clear"/>
                <w:lang w:val="ru-RU" w:eastAsia="en-US" w:bidi="ar-SA"/>
              </w:rPr>
              <w:t>307001-ТПИР ОБСЛ-2026-ДРСК</w:t>
            </w:r>
            <w:r>
              <w:rPr>
                <w:rFonts w:eastAsia="Calibri" w:cs="" w:cstheme="minorBidi" w:eastAsiaTheme="minorHAnsi"/>
                <w:b/>
                <w:bCs/>
                <w:color w:val="000000"/>
                <w:kern w:val="0"/>
                <w:sz w:val="26"/>
                <w:szCs w:val="22"/>
                <w:shd w:fill="auto" w:val="clear"/>
                <w:lang w:val="ru-RU" w:eastAsia="en-US" w:bidi="ar-SA"/>
              </w:rPr>
              <w:t>: «</w:t>
            </w:r>
            <w:r>
              <w:rPr>
                <w:rStyle w:val="Style8"/>
                <w:rFonts w:eastAsia="Calibri" w:cs="" w:cstheme="minorBidi" w:eastAsiaTheme="minorHAnsi"/>
                <w:b/>
                <w:bCs/>
                <w:color w:val="000000"/>
                <w:kern w:val="0"/>
                <w:sz w:val="26"/>
                <w:szCs w:val="22"/>
                <w:shd w:fill="auto" w:val="clear"/>
                <w:lang w:val="ru-RU" w:eastAsia="en-US" w:bidi="ar-SA"/>
              </w:rPr>
              <w:t>ОКПД2 42.22.12.110 Выполнение проектных, строительно-монтажных работ (в том числе оформление правоустанавливающих документов на землю) по объекту: «Реконструкция РУ 35 кВ ПС 35 кВ Соловей ключ с расширением на одну линейную ячейку 35 кВ со строительством ЛЭП 35 кВ от РУ ПС 35 кВ Соловей ключ до РУ 35 кВ ПС 220 кВ Гродеков (яч.ТСН-35 кВ) в п.Соловей ключ Надеждинского района Приморского края для заявителя ПАО "Россети" с платой за технологическое присоединение к электрическим сетям ПЭС в рамках инвестиционного проекта Q_25-ПЭС-6187 ПТП»</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1"/>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4" w:name="_Ref125367124"/>
            <w:bookmarkStart w:id="15" w:name="_Ref125367124"/>
            <w:bookmarkEnd w:id="15"/>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6" w:name="_Ref125360764"/>
            <w:bookmarkStart w:id="17" w:name="_Ref125360764"/>
            <w:bookmarkEnd w:id="17"/>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eastAsia="Calibri"/>
              </w:rPr>
            </w:pPr>
            <w:r>
              <w:rPr>
                <w:rFonts w:eastAsia="Calibri" w:cs=""/>
                <w:kern w:val="0"/>
                <w:sz w:val="26"/>
                <w:szCs w:val="22"/>
                <w:lang w:val="ru-RU" w:eastAsia="en-US" w:bidi="ar-SA"/>
              </w:rPr>
              <w:t>Наименование и адрес ЭП, на которой проводится закупка:</w:t>
            </w:r>
          </w:p>
        </w:tc>
        <w:tc>
          <w:tcPr>
            <w:tcW w:w="5813" w:type="dxa"/>
            <w:tcBorders>
              <w:top w:val="nil"/>
              <w:left w:val="single" w:sz="6" w:space="0" w:color="7F7F7F"/>
              <w:bottom w:val="single" w:sz="6" w:space="0" w:color="7F7F7F"/>
              <w:right w:val="single" w:sz="6" w:space="0" w:color="7F7F7F"/>
            </w:tcBorders>
          </w:tcPr>
          <w:p>
            <w:pPr>
              <w:pStyle w:val="Normal"/>
              <w:widowControl w:val="false"/>
              <w:suppressAutoHyphens w:val="true"/>
              <w:spacing w:before="0" w:after="60"/>
              <w:jc w:val="left"/>
              <w:rPr/>
            </w:pPr>
            <w:r>
              <w:rPr>
                <w:rFonts w:eastAsia="Calibri" w:cs=""/>
                <w:kern w:val="0"/>
                <w:sz w:val="26"/>
                <w:szCs w:val="22"/>
                <w:lang w:val="ru-RU" w:eastAsia="en-US" w:bidi="ar-SA"/>
              </w:rPr>
              <w:t xml:space="preserve">Электронная (торговая) площадка: </w:t>
            </w:r>
            <w:hyperlink r:id="rId2">
              <w:r>
                <w:rPr>
                  <w:rFonts w:eastAsia="Calibri" w:cs=""/>
                  <w:kern w:val="0"/>
                  <w:sz w:val="26"/>
                  <w:szCs w:val="22"/>
                  <w:lang w:val="ru-RU" w:eastAsia="en-US" w:bidi="ar-SA"/>
                </w:rPr>
                <w:t>https://tender.lot-online.ru</w:t>
              </w:r>
            </w:hyperlink>
            <w:r>
              <w:rPr>
                <w:rFonts w:eastAsia="Calibri" w:cs=""/>
                <w:kern w:val="0"/>
                <w:sz w:val="26"/>
                <w:szCs w:val="22"/>
                <w:lang w:val="ru-RU" w:eastAsia="en-US" w:bidi="ar-SA"/>
              </w:rPr>
              <w:t>.</w:t>
            </w:r>
          </w:p>
          <w:p>
            <w:pPr>
              <w:pStyle w:val="Normal"/>
              <w:widowControl w:val="false"/>
              <w:suppressAutoHyphens w:val="true"/>
              <w:spacing w:before="0" w:after="60"/>
              <w:ind w:left="38" w:hanging="0"/>
              <w:jc w:val="left"/>
              <w:rPr/>
            </w:pPr>
            <w:r>
              <w:rPr>
                <w:rStyle w:val="Style8"/>
                <w:rFonts w:eastAsia="Calibri" w:cs=""/>
                <w:i w:val="false"/>
                <w:iCs w:val="false"/>
                <w:kern w:val="0"/>
                <w:sz w:val="26"/>
                <w:szCs w:val="22"/>
                <w:shd w:fill="auto" w:val="clear"/>
                <w:lang w:val="ru-RU" w:eastAsia="en-US" w:bidi="ar-SA"/>
              </w:rPr>
              <w:t xml:space="preserve">Регламент ЭТП, в соответствии с которым проводится закупка, размещен по адресу: </w:t>
            </w:r>
            <w:hyperlink r:id="rId3" w:tgtFrame="https://tender.lot-online.ru/app/EtpDocList/page">
              <w:r>
                <w:rPr>
                  <w:rFonts w:eastAsia="Calibri" w:cs=""/>
                  <w:kern w:val="0"/>
                  <w:sz w:val="26"/>
                  <w:szCs w:val="22"/>
                  <w:lang w:val="ru-RU" w:eastAsia="en-US" w:bidi="ar-SA"/>
                </w:rPr>
                <w:t>https://tender.lot-online.ru/app/EtpDocList/page</w:t>
              </w:r>
            </w:hyperlink>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8" w:name="_Ref125360970"/>
            <w:bookmarkStart w:id="19" w:name="_Ref125360970"/>
            <w:bookmarkEnd w:id="19"/>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pPr>
              <w:pStyle w:val="Style28"/>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1"/>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0" w:name="_Ref125360988"/>
            <w:bookmarkStart w:id="21" w:name="_Ref125360988"/>
            <w:bookmarkEnd w:id="21"/>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b w:val="false"/>
                <w:bCs w:val="false"/>
                <w:i w:val="false"/>
                <w:i w:val="false"/>
                <w:iCs w:val="false"/>
              </w:rPr>
            </w:pPr>
            <w:r>
              <w:rPr>
                <w:rFonts w:eastAsia="Calibri" w:cs=""/>
                <w:b w:val="false"/>
                <w:bCs w:val="false"/>
                <w:i w:val="false"/>
                <w:iCs w:val="false"/>
                <w:kern w:val="0"/>
                <w:sz w:val="26"/>
                <w:szCs w:val="22"/>
                <w:lang w:val="ru-RU" w:eastAsia="en-US" w:bidi="ar-SA"/>
              </w:rPr>
              <w:t>Заказчик:</w:t>
            </w:r>
          </w:p>
        </w:tc>
        <w:tc>
          <w:tcPr>
            <w:tcW w:w="5813" w:type="dxa"/>
            <w:tcBorders>
              <w:top w:val="nil"/>
              <w:left w:val="single" w:sz="6" w:space="0" w:color="7F7F7F"/>
              <w:bottom w:val="single" w:sz="6" w:space="0" w:color="7F7F7F"/>
              <w:right w:val="single" w:sz="6" w:space="0" w:color="7F7F7F"/>
            </w:tcBorders>
          </w:tcPr>
          <w:p>
            <w:pPr>
              <w:pStyle w:val="Tableheader"/>
              <w:widowControl w:val="false"/>
              <w:suppressAutoHyphens w:val="true"/>
              <w:snapToGrid w:val="false"/>
              <w:spacing w:before="0" w:after="60"/>
              <w:jc w:val="left"/>
              <w:rPr>
                <w:b w:val="false"/>
                <w:bCs w:val="false"/>
                <w:i w:val="false"/>
                <w:i w:val="false"/>
                <w:iCs w:val="false"/>
              </w:rPr>
            </w:pPr>
            <w:r>
              <w:rPr>
                <w:rFonts w:eastAsia="Calibri" w:cs=""/>
                <w:b w:val="false"/>
                <w:bCs w:val="false"/>
                <w:i w:val="false"/>
                <w:iCs w:val="false"/>
                <w:kern w:val="0"/>
                <w:sz w:val="26"/>
                <w:szCs w:val="26"/>
                <w:lang w:val="ru-RU" w:eastAsia="en-US" w:bidi="ar-SA"/>
              </w:rPr>
              <w:t>Наименование (полное и сокращенное): АО «Дальневосточная распределительная сетевая компания» (далее – АО «ДРСК»)</w:t>
            </w:r>
          </w:p>
          <w:p>
            <w:pPr>
              <w:pStyle w:val="Tableheader"/>
              <w:widowControl w:val="false"/>
              <w:suppressAutoHyphens w:val="true"/>
              <w:snapToGrid w:val="false"/>
              <w:spacing w:before="0" w:after="60"/>
              <w:jc w:val="left"/>
              <w:rPr>
                <w:b w:val="false"/>
                <w:bCs w:val="false"/>
                <w:i w:val="false"/>
                <w:i w:val="false"/>
                <w:iCs w:val="false"/>
              </w:rPr>
            </w:pPr>
            <w:r>
              <w:rPr>
                <w:rFonts w:eastAsia="Calibri" w:cs=""/>
                <w:b w:val="false"/>
                <w:bCs w:val="false"/>
                <w:i w:val="false"/>
                <w:iCs w:val="false"/>
                <w:kern w:val="0"/>
                <w:sz w:val="26"/>
                <w:szCs w:val="26"/>
                <w:lang w:val="ru-RU" w:eastAsia="en-US" w:bidi="ar-SA"/>
              </w:rPr>
              <w:t>Почтовый адрес/Место нахождения: 675004, Амурская обл., г. Благовещенск, ул. Шевченко, 32</w:t>
            </w:r>
          </w:p>
          <w:p>
            <w:pPr>
              <w:pStyle w:val="Tableheader"/>
              <w:widowControl w:val="false"/>
              <w:suppressAutoHyphens w:val="true"/>
              <w:snapToGrid w:val="false"/>
              <w:spacing w:before="0" w:after="60"/>
              <w:jc w:val="left"/>
              <w:rPr/>
            </w:pPr>
            <w:r>
              <w:rPr>
                <w:rFonts w:eastAsia="Calibri" w:cs=""/>
                <w:b w:val="false"/>
                <w:bCs w:val="false"/>
                <w:i w:val="false"/>
                <w:iCs w:val="false"/>
                <w:kern w:val="0"/>
                <w:sz w:val="26"/>
                <w:szCs w:val="26"/>
                <w:lang w:val="ru-RU" w:eastAsia="en-US" w:bidi="ar-SA"/>
              </w:rPr>
              <w:t xml:space="preserve">Адрес электронной почты: </w:t>
            </w:r>
            <w:hyperlink r:id="rId4">
              <w:r>
                <w:rPr>
                  <w:rStyle w:val="Hyperlink"/>
                  <w:rFonts w:eastAsia="Calibri" w:cs=""/>
                  <w:b w:val="false"/>
                  <w:bCs w:val="false"/>
                  <w:i w:val="false"/>
                  <w:iCs w:val="false"/>
                  <w:kern w:val="0"/>
                  <w:sz w:val="26"/>
                  <w:szCs w:val="26"/>
                  <w:lang w:val="ru-RU" w:eastAsia="en-US" w:bidi="ar-SA"/>
                </w:rPr>
                <w:t>okzt5@drsk.ru</w:t>
              </w:r>
            </w:hyperlink>
          </w:p>
          <w:p>
            <w:pPr>
              <w:pStyle w:val="Tableheader"/>
              <w:widowControl w:val="false"/>
              <w:suppressAutoHyphens w:val="true"/>
              <w:spacing w:before="0" w:after="60"/>
              <w:jc w:val="left"/>
              <w:rPr>
                <w:b w:val="false"/>
                <w:bCs w:val="false"/>
                <w:i w:val="false"/>
                <w:i w:val="false"/>
                <w:iCs w:val="false"/>
              </w:rPr>
            </w:pPr>
            <w:r>
              <w:rPr>
                <w:rFonts w:eastAsia="Calibri" w:cs=""/>
                <w:b w:val="false"/>
                <w:bCs w:val="false"/>
                <w:i w:val="false"/>
                <w:iCs w:val="false"/>
                <w:kern w:val="0"/>
                <w:sz w:val="26"/>
                <w:szCs w:val="26"/>
                <w:lang w:val="ru-RU" w:eastAsia="en-US" w:bidi="ar-SA"/>
              </w:rPr>
              <w:t>Контактный телефон: 8 (4162) 397-208</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2" w:name="_Ref125360954"/>
            <w:bookmarkStart w:id="23" w:name="_Ref125360954"/>
            <w:bookmarkEnd w:id="23"/>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b w:val="false"/>
                <w:bCs w:val="false"/>
                <w:i w:val="false"/>
                <w:i w:val="false"/>
                <w:iCs w:val="false"/>
              </w:rPr>
            </w:pPr>
            <w:r>
              <w:rPr>
                <w:rFonts w:eastAsia="Calibri" w:cs=""/>
                <w:b w:val="false"/>
                <w:bCs w:val="false"/>
                <w:i w:val="false"/>
                <w:iCs w:val="false"/>
                <w:kern w:val="0"/>
                <w:sz w:val="26"/>
                <w:szCs w:val="22"/>
                <w:lang w:val="ru-RU" w:eastAsia="en-US" w:bidi="ar-SA"/>
              </w:rPr>
              <w:t>Организатор:</w:t>
            </w:r>
          </w:p>
        </w:tc>
        <w:tc>
          <w:tcPr>
            <w:tcW w:w="5813" w:type="dxa"/>
            <w:tcBorders>
              <w:top w:val="nil"/>
              <w:left w:val="single" w:sz="6" w:space="0" w:color="7F7F7F"/>
              <w:bottom w:val="single" w:sz="6" w:space="0" w:color="7F7F7F"/>
              <w:right w:val="single" w:sz="6" w:space="0" w:color="7F7F7F"/>
            </w:tcBorders>
          </w:tcPr>
          <w:p>
            <w:pPr>
              <w:pStyle w:val="Tableheader"/>
              <w:widowControl w:val="false"/>
              <w:suppressAutoHyphens w:val="true"/>
              <w:snapToGrid w:val="false"/>
              <w:spacing w:before="0" w:after="60"/>
              <w:jc w:val="left"/>
              <w:rPr>
                <w:b w:val="false"/>
                <w:bCs w:val="false"/>
                <w:i w:val="false"/>
                <w:i w:val="false"/>
                <w:iCs w:val="false"/>
              </w:rPr>
            </w:pPr>
            <w:r>
              <w:rPr>
                <w:rFonts w:eastAsia="Calibri" w:cs=""/>
                <w:b w:val="false"/>
                <w:bCs w:val="false"/>
                <w:i w:val="false"/>
                <w:iCs w:val="false"/>
                <w:kern w:val="0"/>
                <w:sz w:val="26"/>
                <w:szCs w:val="26"/>
                <w:lang w:val="ru-RU" w:eastAsia="en-US" w:bidi="ar-SA"/>
              </w:rPr>
              <w:t>Наименование (полное и сокращенное): АО «Дальневосточная распределительная сетевая компания» (далее – АО «ДРСК»)</w:t>
            </w:r>
          </w:p>
          <w:p>
            <w:pPr>
              <w:pStyle w:val="Tableheader"/>
              <w:widowControl w:val="false"/>
              <w:suppressAutoHyphens w:val="true"/>
              <w:snapToGrid w:val="false"/>
              <w:spacing w:before="0" w:after="60"/>
              <w:jc w:val="left"/>
              <w:rPr>
                <w:b w:val="false"/>
                <w:bCs w:val="false"/>
                <w:i w:val="false"/>
                <w:i w:val="false"/>
                <w:iCs w:val="false"/>
              </w:rPr>
            </w:pPr>
            <w:r>
              <w:rPr>
                <w:rFonts w:eastAsia="Calibri" w:cs=""/>
                <w:b w:val="false"/>
                <w:bCs w:val="false"/>
                <w:i w:val="false"/>
                <w:iCs w:val="false"/>
                <w:kern w:val="0"/>
                <w:sz w:val="26"/>
                <w:szCs w:val="26"/>
                <w:lang w:val="ru-RU" w:eastAsia="en-US" w:bidi="ar-SA"/>
              </w:rPr>
              <w:t>Почтовый адрес/Место нахождения: 675004, Амурская обл., г. Благовещенск, ул. Шевченко, 32</w:t>
            </w:r>
          </w:p>
          <w:p>
            <w:pPr>
              <w:pStyle w:val="Tableheader"/>
              <w:widowControl w:val="false"/>
              <w:suppressAutoHyphens w:val="true"/>
              <w:snapToGrid w:val="false"/>
              <w:spacing w:before="0" w:after="60"/>
              <w:jc w:val="left"/>
              <w:rPr/>
            </w:pPr>
            <w:r>
              <w:rPr>
                <w:rFonts w:eastAsia="Calibri" w:cs=""/>
                <w:b w:val="false"/>
                <w:bCs w:val="false"/>
                <w:i w:val="false"/>
                <w:iCs w:val="false"/>
                <w:kern w:val="0"/>
                <w:sz w:val="26"/>
                <w:szCs w:val="26"/>
                <w:lang w:val="ru-RU" w:eastAsia="en-US" w:bidi="ar-SA"/>
              </w:rPr>
              <w:t xml:space="preserve">Адрес электронной почты: </w:t>
            </w:r>
            <w:hyperlink r:id="rId5">
              <w:r>
                <w:rPr>
                  <w:rStyle w:val="Hyperlink"/>
                  <w:rFonts w:eastAsia="Calibri" w:cs=""/>
                  <w:b w:val="false"/>
                  <w:bCs w:val="false"/>
                  <w:i w:val="false"/>
                  <w:iCs w:val="false"/>
                  <w:kern w:val="0"/>
                  <w:sz w:val="26"/>
                  <w:szCs w:val="26"/>
                  <w:lang w:val="ru-RU" w:eastAsia="en-US" w:bidi="ar-SA"/>
                </w:rPr>
                <w:t>okzt5@drsk.ru</w:t>
              </w:r>
            </w:hyperlink>
          </w:p>
          <w:p>
            <w:pPr>
              <w:pStyle w:val="Tableheader"/>
              <w:widowControl w:val="false"/>
              <w:suppressAutoHyphens w:val="true"/>
              <w:spacing w:before="0" w:after="60"/>
              <w:jc w:val="left"/>
              <w:rPr>
                <w:b w:val="false"/>
                <w:bCs w:val="false"/>
                <w:i w:val="false"/>
                <w:i w:val="false"/>
                <w:iCs w:val="false"/>
              </w:rPr>
            </w:pPr>
            <w:r>
              <w:rPr>
                <w:rFonts w:eastAsia="Calibri" w:cs=""/>
                <w:b w:val="false"/>
                <w:bCs w:val="false"/>
                <w:i w:val="false"/>
                <w:iCs w:val="false"/>
                <w:kern w:val="0"/>
                <w:sz w:val="26"/>
                <w:szCs w:val="26"/>
                <w:lang w:val="ru-RU" w:eastAsia="en-US" w:bidi="ar-SA"/>
              </w:rPr>
              <w:t>Контактный телефон: 8 (4162) 397-208</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4" w:name="_Ref125361238"/>
            <w:bookmarkStart w:id="25" w:name="_Ref125361238"/>
            <w:bookmarkEnd w:id="25"/>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813" w:type="dxa"/>
            <w:tcBorders>
              <w:top w:val="nil"/>
              <w:left w:val="single" w:sz="6" w:space="0" w:color="7F7F7F"/>
              <w:bottom w:val="single" w:sz="6" w:space="0" w:color="7F7F7F"/>
              <w:right w:val="single" w:sz="6" w:space="0" w:color="7F7F7F"/>
            </w:tcBorders>
          </w:tcPr>
          <w:p>
            <w:pPr>
              <w:pStyle w:val="Tableheader"/>
              <w:widowControl w:val="false"/>
              <w:suppressAutoHyphens w:val="true"/>
              <w:spacing w:before="0" w:after="0"/>
              <w:rPr>
                <w:b w:val="false"/>
                <w:sz w:val="26"/>
                <w:szCs w:val="26"/>
              </w:rPr>
            </w:pPr>
            <w:r>
              <w:rPr>
                <w:b w:val="false"/>
                <w:sz w:val="26"/>
                <w:szCs w:val="26"/>
              </w:rPr>
              <w:t>Контактное лицо (Ф.И.О.): Чуясова Елена Геннадьевна</w:t>
            </w:r>
          </w:p>
          <w:p>
            <w:pPr>
              <w:pStyle w:val="Normal"/>
              <w:widowControl w:val="false"/>
              <w:tabs>
                <w:tab w:val="clear" w:pos="708"/>
                <w:tab w:val="left" w:pos="426" w:leader="none"/>
              </w:tabs>
              <w:suppressAutoHyphens w:val="true"/>
              <w:spacing w:before="0" w:after="0"/>
              <w:rPr/>
            </w:pPr>
            <w:r>
              <w:rPr/>
              <w:t>Контактный телефон: (4162) 397-268</w:t>
            </w:r>
          </w:p>
          <w:p>
            <w:pPr>
              <w:pStyle w:val="Normal"/>
              <w:widowControl w:val="false"/>
              <w:tabs>
                <w:tab w:val="clear" w:pos="708"/>
                <w:tab w:val="left" w:pos="426" w:leader="none"/>
              </w:tabs>
              <w:suppressAutoHyphens w:val="true"/>
              <w:spacing w:before="120" w:after="120"/>
              <w:rPr>
                <w:rFonts w:eastAsia="Lucida Sans Unicode"/>
                <w:i/>
                <w:i/>
                <w:kern w:val="2"/>
                <w:shd w:fill="FFFF99" w:val="clear"/>
              </w:rPr>
            </w:pPr>
            <w:r>
              <w:rPr>
                <w:rStyle w:val="Hyperlink"/>
                <w:rFonts w:eastAsia="Calibri" w:cs=""/>
                <w:b w:val="false"/>
                <w:i w:val="false"/>
                <w:iCs w:val="false"/>
                <w:kern w:val="0"/>
                <w:sz w:val="26"/>
                <w:szCs w:val="26"/>
                <w:lang w:val="ru-RU" w:eastAsia="en-US" w:bidi="ar-SA"/>
              </w:rPr>
              <w:t>Адрес электронной почты: chuyasova-eg@drsk.ru</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6" w:name="_Ref125362694"/>
            <w:bookmarkStart w:id="27" w:name="_Ref125362694"/>
            <w:bookmarkEnd w:id="27"/>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 w:name="_Ref125360963"/>
            <w:bookmarkStart w:id="29" w:name="_Ref125360963"/>
            <w:bookmarkEnd w:id="29"/>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«24» июля 2026 г.</w:t>
            </w:r>
          </w:p>
          <w:p>
            <w:pPr>
              <w:pStyle w:val="Style28"/>
              <w:widowControl w:val="false"/>
              <w:suppressAutoHyphens w:val="true"/>
              <w:spacing w:before="60" w:after="60"/>
              <w:rPr>
                <w:rStyle w:val="Style8"/>
              </w:rPr>
            </w:pPr>
            <w:r>
              <w:rPr/>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 w:name="_Ref125362837"/>
            <w:bookmarkStart w:id="31" w:name="_Ref125362837"/>
            <w:bookmarkEnd w:id="31"/>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НМЦ составляет </w:t>
            </w:r>
            <w:r>
              <w:rPr>
                <w:rFonts w:eastAsia="Calibri" w:cs=""/>
                <w:b/>
                <w:bCs/>
                <w:i/>
                <w:iCs/>
                <w:kern w:val="0"/>
                <w:sz w:val="26"/>
                <w:szCs w:val="22"/>
                <w:lang w:val="ru-RU" w:eastAsia="en-US" w:bidi="ar-SA"/>
              </w:rPr>
              <w:t>16 342 517,17 </w:t>
            </w:r>
            <w:r>
              <w:rPr>
                <w:rFonts w:eastAsia="Calibri" w:cs=""/>
                <w:kern w:val="0"/>
                <w:sz w:val="26"/>
                <w:szCs w:val="22"/>
                <w:lang w:val="ru-RU" w:eastAsia="en-US" w:bidi="ar-SA"/>
              </w:rPr>
              <w:t>руб., без учета НДС.</w:t>
            </w:r>
          </w:p>
          <w:p>
            <w:pPr>
              <w:pStyle w:val="Style28"/>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1"/>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 w:name="_Ref125363076"/>
            <w:bookmarkStart w:id="33" w:name="_Ref125363076"/>
            <w:bookmarkEnd w:id="33"/>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28"/>
              <w:widowControl w:val="false"/>
              <w:suppressAutoHyphens w:val="true"/>
              <w:spacing w:before="60" w:after="60"/>
              <w:rPr/>
            </w:pPr>
            <w:r>
              <w:rPr>
                <w:rStyle w:val="Style8"/>
                <w:rFonts w:eastAsia="Calibri" w:cs=""/>
                <w:i w:val="false"/>
                <w:iCs w:val="false"/>
                <w:kern w:val="0"/>
                <w:sz w:val="26"/>
                <w:szCs w:val="22"/>
                <w:shd w:fill="auto" w:val="clear"/>
                <w:lang w:val="ru-RU" w:eastAsia="en-US" w:bidi="ar-SA"/>
              </w:rPr>
              <w:t>Внимание! Для того, чтобы иметь возможность подать заявку на участие в закупке, в соответствии с Регламентом ЭП на счете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 w:name="_Ref125362995"/>
            <w:bookmarkStart w:id="35" w:name="_Ref125362995"/>
            <w:bookmarkEnd w:id="35"/>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pPr>
            <w:r>
              <w:rPr>
                <w:rFonts w:eastAsia="Calibri" w:cs=""/>
                <w:kern w:val="0"/>
                <w:sz w:val="26"/>
                <w:szCs w:val="22"/>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Национальный режим предоставляется.</w:t>
            </w:r>
          </w:p>
          <w:p>
            <w:pPr>
              <w:pStyle w:val="Style28"/>
              <w:widowControl w:val="false"/>
              <w:suppressAutoHyphens w:val="true"/>
              <w:spacing w:before="60" w:after="60"/>
              <w:rPr/>
            </w:pPr>
            <w:r>
              <w:rPr>
                <w:rFonts w:eastAsia="Calibri" w:cs=""/>
                <w:kern w:val="0"/>
                <w:sz w:val="26"/>
                <w:szCs w:val="22"/>
                <w:lang w:val="ru-RU" w:eastAsia="en-US" w:bidi="ar-SA"/>
              </w:rPr>
              <w:t>Подробнее в отношении каждой позиции закупаемой продукции указано в Структуре НМЦ (в составе Коммерческого предложения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 w:name="_Ref125533737"/>
            <w:bookmarkStart w:id="37" w:name="_Ref125533737"/>
            <w:bookmarkEnd w:id="37"/>
          </w:p>
        </w:tc>
        <w:tc>
          <w:tcPr>
            <w:tcW w:w="2973" w:type="dxa"/>
            <w:tcBorders>
              <w:top w:val="nil"/>
              <w:left w:val="single" w:sz="6" w:space="0" w:color="7F7F7F"/>
              <w:bottom w:val="single" w:sz="6" w:space="0" w:color="7F7F7F"/>
              <w:right w:val="nil"/>
            </w:tcBorders>
          </w:tcPr>
          <w:p>
            <w:pPr>
              <w:pStyle w:val="Normal"/>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Дополнительный этап закупки – Предзаявочное обсуждение:</w:t>
            </w:r>
          </w:p>
          <w:p>
            <w:pPr>
              <w:pStyle w:val="Normal"/>
              <w:widowControl w:val="false"/>
              <w:suppressAutoHyphens w:val="true"/>
              <w:spacing w:before="60" w:after="60"/>
              <w:jc w:val="left"/>
              <w:rPr>
                <w:i/>
                <w:i/>
                <w:iCs/>
                <w:sz w:val="22"/>
              </w:rPr>
            </w:pPr>
            <w:r>
              <w:rPr>
                <w:rFonts w:eastAsia="Calibri" w:cs=""/>
                <w:i/>
                <w:iCs/>
                <w:kern w:val="0"/>
                <w:sz w:val="22"/>
                <w:szCs w:val="22"/>
                <w:lang w:val="ru-RU" w:eastAsia="en-US" w:bidi="ar-SA"/>
              </w:rPr>
              <w:t>(проведение в срок до окончания срока подачи заявок Заказчиком обсуждения с Участниками функциональных характеристик (потребительских свойств) продукции и иных условий исполнения договора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szCs w:val="26"/>
              </w:rPr>
            </w:pPr>
            <w:r>
              <w:rPr>
                <w:rFonts w:eastAsia="Calibri" w:cs=""/>
                <w:kern w:val="0"/>
                <w:sz w:val="26"/>
                <w:szCs w:val="26"/>
                <w:lang w:val="ru-RU" w:eastAsia="en-US" w:bidi="ar-SA"/>
              </w:rPr>
              <w:t>Не предусмотрен.</w:t>
            </w:r>
          </w:p>
          <w:p>
            <w:pPr>
              <w:pStyle w:val="Style31"/>
              <w:widowControl w:val="false"/>
              <w:suppressAutoHyphens w:val="true"/>
              <w:spacing w:before="60" w:after="60"/>
              <w:rPr>
                <w:szCs w:val="26"/>
              </w:rPr>
            </w:pPr>
            <w:r>
              <w:rPr>
                <w:szCs w:val="26"/>
              </w:rPr>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 w:name="_Ref132896648"/>
            <w:bookmarkStart w:id="39" w:name="_Ref132896648"/>
            <w:bookmarkEnd w:id="39"/>
          </w:p>
        </w:tc>
        <w:tc>
          <w:tcPr>
            <w:tcW w:w="2973" w:type="dxa"/>
            <w:tcBorders>
              <w:top w:val="nil"/>
              <w:left w:val="single" w:sz="6" w:space="0" w:color="7F7F7F"/>
              <w:bottom w:val="single" w:sz="6" w:space="0" w:color="7F7F7F"/>
              <w:right w:val="nil"/>
            </w:tcBorders>
          </w:tcPr>
          <w:p>
            <w:pPr>
              <w:pStyle w:val="Normal"/>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Дополнительный этап закупки – Обсуждение заявок:</w:t>
            </w:r>
          </w:p>
          <w:p>
            <w:pPr>
              <w:pStyle w:val="Normal"/>
              <w:widowControl w:val="false"/>
              <w:suppressAutoHyphens w:val="true"/>
              <w:spacing w:before="60" w:after="60"/>
              <w:jc w:val="left"/>
              <w:rPr>
                <w:i/>
                <w:i/>
                <w:iCs/>
                <w:sz w:val="22"/>
              </w:rPr>
            </w:pPr>
            <w:r>
              <w:rPr>
                <w:rFonts w:eastAsia="Calibri" w:cs=""/>
                <w:i/>
                <w:iCs/>
                <w:kern w:val="0"/>
                <w:sz w:val="22"/>
                <w:szCs w:val="22"/>
                <w:lang w:val="ru-RU" w:eastAsia="en-US" w:bidi="ar-SA"/>
              </w:rPr>
              <w:t>(обсуждение Заказчиком предложений о функциональных характеристиках (потребительских свойствах) продукции и об иных условиях исполнения договора, содержащихся в заявках Участников,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szCs w:val="26"/>
              </w:rPr>
            </w:pPr>
            <w:r>
              <w:rPr>
                <w:rFonts w:eastAsia="Calibri" w:cs=""/>
                <w:kern w:val="0"/>
                <w:sz w:val="26"/>
                <w:szCs w:val="26"/>
                <w:lang w:val="ru-RU" w:eastAsia="en-US" w:bidi="ar-SA"/>
              </w:rPr>
              <w:t>Не предусмотрен.</w:t>
            </w:r>
          </w:p>
          <w:p>
            <w:pPr>
              <w:pStyle w:val="Style31"/>
              <w:widowControl w:val="false"/>
              <w:suppressAutoHyphens w:val="true"/>
              <w:spacing w:before="60" w:after="60"/>
              <w:rPr>
                <w:szCs w:val="26"/>
              </w:rPr>
            </w:pPr>
            <w:r>
              <w:rPr>
                <w:szCs w:val="26"/>
              </w:rPr>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0" w:name="_Ref125475086"/>
            <w:bookmarkStart w:id="41" w:name="_Ref125475086"/>
            <w:bookmarkEnd w:id="41"/>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w:t>
              <w:br/>
              <w:t>подачи заявок:</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должна состоять из двух частей и ценового предложения.</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 w:name="_Ref125360779"/>
            <w:bookmarkStart w:id="43" w:name="_Ref125360779"/>
            <w:bookmarkEnd w:id="43"/>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 (окончательных предложений):</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подачи заявок:</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«24» июля 2026_ г.</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подачи заявок (окончательных предложений):</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«05» августа 202_6 г. в 09 ч. 00 мин.</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московскому времени).</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_Ref125533737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1.2.16</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или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_Ref132896648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1.2.17</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предусмотрено соответственно проведение Предзаявочного обсуждения или Обсуждения заявок, и по результатам проведения соответствующего обсуждения Заказчиком будет принято решение о необходимости уточнения функциональных характеристик (потребительских свойств) закупаемой продукции, иных условий исполнения договора, Организатор вправе, при необходимости, изменить данный срок для подачи окончательных предложений Участников.</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«05» августа 2026 г. в 09 ч. 00 мин.</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московскому времени).</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1.2.19</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 w:name="_Ref125476197"/>
            <w:bookmarkStart w:id="45" w:name="_Ref125476197"/>
            <w:bookmarkEnd w:id="45"/>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6" w:name="_Ref125362733"/>
            <w:bookmarkStart w:id="47" w:name="_Ref125362733"/>
            <w:bookmarkEnd w:id="47"/>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первых частей заявок (первых частей заявок, содержащихся в окончательных предложениях):</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«12» августа 2026 г.</w:t>
            </w:r>
          </w:p>
          <w:p>
            <w:pPr>
              <w:pStyle w:val="Style28"/>
              <w:widowControl w:val="false"/>
              <w:suppressAutoHyphens w:val="true"/>
              <w:spacing w:before="60" w:after="60"/>
              <w:rPr>
                <w:rStyle w:val="Style8"/>
              </w:rPr>
            </w:pPr>
            <w:r>
              <w:rPr/>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направления Оператором ЭП вторых частей заявок и ценовых предложений в адрес Организатора</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позднее 1 (одного) рабочего дня, следующего за днем официального размещения на Официальном сайте (ЕИС) протокола рассмотрения первых частей заявок (первых частей заявок, содержащихся в окончательных предложениях).</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8" w:name="_Ref132898515"/>
            <w:bookmarkStart w:id="49" w:name="_Ref132898515"/>
            <w:bookmarkEnd w:id="49"/>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вторых частей заявок и ценовых предложений:</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«24» августа 2026 г.</w:t>
            </w:r>
          </w:p>
          <w:p>
            <w:pPr>
              <w:pStyle w:val="Style28"/>
              <w:widowControl w:val="false"/>
              <w:suppressAutoHyphens w:val="true"/>
              <w:spacing w:before="60" w:after="60"/>
              <w:rPr>
                <w:rStyle w:val="Style8"/>
                <w:rFonts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Дополнительный этап закупки – Переторжка (подача дополнительных ценовых предложений):</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szCs w:val="26"/>
              </w:rPr>
            </w:pPr>
            <w:r>
              <w:rPr>
                <w:rFonts w:eastAsia="Calibri" w:cs=""/>
                <w:kern w:val="0"/>
                <w:sz w:val="26"/>
                <w:szCs w:val="26"/>
                <w:lang w:val="ru-RU" w:eastAsia="en-US" w:bidi="ar-SA"/>
              </w:rPr>
              <w:t>Не предусмотрен.</w:t>
            </w:r>
          </w:p>
          <w:p>
            <w:pPr>
              <w:pStyle w:val="Style31"/>
              <w:widowControl w:val="false"/>
              <w:suppressAutoHyphens w:val="true"/>
              <w:spacing w:before="60" w:after="60"/>
              <w:rPr>
                <w:szCs w:val="26"/>
              </w:rPr>
            </w:pPr>
            <w:r>
              <w:rPr>
                <w:szCs w:val="26"/>
              </w:rPr>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0" w:name="_Ref125362757"/>
            <w:bookmarkStart w:id="51" w:name="_Ref125362757"/>
            <w:bookmarkEnd w:id="51"/>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«25» августа 2026 г.</w:t>
            </w:r>
          </w:p>
          <w:p>
            <w:pPr>
              <w:pStyle w:val="Style28"/>
              <w:widowControl w:val="false"/>
              <w:suppressAutoHyphens w:val="true"/>
              <w:spacing w:before="60" w:after="60"/>
              <w:rPr>
                <w:rStyle w:val="Style8"/>
              </w:rPr>
            </w:pPr>
            <w:r>
              <w:rPr/>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2" w:name="_Ref125366047"/>
            <w:bookmarkStart w:id="53" w:name="_Ref125366047"/>
            <w:bookmarkEnd w:id="53"/>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предоставляется.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4" w:name="_Ref125361769"/>
            <w:bookmarkStart w:id="55" w:name="_Ref125361769"/>
            <w:bookmarkEnd w:id="55"/>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 итогов закупки:</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6" w:name="_Ref125366606"/>
            <w:bookmarkStart w:id="57" w:name="_Ref125366606"/>
            <w:bookmarkEnd w:id="57"/>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8" w:name="_Ref125366813"/>
            <w:bookmarkStart w:id="59" w:name="_Ref125366813"/>
            <w:bookmarkEnd w:id="59"/>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813" w:type="dxa"/>
            <w:tcBorders>
              <w:top w:val="nil"/>
              <w:left w:val="single" w:sz="6" w:space="0" w:color="7F7F7F"/>
              <w:bottom w:val="single" w:sz="6" w:space="0" w:color="7F7F7F"/>
              <w:right w:val="single" w:sz="6" w:space="0" w:color="7F7F7F"/>
            </w:tcBorders>
          </w:tcPr>
          <w:p>
            <w:pPr>
              <w:pStyle w:val="Style28"/>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Контактное лицо (Ф.И.О.):</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Ярый Виталий Сергеевич</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Телефон: (4162)  397- 325 </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Почтовый адрес:</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675004, Амурская область, г. Благовещенск, ул. Шевченко, 32 </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Для подачи документов в электронной форме:</w:t>
            </w:r>
          </w:p>
          <w:p>
            <w:pPr>
              <w:pStyle w:val="Style28"/>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Корпоративный сайт ПАО</w:t>
            </w:r>
            <w:r>
              <w:rPr>
                <w:rFonts w:eastAsia="Calibri" w:cs=""/>
                <w:kern w:val="0"/>
                <w:sz w:val="26"/>
                <w:szCs w:val="22"/>
                <w:lang w:val="en-US" w:eastAsia="en-US" w:bidi="ar-SA"/>
              </w:rPr>
              <w:t> </w:t>
            </w:r>
            <w:r>
              <w:rPr>
                <w:rFonts w:eastAsia="Calibri" w:cs=""/>
                <w:kern w:val="0"/>
                <w:sz w:val="26"/>
                <w:szCs w:val="22"/>
                <w:lang w:val="ru-RU" w:eastAsia="en-US" w:bidi="ar-SA"/>
              </w:rPr>
              <w:t>«РусГидро», через специально созданную учетную запись (подробный порядок содержится в разделе</w:t>
            </w:r>
            <w:r>
              <w:rPr>
                <w:rFonts w:eastAsia="Calibri" w:cs=""/>
                <w:kern w:val="0"/>
                <w:sz w:val="26"/>
                <w:szCs w:val="22"/>
                <w:lang w:val="en-US" w:eastAsia="en-US" w:bidi="ar-SA"/>
              </w:rPr>
              <w:t> </w:t>
            </w:r>
            <w:r>
              <w:rPr>
                <w:rFonts w:eastAsia="Calibri" w:cs=""/>
                <w:kern w:val="0"/>
                <w:sz w:val="26"/>
                <w:szCs w:val="22"/>
                <w:lang w:val="en-US" w:eastAsia="en-US" w:bidi="ar-SA"/>
              </w:rPr>
              <w:fldChar w:fldCharType="begin"/>
            </w:r>
            <w:r>
              <w:rPr>
                <w:sz w:val="26"/>
                <w:kern w:val="0"/>
                <w:szCs w:val="22"/>
                <w:rFonts w:eastAsia="Calibri" w:cs=""/>
                <w:lang w:val="en-US" w:eastAsia="en-US" w:bidi="ar-SA"/>
              </w:rPr>
              <w:instrText xml:space="preserve"> REF _Ref126142429 \r \h </w:instrText>
            </w:r>
            <w:r>
              <w:rPr>
                <w:sz w:val="26"/>
                <w:kern w:val="0"/>
                <w:szCs w:val="22"/>
                <w:rFonts w:eastAsia="Calibri" w:cs=""/>
                <w:lang w:val="en-US" w:eastAsia="en-US" w:bidi="ar-SA"/>
              </w:rPr>
              <w:fldChar w:fldCharType="separate"/>
            </w:r>
            <w:r>
              <w:rPr>
                <w:sz w:val="26"/>
                <w:kern w:val="0"/>
                <w:szCs w:val="22"/>
                <w:rFonts w:eastAsia="Calibri" w:cs=""/>
                <w:lang w:val="en-US" w:eastAsia="en-US" w:bidi="ar-SA"/>
              </w:rPr>
              <w:t>5</w:t>
            </w:r>
            <w:r>
              <w:rPr>
                <w:sz w:val="26"/>
                <w:kern w:val="0"/>
                <w:szCs w:val="22"/>
                <w:rFonts w:eastAsia="Calibri" w:cs=""/>
                <w:lang w:val="en-US" w:eastAsia="en-US" w:bidi="ar-SA"/>
              </w:rPr>
              <w:fldChar w:fldCharType="end"/>
            </w:r>
            <w:r>
              <w:rPr>
                <w:rFonts w:eastAsia="Calibri" w:cs=""/>
                <w:kern w:val="0"/>
                <w:sz w:val="26"/>
                <w:szCs w:val="22"/>
                <w:lang w:val="ru-RU" w:eastAsia="en-US" w:bidi="ar-SA"/>
              </w:rPr>
              <w:t>).</w:t>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0" w:name="_Ref125368490"/>
            <w:bookmarkStart w:id="61" w:name="_Ref125368490"/>
            <w:bookmarkEnd w:id="61"/>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Отсутствуют.</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op w:val="nil"/>
              <w:left w:val="single" w:sz="6" w:space="0" w:color="7F7F7F"/>
              <w:bottom w:val="single" w:sz="6" w:space="0" w:color="7F7F7F"/>
              <w:right w:val="nil"/>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3" w:type="dxa"/>
            <w:tcBorders>
              <w:top w:val="nil"/>
              <w:left w:val="single" w:sz="6" w:space="0" w:color="7F7F7F"/>
              <w:bottom w:val="single" w:sz="6" w:space="0" w:color="7F7F7F"/>
              <w:right w:val="nil"/>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813"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Требуется.</w:t>
            </w:r>
          </w:p>
          <w:p>
            <w:pPr>
              <w:pStyle w:val="Style28"/>
              <w:widowControl w:val="false"/>
              <w:suppressAutoHyphens w:val="true"/>
              <w:spacing w:before="60" w:after="60"/>
              <w:rPr>
                <w:szCs w:val="26"/>
              </w:rPr>
            </w:pPr>
            <w:r>
              <w:rPr>
                <w:rFonts w:eastAsia="Calibri" w:cs=""/>
                <w:kern w:val="0"/>
                <w:sz w:val="26"/>
                <w:szCs w:val="22"/>
                <w:lang w:val="ru-RU" w:eastAsia="en-US" w:bidi="ar-SA"/>
              </w:rPr>
              <w:t xml:space="preserve">Обязательства по договору, которые должны быть </w:t>
            </w:r>
            <w:r>
              <w:rPr>
                <w:rFonts w:eastAsia="Calibri" w:cs=""/>
                <w:kern w:val="0"/>
                <w:sz w:val="26"/>
                <w:szCs w:val="26"/>
                <w:lang w:val="ru-RU" w:eastAsia="en-US" w:bidi="ar-SA"/>
              </w:rPr>
              <w:t>обеспечены:</w:t>
            </w:r>
          </w:p>
          <w:p>
            <w:pPr>
              <w:pStyle w:val="Style28"/>
              <w:keepNext w:val="true"/>
              <w:widowControl w:val="false"/>
              <w:numPr>
                <w:ilvl w:val="0"/>
                <w:numId w:val="10"/>
              </w:numPr>
              <w:suppressAutoHyphens w:val="true"/>
              <w:spacing w:before="60" w:after="60"/>
              <w:ind w:left="284" w:hanging="284"/>
              <w:rPr>
                <w:szCs w:val="26"/>
              </w:rPr>
            </w:pPr>
            <w:bookmarkStart w:id="62" w:name="_Ref131405087"/>
            <w:r>
              <w:rPr>
                <w:rFonts w:eastAsia="Calibri" w:cs=""/>
                <w:kern w:val="0"/>
                <w:sz w:val="26"/>
                <w:szCs w:val="26"/>
                <w:lang w:val="ru-RU" w:eastAsia="en-US" w:bidi="ar-SA"/>
              </w:rPr>
              <w:t>надлежащее исполнение обязательств по договору:</w:t>
            </w:r>
            <w:bookmarkEnd w:id="62"/>
          </w:p>
          <w:p>
            <w:pPr>
              <w:pStyle w:val="Style28"/>
              <w:widowControl w:val="false"/>
              <w:numPr>
                <w:ilvl w:val="0"/>
                <w:numId w:val="2"/>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размер обеспечения: Независимая гарантия в размере 5 (Пять) процентов от Цены Договора;</w:t>
            </w:r>
          </w:p>
          <w:p>
            <w:pPr>
              <w:pStyle w:val="Style28"/>
              <w:widowControl w:val="false"/>
              <w:numPr>
                <w:ilvl w:val="0"/>
                <w:numId w:val="2"/>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валюта обеспечения:  </w:t>
            </w:r>
            <w:r>
              <w:rPr>
                <w:rFonts w:eastAsia="Calibri" w:cs="" w:cstheme="minorBidi" w:eastAsiaTheme="minorHAnsi"/>
                <w:color w:val="auto"/>
                <w:kern w:val="0"/>
                <w:sz w:val="26"/>
                <w:szCs w:val="22"/>
                <w:lang w:val="ru-RU" w:eastAsia="en-US" w:bidi="ar-SA"/>
              </w:rPr>
              <w:t>Российский рубль.</w:t>
            </w:r>
          </w:p>
          <w:p>
            <w:pPr>
              <w:pStyle w:val="Style28"/>
              <w:widowControl w:val="false"/>
              <w:suppressAutoHyphens w:val="true"/>
              <w:spacing w:before="60" w:after="60"/>
              <w:rPr/>
            </w:pPr>
            <w:r>
              <w:rPr>
                <w:rFonts w:eastAsia="Calibri" w:cs=""/>
                <w:kern w:val="0"/>
                <w:sz w:val="26"/>
                <w:szCs w:val="22"/>
                <w:lang w:val="ru-RU" w:eastAsia="en-US" w:bidi="ar-SA"/>
              </w:rPr>
              <w:t xml:space="preserve">Иные требования к обеспечению исполнения Договора приведены в </w:t>
            </w:r>
            <w:hyperlink w:anchor="Прил02_ПроектДоговора">
              <w:r>
                <w:rPr>
                  <w:rStyle w:val="Style11"/>
                  <w:rFonts w:eastAsia="Calibri" w:cs=""/>
                  <w:kern w:val="0"/>
                  <w:sz w:val="26"/>
                  <w:szCs w:val="22"/>
                  <w:lang w:val="ru-RU" w:eastAsia="en-US" w:bidi="ar-SA"/>
                </w:rPr>
                <w:t>Приложении № 2</w:t>
              </w:r>
            </w:hyperlink>
            <w:r>
              <w:rPr>
                <w:rFonts w:eastAsia="Calibri" w:cs=""/>
                <w:kern w:val="0"/>
                <w:sz w:val="26"/>
                <w:szCs w:val="22"/>
                <w:lang w:val="ru-RU" w:eastAsia="en-US" w:bidi="ar-SA"/>
              </w:rPr>
              <w:t>.</w:t>
            </w:r>
          </w:p>
        </w:tc>
      </w:tr>
    </w:tbl>
    <w:p>
      <w:pPr>
        <w:pStyle w:val="Style22"/>
        <w:rPr/>
      </w:pPr>
      <w:bookmarkStart w:id="63" w:name="_Toc228876838"/>
      <w:bookmarkStart w:id="64" w:name="_Ref125360337"/>
      <w:bookmarkStart w:id="65" w:name="_Ref125360073"/>
      <w:r>
        <w:rPr/>
        <w:t>Общие положения</w:t>
      </w:r>
      <w:bookmarkEnd w:id="63"/>
      <w:bookmarkEnd w:id="64"/>
      <w:bookmarkEnd w:id="65"/>
    </w:p>
    <w:p>
      <w:pPr>
        <w:pStyle w:val="Style23"/>
        <w:rPr/>
      </w:pPr>
      <w:bookmarkStart w:id="66" w:name="_Toc228876839"/>
      <w:r>
        <w:rPr/>
        <w:t>Общие сведения о закупке</w:t>
      </w:r>
      <w:bookmarkEnd w:id="66"/>
    </w:p>
    <w:p>
      <w:pPr>
        <w:pStyle w:val="Style24"/>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4"/>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4"/>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1"/>
          </w:rPr>
          <w:t>Технических требованиях (Приложение № 1)</w:t>
        </w:r>
      </w:hyperlink>
      <w:r>
        <w:rPr/>
        <w:t xml:space="preserve">. </w:t>
      </w:r>
      <w:hyperlink w:anchor="Прил02_ПроектДоговора">
        <w:r>
          <w:rPr>
            <w:rStyle w:val="Style11"/>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1"/>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Style11"/>
          </w:rPr>
          <w:t>Приложение № 4</w:t>
        </w:r>
      </w:hyperlink>
      <w:r>
        <w:rPr/>
        <w:t>)).</w:t>
      </w:r>
    </w:p>
    <w:p>
      <w:pPr>
        <w:pStyle w:val="Style24"/>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1"/>
          </w:rPr>
          <w:t>№ 4</w:t>
        </w:r>
      </w:hyperlink>
      <w:r>
        <w:rPr/>
        <w:t xml:space="preserve">, </w:t>
      </w:r>
      <w:hyperlink w:anchor="Прил05_ФормыПобедителя">
        <w:r>
          <w:rPr>
            <w:rStyle w:val="Style11"/>
          </w:rPr>
          <w:t>№ 5</w:t>
        </w:r>
      </w:hyperlink>
      <w:r>
        <w:rPr/>
        <w:t>.</w:t>
      </w:r>
    </w:p>
    <w:p>
      <w:pPr>
        <w:pStyle w:val="Style23"/>
        <w:rPr/>
      </w:pPr>
      <w:bookmarkStart w:id="67" w:name="_Toc228876840"/>
      <w:r>
        <w:rPr/>
        <w:t>Правовой статус документов</w:t>
      </w:r>
      <w:bookmarkEnd w:id="67"/>
    </w:p>
    <w:p>
      <w:pPr>
        <w:pStyle w:val="Style24"/>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24"/>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4"/>
        <w:keepNext w:val="true"/>
        <w:rPr/>
      </w:pPr>
      <w:bookmarkStart w:id="68"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68"/>
      <w:r>
        <w:rPr/>
        <w:t>.</w:t>
      </w:r>
    </w:p>
    <w:p>
      <w:pPr>
        <w:pStyle w:val="Style24"/>
        <w:rPr/>
      </w:pPr>
      <w:r>
        <w:rPr/>
        <w:t>Заключенный по результатам закупки Договор, в том числе, фиксирует все достигнутые сторонами договоренности.</w:t>
      </w:r>
    </w:p>
    <w:p>
      <w:pPr>
        <w:pStyle w:val="Style24"/>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24"/>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4"/>
        <w:rPr/>
      </w:pPr>
      <w:r>
        <w:rPr/>
        <w:t>Иные документы Организатора и Участников не определяют права и обязанности сторон в связи с данной закупкой.</w:t>
      </w:r>
    </w:p>
    <w:p>
      <w:pPr>
        <w:pStyle w:val="Style24"/>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3"/>
        <w:rPr/>
      </w:pPr>
      <w:bookmarkStart w:id="69" w:name="_Toc228876841"/>
      <w:bookmarkStart w:id="70" w:name="_Ref125363536"/>
      <w:r>
        <w:rPr/>
        <w:t>Обжалование</w:t>
      </w:r>
      <w:bookmarkEnd w:id="69"/>
      <w:bookmarkEnd w:id="70"/>
    </w:p>
    <w:p>
      <w:pPr>
        <w:pStyle w:val="Style24"/>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4"/>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4"/>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5"/>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5"/>
        <w:rPr/>
      </w:pPr>
      <w:r>
        <w:rPr/>
        <w:t>признать заявление Участника необоснованным.</w:t>
      </w:r>
    </w:p>
    <w:p>
      <w:pPr>
        <w:pStyle w:val="Style24"/>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4"/>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5"/>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5"/>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71" w:name="_Hlk219301278"/>
      <w:bookmarkStart w:id="72" w:name="_Hlk219296876"/>
      <w:r>
        <w:rPr/>
        <w:t>Красноярского края</w:t>
      </w:r>
      <w:bookmarkEnd w:id="71"/>
      <w:bookmarkEnd w:id="72"/>
      <w:r>
        <w:rPr/>
        <w:t>.</w:t>
      </w:r>
    </w:p>
    <w:p>
      <w:pPr>
        <w:pStyle w:val="Style28"/>
        <w:ind w:left="1134" w:hanging="0"/>
        <w:rPr/>
      </w:pPr>
      <w:r>
        <w:rPr/>
        <w:t>Закупочная комиссия определяется в соответствии с Положением о закупке.</w:t>
      </w:r>
    </w:p>
    <w:p>
      <w:pPr>
        <w:pStyle w:val="Style23"/>
        <w:rPr/>
      </w:pPr>
      <w:bookmarkStart w:id="73" w:name="_Toc228876842"/>
      <w:r>
        <w:rPr/>
        <w:t>Особые положения при проведении закупки с использованием ЭП</w:t>
      </w:r>
      <w:bookmarkEnd w:id="73"/>
    </w:p>
    <w:p>
      <w:pPr>
        <w:pStyle w:val="Style24"/>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4"/>
        <w:rPr/>
      </w:pPr>
      <w:r>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24"/>
        <w:rPr/>
      </w:pPr>
      <w:r>
        <w:rPr/>
        <w:t>Правила проведения закупки в том числе определяются Регламентом ЭП.</w:t>
      </w:r>
    </w:p>
    <w:p>
      <w:pPr>
        <w:pStyle w:val="Style24"/>
        <w:rPr/>
      </w:pPr>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24"/>
        <w:rPr/>
      </w:pPr>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23"/>
        <w:rPr/>
      </w:pPr>
      <w:bookmarkStart w:id="74" w:name="_Toc228876843"/>
      <w:r>
        <w:rPr/>
        <w:t>Прочие положения</w:t>
      </w:r>
      <w:bookmarkEnd w:id="74"/>
    </w:p>
    <w:p>
      <w:pPr>
        <w:pStyle w:val="Style24"/>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4"/>
        <w:rPr/>
      </w:pPr>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24"/>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2"/>
        <w:rPr/>
      </w:pPr>
      <w:bookmarkStart w:id="75" w:name="_Toc228876844"/>
      <w:bookmarkStart w:id="76" w:name="_Ref125361210"/>
      <w:r>
        <w:rPr/>
        <w:t>Требования к Участникам</w:t>
      </w:r>
      <w:bookmarkEnd w:id="75"/>
      <w:bookmarkEnd w:id="76"/>
    </w:p>
    <w:p>
      <w:pPr>
        <w:pStyle w:val="Style23"/>
        <w:rPr/>
      </w:pPr>
      <w:bookmarkStart w:id="77" w:name="_Toc228876845"/>
      <w:bookmarkStart w:id="78" w:name="_Ref127524530"/>
      <w:r>
        <w:rPr/>
        <w:t>Общие требования к Участникам</w:t>
      </w:r>
      <w:bookmarkEnd w:id="77"/>
      <w:bookmarkEnd w:id="78"/>
    </w:p>
    <w:p>
      <w:pPr>
        <w:pStyle w:val="Style24"/>
        <w:rPr/>
      </w:pPr>
      <w:bookmarkStart w:id="79"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w:t>
      </w:r>
      <w:bookmarkEnd w:id="79"/>
    </w:p>
    <w:p>
      <w:pPr>
        <w:pStyle w:val="Style24"/>
        <w:rPr/>
      </w:pPr>
      <w:r>
        <w:rPr/>
        <w:t>Однако, чтобы претендовать на победу в закупке Участник в целом должен отвечать требованиям, установленным в Документации о закупке.</w:t>
      </w:r>
    </w:p>
    <w:p>
      <w:pPr>
        <w:pStyle w:val="Style24"/>
        <w:rPr/>
      </w:pPr>
      <w:r>
        <w:rPr/>
        <w:t xml:space="preserve">Требования к Участникам установлены с учетом предмета договора, </w:t>
      </w:r>
      <w:hyperlink w:anchor="Прил01_ТехТребования">
        <w:r>
          <w:rPr>
            <w:rStyle w:val="Style11"/>
          </w:rPr>
          <w:t>Технических требований (Приложение № 1)</w:t>
        </w:r>
      </w:hyperlink>
      <w:r>
        <w:rPr/>
        <w:t xml:space="preserve"> и </w:t>
      </w:r>
      <w:hyperlink w:anchor="Прил02_ПроектДоговора">
        <w:r>
          <w:rPr>
            <w:rStyle w:val="Style11"/>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Style11"/>
          </w:rPr>
          <w:t>Приложение № 4</w:t>
        </w:r>
      </w:hyperlink>
      <w:r>
        <w:rPr/>
        <w:t>)).</w:t>
      </w:r>
    </w:p>
    <w:p>
      <w:pPr>
        <w:pStyle w:val="Style24"/>
        <w:keepNext w:val="true"/>
        <w:rPr/>
      </w:pPr>
      <w:r>
        <w:rPr/>
        <w:t>Установлены следующие требования к Участникам, которые приведены в </w:t>
      </w:r>
      <w:hyperlink w:anchor="Прил03_ТребованияУчастникам">
        <w:r>
          <w:rPr>
            <w:rStyle w:val="Style11"/>
          </w:rPr>
          <w:t>Приложении № 3</w:t>
        </w:r>
      </w:hyperlink>
      <w:r>
        <w:rPr/>
        <w:t>:</w:t>
      </w:r>
    </w:p>
    <w:p>
      <w:pPr>
        <w:pStyle w:val="Style25"/>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5"/>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4"/>
        <w:keepNext w:val="true"/>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24"/>
        <w:rPr/>
      </w:pPr>
      <w:bookmarkStart w:id="80" w:name="_Ref125361976"/>
      <w:bookmarkStart w:id="81" w:name="_Ref125361969"/>
      <w:bookmarkEnd w:id="80"/>
      <w:bookmarkEnd w:id="81"/>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1"/>
          </w:rPr>
          <w:t>Требованиях к Участникам (Приложение № 3)</w:t>
        </w:r>
      </w:hyperlink>
      <w:r>
        <w:rPr/>
        <w:t xml:space="preserve">, </w:t>
      </w:r>
      <w:bookmarkStart w:id="82" w:name="_Hlk132706049"/>
      <w:r>
        <w:rPr/>
        <w:t>если иное не установлено в Документации о закупке</w:t>
      </w:r>
      <w:bookmarkEnd w:id="82"/>
      <w:r>
        <w:rPr/>
        <w:t>.</w:t>
      </w:r>
    </w:p>
    <w:p>
      <w:pPr>
        <w:pStyle w:val="Style23"/>
        <w:rPr/>
      </w:pPr>
      <w:bookmarkStart w:id="83" w:name="_Toc228876846"/>
      <w:bookmarkStart w:id="84" w:name="_Ref125361702"/>
      <w:bookmarkStart w:id="85" w:name="_Ref125361976_Копия_1"/>
      <w:bookmarkStart w:id="86" w:name="_Ref125361969_Копия_1"/>
      <w:bookmarkEnd w:id="85"/>
      <w:bookmarkEnd w:id="86"/>
      <w:r>
        <w:rPr/>
        <w:t>Генеральные подрядчики</w:t>
      </w:r>
      <w:bookmarkEnd w:id="83"/>
      <w:bookmarkEnd w:id="84"/>
    </w:p>
    <w:p>
      <w:pPr>
        <w:pStyle w:val="Style24"/>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предусмотрены рассмотрение и оценка заявок Участников с учетом привлекаемых субподрядчиков.</w:t>
      </w:r>
    </w:p>
    <w:p>
      <w:pPr>
        <w:pStyle w:val="Style24"/>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w:t>
      </w:r>
    </w:p>
    <w:p>
      <w:pPr>
        <w:pStyle w:val="Style24"/>
        <w:keepNext w:val="true"/>
        <w:rPr/>
      </w:pPr>
      <w:r>
        <w:rPr/>
        <w:t>Генеральный подрядчик:</w:t>
      </w:r>
    </w:p>
    <w:p>
      <w:pPr>
        <w:pStyle w:val="Style25"/>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5"/>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5"/>
        <w:rPr/>
      </w:pPr>
      <w:r>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4"/>
        <w:keepNext w:val="true"/>
        <w:rPr/>
      </w:pPr>
      <w:r>
        <w:rPr/>
        <w:t>Каждый субподрядчик из привлекаемых Генеральным подрядчиком должен отвечать:</w:t>
      </w:r>
    </w:p>
    <w:p>
      <w:pPr>
        <w:pStyle w:val="Style25"/>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5"/>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8"/>
        <w:ind w:left="1134" w:hanging="0"/>
        <w:rPr/>
      </w:pPr>
      <w:bookmarkStart w:id="87" w:name="_Ref125368863"/>
      <w:r>
        <w:rPr/>
        <w:t xml:space="preserve">При этом соответствовать специальным требованиям субподрядчик должен только в части объема поставки продукции, который ему </w:t>
      </w:r>
      <w:bookmarkEnd w:id="87"/>
      <w:r>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4"/>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1"/>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4"/>
        <w:rPr/>
      </w:pPr>
      <w:bookmarkStart w:id="88"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w:t>
      </w:r>
      <w:bookmarkEnd w:id="88"/>
    </w:p>
    <w:p>
      <w:pPr>
        <w:sectPr>
          <w:headerReference w:type="default" r:id="rId6"/>
          <w:footerReference w:type="default" r:id="rId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4"/>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2"/>
        <w:rPr/>
      </w:pPr>
      <w:bookmarkStart w:id="89" w:name="_Toc228876847"/>
      <w:bookmarkStart w:id="90" w:name="_Ref125367974"/>
      <w:bookmarkStart w:id="91" w:name="_Ref125367107"/>
      <w:bookmarkStart w:id="92" w:name="_Ref125367098"/>
      <w:bookmarkStart w:id="93" w:name="_Ref125361211"/>
      <w:r>
        <w:rPr/>
        <w:t>Порядок проведения закупки</w:t>
      </w:r>
      <w:bookmarkEnd w:id="89"/>
      <w:bookmarkEnd w:id="90"/>
      <w:bookmarkEnd w:id="91"/>
      <w:bookmarkEnd w:id="92"/>
      <w:bookmarkEnd w:id="93"/>
    </w:p>
    <w:p>
      <w:pPr>
        <w:pStyle w:val="Style23"/>
        <w:rPr/>
      </w:pPr>
      <w:bookmarkStart w:id="94" w:name="_Toc228876848"/>
      <w:bookmarkStart w:id="95" w:name="_Ref126141932"/>
      <w:r>
        <w:rPr/>
        <w:t>Общий порядок проведения закупки</w:t>
      </w:r>
      <w:bookmarkEnd w:id="94"/>
      <w:bookmarkEnd w:id="95"/>
    </w:p>
    <w:p>
      <w:pPr>
        <w:pStyle w:val="Style24"/>
        <w:keepNext w:val="true"/>
        <w:spacing w:before="120" w:after="120"/>
        <w:rPr/>
      </w:pPr>
      <w:r>
        <w:rPr/>
        <w:t>Закупка проводится в следующем порядке:</w:t>
      </w:r>
    </w:p>
    <w:tbl>
      <w:tblPr>
        <w:tblStyle w:val="af9"/>
        <w:tblW w:w="14007" w:type="dxa"/>
        <w:jc w:val="left"/>
        <w:tblInd w:w="1129" w:type="dxa"/>
        <w:tblLayout w:type="fixed"/>
        <w:tblCellMar>
          <w:top w:w="0" w:type="dxa"/>
          <w:left w:w="0" w:type="dxa"/>
          <w:bottom w:w="0" w:type="dxa"/>
          <w:right w:w="5" w:type="dxa"/>
        </w:tblCellMar>
        <w:tblLook w:val="04a0" w:noVBand="1" w:noHBand="0" w:lastColumn="0" w:firstColumn="1" w:lastRow="0" w:firstRow="1"/>
      </w:tblPr>
      <w:tblGrid>
        <w:gridCol w:w="372"/>
        <w:gridCol w:w="2042"/>
        <w:gridCol w:w="1177"/>
        <w:gridCol w:w="3217"/>
        <w:gridCol w:w="2694"/>
        <w:gridCol w:w="2269"/>
        <w:gridCol w:w="2235"/>
      </w:tblGrid>
      <w:tr>
        <w:trPr>
          <w:cnfStyle w:val="100000000000" w:firstRow="1" w:lastRow="0" w:firstColumn="0" w:lastColumn="0" w:oddVBand="0" w:evenVBand="0" w:oddHBand="0" w:evenHBand="0" w:firstRowFirstColumn="0" w:firstRowLastColumn="0" w:lastRowFirstColumn="0" w:lastRowLastColumn="0"/>
        </w:trPr>
        <w:tc>
          <w:tcPr>
            <w:tcW w:w="372" w:type="dxa"/>
            <w:tcBorders>
              <w:left w:val="nil"/>
            </w:tcBorders>
            <w:vAlign w:val="bottom"/>
          </w:tcPr>
          <w:p>
            <w:pPr>
              <w:pStyle w:val="Style28"/>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634" w:type="dxa"/>
            <w:gridSpan w:val="6"/>
            <w:tcBorders>
              <w:right w:val="nil"/>
            </w:tcBorders>
          </w:tcPr>
          <w:p>
            <w:pPr>
              <w:pStyle w:val="Style28"/>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_Ref130394205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9" w:type="dxa"/>
            <w:vMerge w:val="restart"/>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right w:val="nil"/>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_Ref132816134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4.20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99" w:type="dxa"/>
            <w:gridSpan w:val="5"/>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первым частям заявок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_Ref132816188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5" w:type="dxa"/>
            <w:tcBorders>
              <w:bottom w:val="nil"/>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top w:val="nil"/>
              <w:left w:val="nil"/>
              <w:bottom w:val="nil"/>
            </w:tcBorders>
            <w:vAlign w:val="bottom"/>
          </w:tcPr>
          <w:p>
            <w:pPr>
              <w:pStyle w:val="Style28"/>
              <w:widowControl w:val="false"/>
              <w:suppressAutoHyphens w:val="true"/>
              <w:spacing w:before="40" w:after="40"/>
              <w:jc w:val="center"/>
              <w:rPr>
                <w:bCs/>
                <w:sz w:val="24"/>
                <w:szCs w:val="24"/>
              </w:rPr>
            </w:pPr>
            <w:r>
              <w:rPr>
                <w:bCs/>
                <w:sz w:val="24"/>
                <w:szCs w:val="24"/>
              </w:rPr>
            </w:r>
          </w:p>
        </w:tc>
        <w:tc>
          <w:tcPr>
            <w:tcW w:w="9130" w:type="dxa"/>
            <w:gridSpan w:val="4"/>
            <w:tcBorders>
              <w:top w:val="dashed" w:sz="4" w:space="0" w:color="7F7F7F"/>
              <w:bottom w:val="dashed" w:sz="4" w:space="0" w:color="7F7F7F"/>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окончательных предложений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_Ref132722566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tcBorders>
              <w:top w:val="nil"/>
              <w:bottom w:val="nil"/>
            </w:tcBorders>
          </w:tcPr>
          <w:p>
            <w:pPr>
              <w:pStyle w:val="Style28"/>
              <w:widowControl w:val="false"/>
              <w:suppressAutoHyphens w:val="true"/>
              <w:spacing w:before="40" w:after="40"/>
              <w:jc w:val="center"/>
              <w:rPr>
                <w:bCs/>
                <w:sz w:val="24"/>
                <w:szCs w:val="24"/>
              </w:rPr>
            </w:pPr>
            <w:r>
              <w:rPr>
                <w:bCs/>
                <w:sz w:val="24"/>
                <w:szCs w:val="24"/>
              </w:rPr>
            </w:r>
          </w:p>
        </w:tc>
        <w:tc>
          <w:tcPr>
            <w:tcW w:w="2235" w:type="dxa"/>
            <w:tcBorders>
              <w:top w:val="nil"/>
              <w:bottom w:val="nil"/>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top w:val="nil"/>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4"/>
            <w:tcBorders>
              <w:top w:val="dashed" w:sz="4" w:space="0" w:color="7F7F7F"/>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окончательным предложениям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_Ref132816209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p>
        </w:tc>
        <w:tc>
          <w:tcPr>
            <w:tcW w:w="2269" w:type="dxa"/>
            <w:tcBorders>
              <w:top w:val="nil"/>
              <w:bottom w:val="nil"/>
            </w:tcBorders>
          </w:tcPr>
          <w:p>
            <w:pPr>
              <w:pStyle w:val="Style28"/>
              <w:widowControl w:val="false"/>
              <w:suppressAutoHyphens w:val="true"/>
              <w:spacing w:before="40" w:after="40"/>
              <w:jc w:val="center"/>
              <w:rPr>
                <w:bCs/>
                <w:sz w:val="24"/>
                <w:szCs w:val="24"/>
              </w:rPr>
            </w:pPr>
            <w:r>
              <w:rPr>
                <w:bCs/>
                <w:sz w:val="24"/>
                <w:szCs w:val="24"/>
              </w:rPr>
            </w:r>
          </w:p>
        </w:tc>
        <w:tc>
          <w:tcPr>
            <w:tcW w:w="2235" w:type="dxa"/>
            <w:tcBorders>
              <w:top w:val="nil"/>
              <w:bottom w:val="nil"/>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первых частей заявок / окончательных предложений (отборочная стадия)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28"/>
              <w:widowControl w:val="false"/>
              <w:suppressAutoHyphens w:val="true"/>
              <w:spacing w:before="40" w:after="40"/>
              <w:jc w:val="center"/>
              <w:rPr>
                <w:bCs/>
                <w:sz w:val="24"/>
                <w:szCs w:val="24"/>
              </w:rPr>
            </w:pPr>
            <w:r>
              <w:rPr>
                <w:bCs/>
                <w:sz w:val="24"/>
                <w:szCs w:val="24"/>
              </w:rPr>
            </w:r>
          </w:p>
        </w:tc>
        <w:tc>
          <w:tcPr>
            <w:tcW w:w="2694" w:type="dxa"/>
            <w:vMerge w:val="restart"/>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restart"/>
            <w:tcBorders>
              <w:top w:val="nil"/>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top w:val="nil"/>
              <w:right w:val="nil"/>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_Ref132816141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4.20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ко вторым частям заявок</w:t>
              <w:br/>
              <w:t>и ценовым предложениям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_Ref132801184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19" w:type="dxa"/>
            <w:gridSpan w:val="2"/>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вторых частей заявок (отборочная стадия), в том числе (при необходимости) проведение аккредитации,</w:t>
              <w:br/>
              <w:t>и ценовых предложений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_Ref132797154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w:t>
            </w:r>
            <w:r>
              <w:rPr>
                <w:rFonts w:eastAsia="Calibri" w:cs=""/>
                <w:bCs/>
                <w:kern w:val="0"/>
                <w:sz w:val="24"/>
                <w:szCs w:val="24"/>
                <w:u w:val="single"/>
                <w:lang w:val="ru-RU" w:eastAsia="en-US" w:bidi="ar-SA"/>
              </w:rPr>
              <w:t>предоставление национального режима / запрета, ограничения</w:t>
            </w:r>
            <w:r>
              <w:rPr>
                <w:rFonts w:eastAsia="Calibri" w:cs=""/>
                <w:bCs/>
                <w:kern w:val="0"/>
                <w:sz w:val="24"/>
                <w:szCs w:val="24"/>
                <w:lang w:val="ru-RU" w:eastAsia="en-US" w:bidi="ar-SA"/>
              </w:rPr>
              <w:t>)</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rHeight w:val="627" w:hRule="atLeast"/>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4"/>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u w:val="single"/>
                <w:lang w:val="ru-RU" w:eastAsia="en-US" w:bidi="ar-SA"/>
              </w:rPr>
              <w:sym w:font="Wingdings 3" w:char="f0d4"/>
            </w:r>
          </w:p>
        </w:tc>
        <w:tc>
          <w:tcPr>
            <w:tcW w:w="6436" w:type="dxa"/>
            <w:gridSpan w:val="3"/>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_Ref138341423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28"/>
              <w:widowControl w:val="false"/>
              <w:suppressAutoHyphens w:val="true"/>
              <w:spacing w:before="40" w:after="40"/>
              <w:jc w:val="center"/>
              <w:rPr>
                <w:bCs/>
                <w:sz w:val="24"/>
                <w:szCs w:val="24"/>
              </w:rPr>
            </w:pPr>
            <w:r>
              <w:rPr>
                <w:bCs/>
                <w:sz w:val="24"/>
                <w:szCs w:val="24"/>
              </w:rPr>
            </w:r>
          </w:p>
        </w:tc>
        <w:tc>
          <w:tcPr>
            <w:tcW w:w="7198" w:type="dxa"/>
            <w:gridSpan w:val="3"/>
            <w:tcBorders>
              <w:right w:val="nil"/>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 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3"/>
        <w:rPr/>
      </w:pPr>
      <w:bookmarkStart w:id="96" w:name="_Toc228876849"/>
      <w:bookmarkStart w:id="97" w:name="_Ref130286532"/>
      <w:r>
        <w:rPr/>
        <w:t>Официальное размещение Извещения и Документации о закупке</w:t>
      </w:r>
      <w:bookmarkEnd w:id="96"/>
      <w:bookmarkEnd w:id="97"/>
    </w:p>
    <w:p>
      <w:pPr>
        <w:pStyle w:val="Style24"/>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24"/>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24"/>
        <w:rPr/>
      </w:pPr>
      <w:bookmarkStart w:id="98"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98"/>
    </w:p>
    <w:p>
      <w:pPr>
        <w:pStyle w:val="Style24"/>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3"/>
        <w:rPr/>
      </w:pPr>
      <w:bookmarkStart w:id="99" w:name="_Toc228876851"/>
      <w:bookmarkStart w:id="100" w:name="_Ref130394681"/>
      <w:bookmarkStart w:id="101" w:name="_Ref130281199"/>
      <w:r>
        <w:rPr/>
        <w:t>Подготовка заявки</w:t>
      </w:r>
      <w:bookmarkEnd w:id="99"/>
      <w:bookmarkEnd w:id="100"/>
      <w:bookmarkEnd w:id="101"/>
    </w:p>
    <w:p>
      <w:pPr>
        <w:pStyle w:val="Style24"/>
        <w:rPr/>
      </w:pPr>
      <w:r>
        <w:rPr/>
        <w:t>Участник должен подготовить заявку с учетом требований Документации о закупке.</w:t>
      </w:r>
    </w:p>
    <w:p>
      <w:pPr>
        <w:pStyle w:val="Style24"/>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4"/>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1"/>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1"/>
          </w:rPr>
          <w:t>Приложение № 4</w:t>
        </w:r>
      </w:hyperlink>
      <w:r>
        <w:rPr/>
        <w:t>.</w:t>
      </w:r>
    </w:p>
    <w:p>
      <w:pPr>
        <w:pStyle w:val="Style24"/>
        <w:rPr/>
      </w:pPr>
      <w:r>
        <w:rPr/>
        <w:t xml:space="preserve">Непосредственно перед подачей заявки Участник должен разделить подготовленные документы на отдельные части: </w:t>
      </w:r>
      <w:bookmarkStart w:id="102" w:name="_Hlk132886098"/>
      <w:r>
        <w:rPr/>
        <w:t>первую часть, вторую часть и ценовое предложение</w:t>
      </w:r>
      <w:bookmarkEnd w:id="102"/>
      <w:r>
        <w:rPr/>
        <w:t xml:space="preserve"> в соответствии с перечнем документов, входящих в каждую из частей, определенному </w:t>
      </w:r>
      <w:hyperlink w:anchor="Прил06_СоставЗаявки">
        <w:r>
          <w:rPr>
            <w:rStyle w:val="Style11"/>
          </w:rPr>
          <w:t>Приложением № 6 – Состав заявки</w:t>
        </w:r>
      </w:hyperlink>
      <w:r>
        <w:rPr/>
        <w:t>.</w:t>
      </w:r>
    </w:p>
    <w:p>
      <w:pPr>
        <w:pStyle w:val="Style24"/>
        <w:rPr/>
      </w:pPr>
      <w:r>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по результатам проведения предзаявочного обсуждения или обсуждения заявок (в случае проведения), а также информация и документы, необходимые для осуществления оценки заявки в отношении предлагаемой к поставке продукции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4"/>
        <w:rPr/>
      </w:pPr>
      <w:r>
        <w:rPr/>
        <w:t xml:space="preserve">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информация и документы, необходимые для осуществления оценки заявки в отношении Участника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4"/>
        <w:rPr/>
      </w:pPr>
      <w:r>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24"/>
        <w:rPr/>
      </w:pPr>
      <w:r>
        <w:rPr/>
        <w:t>В случае обнаружения в первой части заявки сведений об Участнике и (или) его ценовом предложении, такая заявка подлежит отклонению.</w:t>
      </w:r>
    </w:p>
    <w:p>
      <w:pPr>
        <w:pStyle w:val="Style24"/>
        <w:rPr/>
      </w:pPr>
      <w:bookmarkStart w:id="103" w:name="_Ref125365866"/>
      <w:bookmarkStart w:id="104"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03"/>
      <w:bookmarkEnd w:id="104"/>
    </w:p>
    <w:p>
      <w:pPr>
        <w:pStyle w:val="Style24"/>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1"/>
          </w:rPr>
          <w:t>Приложение № 4</w:t>
        </w:r>
      </w:hyperlink>
      <w:r>
        <w:rPr/>
        <w:t>) может служить основанием для отклонения заявки.</w:t>
      </w:r>
    </w:p>
    <w:p>
      <w:pPr>
        <w:pStyle w:val="Style24"/>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4"/>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4"/>
        <w:rPr/>
      </w:pPr>
      <w:bookmarkStart w:id="105" w:name="_Ref125370708"/>
      <w:bookmarkStart w:id="106" w:name="_Ref125370700"/>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4"/>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1"/>
          </w:rPr>
          <w:t>Техническими требованиями (Приложение № 1)</w:t>
        </w:r>
      </w:hyperlink>
      <w:r>
        <w:rPr/>
        <w:t xml:space="preserve"> и </w:t>
      </w:r>
      <w:hyperlink w:anchor="Прил02_ПроектДоговора">
        <w:r>
          <w:rPr>
            <w:rStyle w:val="Style11"/>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05"/>
      <w:bookmarkEnd w:id="106"/>
    </w:p>
    <w:p>
      <w:pPr>
        <w:pStyle w:val="Style24"/>
        <w:rPr/>
      </w:pPr>
      <w:r>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r>
          <w:rPr>
            <w:rStyle w:val="Style11"/>
          </w:rPr>
          <w:t>Приложение № 4</w:t>
        </w:r>
      </w:hyperlink>
      <w:r>
        <w:rPr/>
        <w:t xml:space="preserve">) согласие (декларацию) на поставку продукции на условиях, указанных в Документации о закупке, в том числе в </w:t>
      </w:r>
      <w:hyperlink w:anchor="Прил01_ТехТребования">
        <w:r>
          <w:rPr>
            <w:rStyle w:val="Style11"/>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4"/>
        <w:keepNext w:val="true"/>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24"/>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5"/>
        <w:rPr/>
      </w:pPr>
      <w:r>
        <w:rPr/>
        <w:t>внутренние противоречия между различными частями и (или) документами заявки, в том числе по тексту внутри одного документа;</w:t>
      </w:r>
    </w:p>
    <w:p>
      <w:pPr>
        <w:pStyle w:val="Style25"/>
        <w:rPr/>
      </w:pPr>
      <w:bookmarkStart w:id="107" w:name="_Ref125714384"/>
      <w:bookmarkStart w:id="108" w:name="_Ref125370398"/>
      <w:r>
        <w:rPr/>
        <w:t>противоречия между документами заявки и сведениями, указанными Участником в структурированных формах на ЭП.</w:t>
      </w:r>
      <w:bookmarkEnd w:id="107"/>
      <w:bookmarkEnd w:id="108"/>
    </w:p>
    <w:p>
      <w:pPr>
        <w:pStyle w:val="Style24"/>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5"/>
        <w:rPr/>
      </w:pPr>
      <w:r>
        <w:rPr/>
        <w:t>полномочий таких органов / лиц на оформление этих документов;</w:t>
      </w:r>
    </w:p>
    <w:p>
      <w:pPr>
        <w:pStyle w:val="Style25"/>
        <w:rPr/>
      </w:pPr>
      <w:r>
        <w:rPr/>
        <w:t>формы, объема и содержания этих документов.</w:t>
      </w:r>
    </w:p>
    <w:p>
      <w:pPr>
        <w:pStyle w:val="Style24"/>
        <w:keepNext w:val="true"/>
        <w:rPr/>
      </w:pPr>
      <w:r>
        <w:rPr/>
        <w:t>Участник должен подготовить заявку с соблюдением следующих условий:</w:t>
      </w:r>
    </w:p>
    <w:p>
      <w:pPr>
        <w:pStyle w:val="Style25"/>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25"/>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5"/>
        <w:rPr/>
      </w:pPr>
      <w:r>
        <w:rPr/>
        <w:t>все файлы не должны иметь защиты от их открытия, изменения, копирования их содержимого или их печати;</w:t>
      </w:r>
    </w:p>
    <w:p>
      <w:pPr>
        <w:pStyle w:val="Style25"/>
        <w:rPr/>
      </w:pPr>
      <w:r>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5"/>
        <w:rPr/>
      </w:pPr>
      <w:r>
        <w:rPr/>
        <w:t>если какой-либо документ представлен в нечитаемом виде, данный документ считается непредставленным.</w:t>
      </w:r>
    </w:p>
    <w:p>
      <w:pPr>
        <w:pStyle w:val="Style24"/>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3"/>
        <w:rPr/>
      </w:pPr>
      <w:bookmarkStart w:id="109" w:name="_Ref125366672"/>
      <w:bookmarkStart w:id="110" w:name="_Ref125362071"/>
      <w:bookmarkStart w:id="111" w:name="_Ref125361260"/>
      <w:bookmarkStart w:id="112" w:name="_Toc228876852"/>
      <w:bookmarkStart w:id="113" w:name="_Ref130394802"/>
      <w:bookmarkStart w:id="114" w:name="_Ref130394785"/>
      <w:bookmarkStart w:id="115" w:name="_Ref130394205"/>
      <w:r>
        <w:rPr/>
        <w:t>Разъяснение Документации о закупке</w:t>
      </w:r>
      <w:bookmarkEnd w:id="109"/>
      <w:bookmarkEnd w:id="110"/>
      <w:bookmarkEnd w:id="111"/>
      <w:bookmarkEnd w:id="112"/>
      <w:bookmarkEnd w:id="113"/>
      <w:bookmarkEnd w:id="114"/>
      <w:bookmarkEnd w:id="115"/>
    </w:p>
    <w:p>
      <w:pPr>
        <w:pStyle w:val="Style24"/>
        <w:rPr/>
      </w:pPr>
      <w:r>
        <w:rPr/>
        <w:t>Участники вправе обратиться к Организатору за разъяснениями Документации о закупке.</w:t>
      </w:r>
    </w:p>
    <w:p>
      <w:pPr>
        <w:pStyle w:val="Style24"/>
        <w:rPr/>
      </w:pPr>
      <w:r>
        <w:rPr/>
        <w:t>Запросы подаются в соответствии с Регламентами и инструкциями Оператора ЭП, опубликованными на сайте соответствующей ЭП.</w:t>
      </w:r>
    </w:p>
    <w:p>
      <w:pPr>
        <w:pStyle w:val="Style24"/>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4"/>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4"/>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4"/>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1"/>
          </w:rPr>
          <w:t>Проекта договора (Приложения № 2)</w:t>
        </w:r>
      </w:hyperlink>
      <w:r>
        <w:rPr>
          <w:rStyle w:val="Style11"/>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4"/>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3"/>
        <w:rPr/>
      </w:pPr>
      <w:bookmarkStart w:id="116" w:name="_Toc228876853"/>
      <w:bookmarkStart w:id="117" w:name="_Ref125364404"/>
      <w:bookmarkStart w:id="118" w:name="_Ref125363891"/>
      <w:bookmarkStart w:id="119" w:name="_Ref125362076"/>
      <w:r>
        <w:rPr/>
        <w:t>Изменения Извещения и (или) Документации о закупке</w:t>
      </w:r>
      <w:bookmarkEnd w:id="116"/>
      <w:bookmarkEnd w:id="117"/>
      <w:bookmarkEnd w:id="118"/>
      <w:bookmarkEnd w:id="119"/>
    </w:p>
    <w:p>
      <w:pPr>
        <w:pStyle w:val="Style24"/>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4"/>
        <w:keepNext w:val="true"/>
        <w:rPr/>
      </w:pPr>
      <w:r>
        <w:rPr/>
        <w:t>После окончания срока подачи заявок допускается изменение только в части установленных Документацией о закупке дат:</w:t>
      </w:r>
    </w:p>
    <w:p>
      <w:pPr>
        <w:pStyle w:val="Style25"/>
        <w:rPr/>
      </w:pPr>
      <w:r>
        <w:rPr/>
        <w:t>рассмотрения первых частей заявок / окончательных предложений;</w:t>
      </w:r>
    </w:p>
    <w:p>
      <w:pPr>
        <w:pStyle w:val="Style25"/>
        <w:rPr/>
      </w:pPr>
      <w:r>
        <w:rPr/>
        <w:t>рассмотрения вторых частей заявок и ценовых предложений;</w:t>
      </w:r>
    </w:p>
    <w:p>
      <w:pPr>
        <w:pStyle w:val="Style25"/>
        <w:rPr/>
      </w:pPr>
      <w:r>
        <w:rPr/>
        <w:t>проведения переторжки, если предусмотрен данный этап;</w:t>
      </w:r>
    </w:p>
    <w:p>
      <w:pPr>
        <w:pStyle w:val="Style25"/>
        <w:rPr/>
      </w:pPr>
      <w:r>
        <w:rPr/>
        <w:t>подведения итогов закупки;</w:t>
      </w:r>
    </w:p>
    <w:p>
      <w:pPr>
        <w:pStyle w:val="Style28"/>
        <w:ind w:left="1134" w:hanging="0"/>
        <w:rPr/>
      </w:pPr>
      <w:bookmarkStart w:id="120" w:name="_Ref125550844"/>
      <w:r>
        <w:rPr/>
        <w:t>в пределах срока действия заявок и с уведомлением Участников, подавших заявки.</w:t>
      </w:r>
      <w:bookmarkEnd w:id="120"/>
    </w:p>
    <w:p>
      <w:pPr>
        <w:pStyle w:val="Style24"/>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4"/>
        <w:rPr/>
      </w:pPr>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w:t>
      </w:r>
    </w:p>
    <w:p>
      <w:pPr>
        <w:pStyle w:val="Style25"/>
        <w:rPr/>
      </w:pPr>
      <w:r>
        <w:rPr/>
        <w:t>4 (четырех) календарных дней, если НМЦ закупки (подраздел </w:t>
      </w:r>
      <w:r>
        <w:rPr/>
        <w:fldChar w:fldCharType="begin"/>
      </w:r>
      <w:r>
        <w:rPr/>
        <w:instrText xml:space="preserve"> REF _Ref125359973 \r \h </w:instrText>
      </w:r>
      <w:r>
        <w:rPr/>
        <w:fldChar w:fldCharType="separate"/>
      </w:r>
      <w:r>
        <w:rPr/>
        <w:t>1.2</w:t>
      </w:r>
      <w:r>
        <w:rPr/>
        <w:fldChar w:fldCharType="end"/>
      </w:r>
      <w:r>
        <w:rPr/>
        <w:t>) не превышает 30 000 000 (тридцать миллионов) рублей без НДС;</w:t>
      </w:r>
    </w:p>
    <w:p>
      <w:pPr>
        <w:pStyle w:val="Style25"/>
        <w:rPr/>
      </w:pPr>
      <w:r>
        <w:rPr/>
        <w:t>8 (восьми) календарных дней, если НМЦ закупки (подраздел </w:t>
      </w:r>
      <w:r>
        <w:rPr/>
        <w:fldChar w:fldCharType="begin"/>
      </w:r>
      <w:r>
        <w:rPr/>
        <w:instrText xml:space="preserve"> REF _Ref125359973 \r \h </w:instrText>
      </w:r>
      <w:r>
        <w:rPr/>
        <w:fldChar w:fldCharType="separate"/>
      </w:r>
      <w:r>
        <w:rPr/>
        <w:t>1.2</w:t>
      </w:r>
      <w:r>
        <w:rPr/>
        <w:fldChar w:fldCharType="end"/>
      </w:r>
      <w:r>
        <w:rPr/>
        <w:t>) превышает 30 000 000 (тридцать миллионов) рублей без НДС.</w:t>
      </w:r>
    </w:p>
    <w:p>
      <w:pPr>
        <w:pStyle w:val="Style24"/>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3"/>
        <w:rPr/>
      </w:pPr>
      <w:bookmarkStart w:id="121" w:name="_Toc228876854"/>
      <w:bookmarkStart w:id="122" w:name="_Ref125362119"/>
      <w:r>
        <w:rPr/>
        <w:t>Подача заявок и их прием</w:t>
      </w:r>
      <w:bookmarkEnd w:id="121"/>
      <w:bookmarkEnd w:id="122"/>
    </w:p>
    <w:p>
      <w:pPr>
        <w:pStyle w:val="Style24"/>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При этом все части заявок, включая ценовое предложение Участника, подаются им одновременно. Заявки, поданные позднее установленного срока, не могут быть приняты Организатором, независимо от причин опоздания.</w:t>
      </w:r>
    </w:p>
    <w:p>
      <w:pPr>
        <w:pStyle w:val="Style24"/>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4"/>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4"/>
        <w:rPr/>
      </w:pPr>
      <w:r>
        <w:rPr/>
        <w:t xml:space="preserve">Заявка должна быть подписана </w:t>
      </w:r>
      <w:bookmarkStart w:id="123" w:name="_Hlk219296949"/>
      <w:r>
        <w:rPr/>
        <w:t xml:space="preserve">усиленной квалифицированной </w:t>
      </w:r>
      <w:bookmarkEnd w:id="123"/>
      <w:r>
        <w:rPr/>
        <w:t>электронной подписью лица, которое является уполномоченным представителем Участника.</w:t>
      </w:r>
    </w:p>
    <w:p>
      <w:pPr>
        <w:pStyle w:val="Style24"/>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4"/>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4"/>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3"/>
        <w:rPr/>
      </w:pPr>
      <w:bookmarkStart w:id="124" w:name="_Toc228876855"/>
      <w:bookmarkStart w:id="125" w:name="_Ref125365136"/>
      <w:bookmarkStart w:id="126" w:name="_Ref125363819"/>
      <w:bookmarkStart w:id="127" w:name="_Ref125362192"/>
      <w:bookmarkStart w:id="128" w:name="_Ref125362130"/>
      <w:r>
        <w:rPr/>
        <w:t>Изменение и отзыв заявок</w:t>
      </w:r>
      <w:bookmarkEnd w:id="124"/>
      <w:bookmarkEnd w:id="125"/>
      <w:bookmarkEnd w:id="126"/>
      <w:bookmarkEnd w:id="127"/>
      <w:bookmarkEnd w:id="128"/>
    </w:p>
    <w:p>
      <w:pPr>
        <w:pStyle w:val="Style24"/>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4"/>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4"/>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4"/>
        <w:rPr/>
      </w:pPr>
      <w:r>
        <w:rPr/>
        <w:t>Изменения и отзыв заявки осуществляется посредством функционала ЭП (подробный порядок определяется Регламентом ЭП).</w:t>
      </w:r>
    </w:p>
    <w:p>
      <w:pPr>
        <w:pStyle w:val="Style23"/>
        <w:rPr/>
      </w:pPr>
      <w:bookmarkStart w:id="129" w:name="_Toc228876856"/>
      <w:bookmarkStart w:id="130" w:name="_Ref132816188"/>
      <w:r>
        <w:rPr/>
        <w:t>Открытие доступа к первым частям заявок</w:t>
      </w:r>
      <w:bookmarkEnd w:id="129"/>
      <w:bookmarkEnd w:id="130"/>
    </w:p>
    <w:p>
      <w:pPr>
        <w:pStyle w:val="Style24"/>
        <w:rPr/>
      </w:pPr>
      <w:r>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4"/>
        <w:rPr/>
      </w:pPr>
      <w:r>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p>
    <w:p>
      <w:pPr>
        <w:pStyle w:val="Style23"/>
        <w:rPr/>
      </w:pPr>
      <w:bookmarkStart w:id="131" w:name="_Toc228876858"/>
      <w:bookmarkStart w:id="132" w:name="_Ref132722566"/>
      <w:r>
        <w:rPr/>
        <w:t>Подача окончательных предложений</w:t>
      </w:r>
      <w:bookmarkEnd w:id="131"/>
      <w:bookmarkEnd w:id="132"/>
    </w:p>
    <w:p>
      <w:pPr>
        <w:pStyle w:val="Style24"/>
        <w:rPr/>
      </w:pPr>
      <w:r>
        <w:rPr/>
        <w:t>Если по результатам предзаявочного обсуждения (подраздел</w:t>
      </w:r>
      <w:r>
        <w:rPr>
          <w:lang w:val="en-US"/>
        </w:rPr>
        <w:t> </w:t>
      </w:r>
      <w:r>
        <w:rPr>
          <w:lang w:val="en-US"/>
        </w:rPr>
        <w:fldChar w:fldCharType="begin"/>
      </w:r>
      <w:r>
        <w:rPr>
          <w:lang w:val="en-US"/>
        </w:rPr>
        <w:instrText xml:space="preserve"> REF _Ref132724378 \w \h </w:instrText>
      </w:r>
      <w:r>
        <w:rPr>
          <w:lang w:val="en-US"/>
        </w:rPr>
        <w:fldChar w:fldCharType="separate"/>
      </w:r>
      <w:r>
        <w:rPr>
          <w:lang w:val="en-US"/>
        </w:rPr>
        <w:t>Ошибка: источник перекрёстной ссылки не найден</w:t>
      </w:r>
      <w:r>
        <w:rPr>
          <w:lang w:val="en-US"/>
        </w:rPr>
        <w:fldChar w:fldCharType="end"/>
      </w:r>
      <w:r>
        <w:rPr/>
        <w:t>) или обсуждения заявок (подраздел</w:t>
      </w:r>
      <w:r>
        <w:rPr>
          <w:lang w:val="en-US"/>
        </w:rPr>
        <w:t> </w:t>
      </w:r>
      <w:r>
        <w:rPr>
          <w:lang w:val="en-US"/>
        </w:rPr>
        <w:fldChar w:fldCharType="begin"/>
      </w:r>
      <w:r>
        <w:rPr>
          <w:lang w:val="en-US"/>
        </w:rPr>
        <w:instrText xml:space="preserve"> REF _Ref132724398 \w \h </w:instrText>
      </w:r>
      <w:r>
        <w:rPr>
          <w:lang w:val="en-US"/>
        </w:rPr>
        <w:fldChar w:fldCharType="separate"/>
      </w:r>
      <w:r>
        <w:rPr>
          <w:lang w:val="en-US"/>
        </w:rPr>
        <w:t>Ошибка: источник перекрёстной ссылки не найден</w:t>
      </w:r>
      <w:r>
        <w:rPr>
          <w:lang w:val="en-US"/>
        </w:rPr>
        <w:fldChar w:fldCharType="end"/>
      </w:r>
      <w:r>
        <w:rPr/>
        <w:t>), Организатором были уточнены первоначальные Извещение и (или) Документация о закупке, то любой Участник, ранее подавший заявку на участие в закупке, вправе внести в нее изменения (подраздел </w:t>
      </w:r>
      <w:r>
        <w:rPr/>
        <w:fldChar w:fldCharType="begin"/>
      </w:r>
      <w:r>
        <w:rPr/>
        <w:instrText xml:space="preserve"> REF _Ref125362130 \w \h </w:instrText>
      </w:r>
      <w:r>
        <w:rPr/>
        <w:fldChar w:fldCharType="separate"/>
      </w:r>
      <w:r>
        <w:rPr/>
        <w:t>4.7</w:t>
      </w:r>
      <w:r>
        <w:rPr/>
        <w:fldChar w:fldCharType="end"/>
      </w:r>
      <w:r>
        <w:rPr/>
        <w:t>) и подать свое одно окончательное предложение с учетом уточненных функциональных характеристик (потребительских свойств) закупаемой продукции, иных условий исполнения договора.</w:t>
      </w:r>
    </w:p>
    <w:p>
      <w:pPr>
        <w:pStyle w:val="Style24"/>
        <w:rPr/>
      </w:pPr>
      <w:r>
        <w:rPr/>
        <w:t>Заявки с окончательными предложениями принимаются в любое время с момента официального размещения (подраздел </w:t>
      </w:r>
      <w:r>
        <w:rPr/>
        <w:fldChar w:fldCharType="begin"/>
      </w:r>
      <w:r>
        <w:rPr/>
        <w:instrText xml:space="preserve"> REF _Ref130286532 \w \h </w:instrText>
      </w:r>
      <w:r>
        <w:rPr/>
        <w:fldChar w:fldCharType="separate"/>
      </w:r>
      <w:r>
        <w:rPr/>
        <w:t>4.2</w:t>
      </w:r>
      <w:r>
        <w:rPr/>
        <w:fldChar w:fldCharType="end"/>
      </w:r>
      <w:r>
        <w:rPr/>
        <w:t>) Организатором уточненных Извещения и Документации о закупке до момента окончания срока подачи окончательных предложений (подраздел </w:t>
      </w:r>
      <w:r>
        <w:rPr/>
        <w:fldChar w:fldCharType="begin"/>
      </w:r>
      <w:r>
        <w:rPr/>
        <w:instrText xml:space="preserve"> REF _Ref125359973 \w \h </w:instrText>
      </w:r>
      <w:r>
        <w:rPr/>
        <w:fldChar w:fldCharType="separate"/>
      </w:r>
      <w:r>
        <w:rPr/>
        <w:t>1.2</w:t>
      </w:r>
      <w:r>
        <w:rPr/>
        <w:fldChar w:fldCharType="end"/>
      </w:r>
      <w:r>
        <w:rPr/>
        <w:t>). Окончательные предложения, поданные позднее установленного срока, не могут быть приняты Оператором ЭП, независимо от причин опоздания.</w:t>
      </w:r>
    </w:p>
    <w:p>
      <w:pPr>
        <w:pStyle w:val="Style24"/>
        <w:rPr/>
      </w:pPr>
      <w:r>
        <w:rPr/>
        <w:t>Одновременно с подачей окончательного предложения Участник вправе подать одно новое ценовое предложение.</w:t>
      </w:r>
    </w:p>
    <w:p>
      <w:pPr>
        <w:pStyle w:val="Style24"/>
        <w:rPr/>
      </w:pPr>
      <w:r>
        <w:rPr/>
        <w:t>Любой Участник вправе отказаться от дальнейшего участия в закупке по результатам проведения обсуждений. Такой отказ выражается в непредставлении Участником окончательного предложения.</w:t>
      </w:r>
    </w:p>
    <w:p>
      <w:pPr>
        <w:pStyle w:val="Style24"/>
        <w:rPr/>
      </w:pPr>
      <w:r>
        <w:rPr/>
        <w:t>Подробные правила подачи окончательных предложений определяются Регламентом ЭП, с использованием которой проводится закупка. Требования к порядку подготовки и оформлению таких окончательных предложений аналогичны общим требованиям к заявкам (подраздел </w:t>
      </w:r>
      <w:r>
        <w:rPr/>
        <w:fldChar w:fldCharType="begin"/>
      </w:r>
      <w:r>
        <w:rPr/>
        <w:instrText xml:space="preserve"> REF _Ref130281199 \w \h </w:instrText>
      </w:r>
      <w:r>
        <w:rPr/>
        <w:fldChar w:fldCharType="separate"/>
      </w:r>
      <w:r>
        <w:rPr/>
        <w:t>4.3</w:t>
      </w:r>
      <w:r>
        <w:rPr/>
        <w:fldChar w:fldCharType="end"/>
      </w:r>
      <w:r>
        <w:rPr/>
        <w:t>).</w:t>
      </w:r>
    </w:p>
    <w:p>
      <w:pPr>
        <w:pStyle w:val="Style23"/>
        <w:rPr/>
      </w:pPr>
      <w:bookmarkStart w:id="133" w:name="_Toc228876859"/>
      <w:bookmarkStart w:id="134" w:name="_Ref132816209"/>
      <w:r>
        <w:rPr/>
        <w:t>Открытие доступа к окончательным предложениям</w:t>
      </w:r>
      <w:bookmarkEnd w:id="133"/>
      <w:bookmarkEnd w:id="134"/>
    </w:p>
    <w:p>
      <w:pPr>
        <w:pStyle w:val="Style24"/>
        <w:rPr/>
      </w:pPr>
      <w:r>
        <w:rPr/>
        <w:t>Оператор ЭП в срок не позднее 1 (одного) дня, следующего за днем окончания срока подачи окончательных предложений (подраздел </w:t>
      </w:r>
      <w:r>
        <w:rPr/>
        <w:fldChar w:fldCharType="begin"/>
      </w:r>
      <w:r>
        <w:rPr/>
        <w:instrText xml:space="preserve"> REF _Ref125359973 \w \h </w:instrText>
      </w:r>
      <w:r>
        <w:rPr/>
        <w:fldChar w:fldCharType="separate"/>
      </w:r>
      <w:r>
        <w:rPr/>
        <w:t>1.2</w:t>
      </w:r>
      <w:r>
        <w:rPr/>
        <w:fldChar w:fldCharType="end"/>
      </w:r>
      <w:r>
        <w:rPr/>
        <w:t>), направляет в адрес Организатора первые части заявок с окончательными предложениями всех Участников, от которых были получены такие предложения.</w:t>
      </w:r>
    </w:p>
    <w:p>
      <w:pPr>
        <w:pStyle w:val="Style24"/>
        <w:rPr/>
      </w:pPr>
      <w:r>
        <w:rPr/>
        <w:t>Подробные правила открытия Организатору доступа к первым частям заявок с окончательными предложениями определяются Регламентом ЭП, с использованием которой проводится закупка. При этом Оператор ЭП обеспечивает конфиденциальность сведений содержащихся в первых частях заявок с окончательными предложений от Участников такой закупки.</w:t>
      </w:r>
    </w:p>
    <w:p>
      <w:pPr>
        <w:pStyle w:val="Style31"/>
        <w:rPr>
          <w:lang w:val="en-US"/>
        </w:rPr>
      </w:pPr>
      <w:r>
        <w:rPr>
          <w:lang w:val="en-US"/>
        </w:rPr>
      </w:r>
    </w:p>
    <w:p>
      <w:pPr>
        <w:pStyle w:val="Style23"/>
        <w:rPr/>
      </w:pPr>
      <w:bookmarkStart w:id="135" w:name="_Toc228876860"/>
      <w:bookmarkStart w:id="136" w:name="_Ref125366689"/>
      <w:bookmarkStart w:id="137" w:name="_Ref125362364"/>
      <w:r>
        <w:rPr/>
        <w:t>Рассмотрение первых частей заявок / окончательных предложений (отборочная стадия)</w:t>
      </w:r>
      <w:bookmarkEnd w:id="135"/>
      <w:bookmarkEnd w:id="136"/>
      <w:bookmarkEnd w:id="137"/>
    </w:p>
    <w:p>
      <w:pPr>
        <w:pStyle w:val="Style24"/>
        <w:rPr/>
      </w:pPr>
      <w:r>
        <w:rPr/>
        <w:t>Дата окончания срока рассмотрения первых частей заявок / окончательных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4"/>
        <w:rPr/>
      </w:pPr>
      <w:r>
        <w:rPr/>
        <w:t xml:space="preserve">В рамках рассмотрения первых частей заявок / окончательных предложений (отборочной стадии) осуществляется проверка каждой заявки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w:t>
      </w:r>
    </w:p>
    <w:p>
      <w:pPr>
        <w:pStyle w:val="Style24"/>
        <w:rPr/>
      </w:pPr>
      <w:r>
        <w:rPr/>
        <w:t>Рассмотрение первых частей заявок / окончательных предложений проводится на основании представленных в составе заявки документов и сведений.</w:t>
      </w:r>
    </w:p>
    <w:p>
      <w:pPr>
        <w:pStyle w:val="Style24"/>
        <w:keepNext w:val="true"/>
        <w:rPr/>
      </w:pPr>
      <w:bookmarkStart w:id="138" w:name="_Ref125551456"/>
      <w:r>
        <w:rPr/>
        <w:t>По результатам рассмотрения первых частей заявок / окончательных предложений (проведения отборочной стадии) Закупочная комиссия отклоняет заявки по следующим основаниям:</w:t>
      </w:r>
      <w:bookmarkEnd w:id="138"/>
    </w:p>
    <w:p>
      <w:pPr>
        <w:pStyle w:val="Style25"/>
        <w:rPr/>
      </w:pPr>
      <w:r>
        <w:rPr/>
        <w:t>несоответствие первой части заявки / окончательного предложения по составу</w:t>
      </w:r>
      <w:r>
        <w:rPr>
          <w:rStyle w:val="FootnoteReference"/>
        </w:rPr>
        <w:footnoteReference w:id="3"/>
      </w:r>
      <w:r>
        <w:rPr/>
        <w:t>, содержанию и соблюдению требований Документации о закупке к подготовке (оформлению) заявки, в том числе наличие:</w:t>
      </w:r>
    </w:p>
    <w:p>
      <w:pPr>
        <w:pStyle w:val="Style26"/>
        <w:rPr/>
      </w:pPr>
      <w:r>
        <w:rPr/>
        <w:t>недостоверных сведений или намеренно искаженной информации или документов;</w:t>
      </w:r>
    </w:p>
    <w:p>
      <w:pPr>
        <w:pStyle w:val="Style26"/>
        <w:rPr/>
      </w:pPr>
      <w:r>
        <w:rPr/>
        <w:t>внутренних противоречий между различными частями и (или) документами первой части заявки / окончательного предложения, в том числе по тексту внутри одного документа;</w:t>
      </w:r>
    </w:p>
    <w:p>
      <w:pPr>
        <w:pStyle w:val="Style25"/>
        <w:rPr/>
      </w:pPr>
      <w:r>
        <w:rPr/>
        <w:t>несоответствие предлагаемой продукции требованиям Документации о закупке, в том числе порядка описания такой продукции;</w:t>
      </w:r>
    </w:p>
    <w:p>
      <w:pPr>
        <w:pStyle w:val="Style25"/>
        <w:rPr/>
      </w:pPr>
      <w:r>
        <w:rPr/>
        <w:t>несоответствие предлагаемых договорных условий требованиям Документации о закупке;</w:t>
      </w:r>
    </w:p>
    <w:p>
      <w:pPr>
        <w:pStyle w:val="Style25"/>
        <w:rPr/>
      </w:pPr>
      <w:r>
        <w:rPr/>
        <w:t>наличие в документах первой части заявки / окончательном предложении сведений об Участники и (или) о его ценовом предложении.</w:t>
      </w:r>
    </w:p>
    <w:p>
      <w:pPr>
        <w:pStyle w:val="Style24"/>
        <w:keepNext w:val="true"/>
        <w:rPr/>
      </w:pPr>
      <w:r>
        <w:rPr/>
        <w:t>Решение Закупочной комиссии по рассмотрению первых частей заявок / окончательных предложений оформляется протоколом, в котором, как минимум, указываются</w:t>
      </w:r>
      <w:r>
        <w:rPr>
          <w:rStyle w:val="FootnoteReference"/>
        </w:rPr>
        <w:footnoteReference w:id="4"/>
      </w:r>
      <w:r>
        <w:rPr/>
        <w:t>:</w:t>
      </w:r>
    </w:p>
    <w:p>
      <w:pPr>
        <w:pStyle w:val="Style25"/>
        <w:rPr/>
      </w:pPr>
      <w:r>
        <w:rPr/>
        <w:t>дата подписания протокола;</w:t>
      </w:r>
    </w:p>
    <w:p>
      <w:pPr>
        <w:pStyle w:val="Style25"/>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5"/>
        <w:rPr/>
      </w:pPr>
      <w:r>
        <w:rPr/>
        <w:t>идентификационные номера, присваиваемые Оператором ЭП;</w:t>
      </w:r>
    </w:p>
    <w:p>
      <w:pPr>
        <w:pStyle w:val="Style25"/>
        <w:keepNext w:val="true"/>
        <w:rPr/>
      </w:pPr>
      <w:r>
        <w:rPr/>
        <w:t>результаты рассмотрения первых частей заявок / окончательных предложений с указанием, в том числе:</w:t>
      </w:r>
    </w:p>
    <w:p>
      <w:pPr>
        <w:pStyle w:val="Style26"/>
        <w:rPr/>
      </w:pPr>
      <w:r>
        <w:rPr/>
        <w:t>количества заявок, которые были отклонены по результатам рассмотрения первых частей заявок / окончательных предложений;</w:t>
      </w:r>
    </w:p>
    <w:p>
      <w:pPr>
        <w:pStyle w:val="Style26"/>
        <w:rPr/>
      </w:pPr>
      <w:r>
        <w:rPr/>
        <w:t>оснований отклонения каждой заявки с указанием положений Документации о закупке, которым не соответствует первая часть такой заявка / окончательное предложение;</w:t>
      </w:r>
    </w:p>
    <w:p>
      <w:pPr>
        <w:pStyle w:val="Style25"/>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4.19</w:t>
      </w:r>
      <w:r>
        <w:rPr/>
        <w:fldChar w:fldCharType="end"/>
      </w:r>
      <w:r>
        <w:rPr/>
        <w:t xml:space="preserve"> (в случае ее признания таковой).</w:t>
      </w:r>
    </w:p>
    <w:p>
      <w:pPr>
        <w:pStyle w:val="Style24"/>
        <w:rPr/>
      </w:pPr>
      <w:r>
        <w:rPr/>
        <w:t>Протокол рассмотрения первых частей заявок / окончательных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3"/>
        <w:rPr/>
      </w:pPr>
      <w:bookmarkStart w:id="139" w:name="_Toc228876861"/>
      <w:bookmarkStart w:id="140" w:name="_Ref132801184"/>
      <w:r>
        <w:rPr/>
        <w:t>Открытие доступа ко вторым частям заявок и ценовым предложениям</w:t>
      </w:r>
      <w:bookmarkEnd w:id="139"/>
      <w:bookmarkEnd w:id="140"/>
    </w:p>
    <w:p>
      <w:pPr>
        <w:pStyle w:val="Style24"/>
        <w:rPr/>
      </w:pPr>
      <w:r>
        <w:rPr/>
        <w:t>Оператор ЭП направляет в адрес Организатора вторые части заявок и ценовые предложения в срок, установленный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4"/>
        <w:rPr/>
      </w:pPr>
      <w:r>
        <w:rPr/>
        <w:t>Подробные правила открытия Организатору доступа ко вторым частям заявок и ценовым предложениям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и ценовых предложениях Участников такой закупки.</w:t>
      </w:r>
    </w:p>
    <w:p>
      <w:pPr>
        <w:pStyle w:val="Style23"/>
        <w:rPr/>
      </w:pPr>
      <w:bookmarkStart w:id="141" w:name="_Toc228876862"/>
      <w:bookmarkStart w:id="142" w:name="_Ref132797154"/>
      <w:r>
        <w:rPr/>
        <w:t>Рассмотрение вторых частей заявок (отборочная стадия), в том числе (при необходимости) проведение аккредитации, и ценовых предложений</w:t>
      </w:r>
      <w:bookmarkEnd w:id="141"/>
      <w:bookmarkEnd w:id="142"/>
    </w:p>
    <w:p>
      <w:pPr>
        <w:pStyle w:val="Style24"/>
        <w:rPr/>
      </w:pPr>
      <w:r>
        <w:rPr/>
        <w:t>Дата окончания срока рассмотрения вторых частей заявок и ценовых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4"/>
        <w:rPr/>
      </w:pPr>
      <w:r>
        <w:rPr/>
        <w:t xml:space="preserve">В рамках рассмотрения вторых частей заявок и ценового предложения (отборочной стадии) осуществляется проверка каждой заявки, не отклоненной по результатам рассмотрения первых частей заявок / окончательных предложений,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4"/>
        <w:rPr/>
      </w:pPr>
      <w:r>
        <w:rPr/>
        <w:t>Рассмотрение вторых частей заявок и ценового предложения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4"/>
        <w:keepNext w:val="true"/>
        <w:rPr/>
      </w:pPr>
      <w:bookmarkStart w:id="143" w:name="_Ref224834720"/>
      <w:r>
        <w:rPr/>
        <w:t>При выявлении в рамках рассмотрения ценовых предложений наличия арифметических ошибок, в том числе:</w:t>
      </w:r>
      <w:bookmarkEnd w:id="143"/>
    </w:p>
    <w:p>
      <w:pPr>
        <w:pStyle w:val="Style25"/>
        <w:rPr/>
      </w:pPr>
      <w:r>
        <w:rPr/>
        <w:t>в результате суммирования единичных расценок;</w:t>
      </w:r>
    </w:p>
    <w:p>
      <w:pPr>
        <w:pStyle w:val="Style25"/>
        <w:rPr/>
      </w:pPr>
      <w:r>
        <w:rPr/>
        <w:t>в итогах умножения единичных расценок на объем продукции;</w:t>
      </w:r>
    </w:p>
    <w:p>
      <w:pPr>
        <w:pStyle w:val="Style25"/>
        <w:rPr/>
      </w:pPr>
      <w:r>
        <w:rPr/>
        <w:t>в вычислении суммы НДС и итоговой стоимости заявки с учетом НДС);</w:t>
      </w:r>
    </w:p>
    <w:p>
      <w:pPr>
        <w:pStyle w:val="Style25"/>
        <w:rPr/>
      </w:pPr>
      <w:r>
        <w:rPr/>
        <w:t>иных внутренних противоречий в составе заявки,</w:t>
      </w:r>
    </w:p>
    <w:p>
      <w:pPr>
        <w:pStyle w:val="Style28"/>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4"/>
        <w:keepNext w:val="true"/>
        <w:rPr/>
      </w:pPr>
      <w:bookmarkStart w:id="144" w:name="_Ref132793926"/>
      <w:r>
        <w:rPr/>
        <w:t>По результатам рассмотрения вторых частей заявок и ценовых предложений (проведения отборочной стадии) Закупочная комиссия отклоняет заявки по следующим основаниям:</w:t>
      </w:r>
      <w:bookmarkEnd w:id="144"/>
    </w:p>
    <w:p>
      <w:pPr>
        <w:pStyle w:val="Style25"/>
        <w:rPr/>
      </w:pPr>
      <w:r>
        <w:rPr/>
        <w:t>несоответствие второй части заявки и (или) ценового предложения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6"/>
        <w:rPr/>
      </w:pPr>
      <w:r>
        <w:rPr/>
        <w:t>недостоверных сведений или намеренно искаженной информации или документов;</w:t>
      </w:r>
    </w:p>
    <w:p>
      <w:pPr>
        <w:pStyle w:val="Style26"/>
        <w:rPr/>
      </w:pPr>
      <w:r>
        <w:rPr/>
        <w:t xml:space="preserve">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 (за исключением ошибок, предусмотренных пунктом </w:t>
      </w:r>
      <w:r>
        <w:rPr/>
        <w:fldChar w:fldCharType="begin"/>
      </w:r>
      <w:r>
        <w:rPr/>
        <w:instrText xml:space="preserve"> REF _Ref224834720 \r \h </w:instrText>
      </w:r>
      <w:r>
        <w:rPr/>
        <w:fldChar w:fldCharType="separate"/>
      </w:r>
      <w:r>
        <w:rPr/>
        <w:t>4.13.4</w:t>
      </w:r>
      <w:r>
        <w:rPr/>
        <w:fldChar w:fldCharType="end"/>
      </w:r>
      <w:r>
        <w:rPr/>
        <w:t>);</w:t>
      </w:r>
    </w:p>
    <w:p>
      <w:pPr>
        <w:pStyle w:val="Style25"/>
        <w:rPr/>
      </w:pPr>
      <w:r>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25"/>
        <w:rPr/>
      </w:pPr>
      <w:r>
        <w:rPr/>
        <w:t>несоответствие Участников требованиям Документации о закупке;</w:t>
      </w:r>
    </w:p>
    <w:p>
      <w:pPr>
        <w:pStyle w:val="Style25"/>
        <w:rPr/>
      </w:pPr>
      <w:r>
        <w:rPr/>
        <w:t>несоответствие привлекаемых субподрядчиков (соисполнителей) требованиям Документации о закупке;</w:t>
      </w:r>
    </w:p>
    <w:p>
      <w:pPr>
        <w:pStyle w:val="Style25"/>
        <w:rPr/>
      </w:pPr>
      <w:r>
        <w:rPr/>
        <w:t>превышение ценового предложения над установленным размером НМЦ.</w:t>
      </w:r>
    </w:p>
    <w:p>
      <w:pPr>
        <w:pStyle w:val="Style24"/>
        <w:keepNext w:val="true"/>
        <w:rPr/>
      </w:pPr>
      <w:r>
        <w:rPr/>
        <w:t>Решение Закупочной комиссии по рассмотрению вторых частей заявок и ценового предложения оформляется протоколом, в котором, как минимум, указываются</w:t>
      </w:r>
      <w:r>
        <w:rPr>
          <w:rStyle w:val="FootnoteReference"/>
        </w:rPr>
        <w:footnoteReference w:id="6"/>
      </w:r>
      <w:r>
        <w:rPr/>
        <w:t>:</w:t>
      </w:r>
    </w:p>
    <w:p>
      <w:pPr>
        <w:pStyle w:val="Style25"/>
        <w:rPr/>
      </w:pPr>
      <w:r>
        <w:rPr/>
        <w:t>дата подписания протокола;</w:t>
      </w:r>
    </w:p>
    <w:p>
      <w:pPr>
        <w:pStyle w:val="Style25"/>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 с указанием ценового предложения такой заявки;</w:t>
      </w:r>
    </w:p>
    <w:p>
      <w:pPr>
        <w:pStyle w:val="Style25"/>
        <w:rPr/>
      </w:pPr>
      <w:r>
        <w:rPr/>
        <w:t>наименования Участников, заявки которых не были отклонены по результатам рассмотрения первых частей заявок / окончательных предложений, и (или) их идентификационные номера, присваиваемые Оператором ЭП;</w:t>
      </w:r>
    </w:p>
    <w:p>
      <w:pPr>
        <w:pStyle w:val="Style25"/>
        <w:keepNext w:val="true"/>
        <w:rPr/>
      </w:pPr>
      <w:r>
        <w:rPr/>
        <w:t>результаты рассмотрения вторых частей заявок и ценовых предложений с указанием, в том числе:</w:t>
      </w:r>
    </w:p>
    <w:p>
      <w:pPr>
        <w:pStyle w:val="Style26"/>
        <w:rPr/>
      </w:pPr>
      <w:r>
        <w:rPr/>
        <w:t>количества заявок, которые были отклонены по результатам рассмотрения вторых частей заявок и ценовых предложений;</w:t>
      </w:r>
    </w:p>
    <w:p>
      <w:pPr>
        <w:pStyle w:val="Style26"/>
        <w:rPr/>
      </w:pPr>
      <w:r>
        <w:rPr/>
        <w:t>оснований отклонения каждой заявки с указанием положений Документации о закупке, которым не соответствует вторая часть такой заявка и (или) ценовое предложение;</w:t>
      </w:r>
    </w:p>
    <w:p>
      <w:pPr>
        <w:pStyle w:val="Style25"/>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4.19</w:t>
      </w:r>
      <w:r>
        <w:rPr/>
        <w:fldChar w:fldCharType="end"/>
      </w:r>
      <w:r>
        <w:rPr/>
        <w:t xml:space="preserve"> (в случае ее признания таковой).</w:t>
      </w:r>
    </w:p>
    <w:p>
      <w:pPr>
        <w:pStyle w:val="Style24"/>
        <w:rPr/>
      </w:pPr>
      <w:r>
        <w:rPr/>
        <w:t>Протокол рассмотрения вторых частей заявок и (или) ценовых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3"/>
        <w:rPr/>
      </w:pPr>
      <w:bookmarkStart w:id="145" w:name="_Toc228876863"/>
      <w:bookmarkStart w:id="146" w:name="_Ref125362610"/>
      <w:bookmarkStart w:id="147" w:name="_Ref125362464"/>
      <w:bookmarkStart w:id="148" w:name="_Ref125362425"/>
      <w:bookmarkStart w:id="149" w:name="_Ref125362381"/>
      <w:r>
        <w:rPr/>
        <w:t>Дополнительные запросы разъяснений заявок</w:t>
      </w:r>
      <w:bookmarkEnd w:id="145"/>
      <w:bookmarkEnd w:id="146"/>
      <w:bookmarkEnd w:id="147"/>
      <w:bookmarkEnd w:id="148"/>
      <w:bookmarkEnd w:id="149"/>
    </w:p>
    <w:p>
      <w:pPr>
        <w:pStyle w:val="Style24"/>
        <w:rPr/>
      </w:pPr>
      <w:bookmarkStart w:id="150" w:name="_Ref125365611"/>
      <w:r>
        <w:rPr/>
        <w:t>В рамках процедуры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50"/>
    </w:p>
    <w:p>
      <w:pPr>
        <w:pStyle w:val="Style25"/>
        <w:keepNext w:val="true"/>
        <w:rPr/>
      </w:pPr>
      <w:r>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26"/>
        <w:rPr/>
      </w:pPr>
      <w:r>
        <w:rPr/>
        <w:t>соответствия Участника требованиям Документации о закупке;</w:t>
      </w:r>
    </w:p>
    <w:p>
      <w:pPr>
        <w:pStyle w:val="Style26"/>
        <w:rPr/>
      </w:pPr>
      <w:bookmarkStart w:id="151" w:name="_Hlk132793683"/>
      <w:r>
        <w:rPr/>
        <w:t>наличия соответствующих полномочий на подписание заявки от имени Участника у лица, подписавшего заявку</w:t>
      </w:r>
      <w:bookmarkEnd w:id="151"/>
      <w:r>
        <w:rPr/>
        <w:t>;</w:t>
      </w:r>
    </w:p>
    <w:p>
      <w:pPr>
        <w:pStyle w:val="Style26"/>
        <w:rPr/>
      </w:pPr>
      <w:r>
        <w:rPr/>
        <w:t xml:space="preserve">соответствия заявки требованиям Документации о закупке в части характеристик предлагаемой продукции, </w:t>
      </w:r>
      <w:bookmarkStart w:id="152" w:name="_Hlk207817392"/>
      <w:r>
        <w:rPr/>
        <w:t xml:space="preserve">страны происхождения товара и (или) страны регистрации Участника (в целях исполнения требований законодательства о национальном режиме </w:t>
      </w:r>
      <w:bookmarkEnd w:id="152"/>
      <w:r>
        <w:rPr/>
        <w:t>(подраздел </w:t>
      </w:r>
      <w:r>
        <w:rPr/>
        <w:fldChar w:fldCharType="begin"/>
      </w:r>
      <w:r>
        <w:rPr/>
        <w:instrText xml:space="preserve"> REF _Ref186181253 \r \h </w:instrText>
      </w:r>
      <w:r>
        <w:rPr/>
        <w:fldChar w:fldCharType="separate"/>
      </w:r>
      <w:r>
        <w:rPr/>
        <w:t>4.17</w:t>
      </w:r>
      <w:r>
        <w:rPr/>
        <w:fldChar w:fldCharType="end"/>
      </w:r>
      <w:r>
        <w:rPr/>
        <w:t>)), договорных условий и расчета цены Договора;</w:t>
      </w:r>
    </w:p>
    <w:p>
      <w:pPr>
        <w:pStyle w:val="Style25"/>
        <w:rPr/>
      </w:pPr>
      <w:bookmarkStart w:id="153" w:name="_Ref135033677"/>
      <w:r>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25"/>
        <w:rPr/>
      </w:pPr>
      <w:r>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7"/>
      </w:r>
      <w:r>
        <w:rPr/>
        <w:t>) требованиям Документации о закупке или осуществить оценку и сопоставление заявок.</w:t>
      </w:r>
      <w:bookmarkEnd w:id="153"/>
    </w:p>
    <w:p>
      <w:pPr>
        <w:pStyle w:val="Style24"/>
        <w:rPr/>
      </w:pPr>
      <w:r>
        <w:rPr/>
        <w:t>Если в рамках рассмотрения заявок (вторых частей заявок и ценовых предложений),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_Ref135033677 \r \h </w:instrText>
      </w:r>
      <w:r>
        <w:rPr/>
        <w:fldChar w:fldCharType="separate"/>
      </w:r>
      <w:r>
        <w:rPr/>
        <w:t>4.14.1б)</w:t>
      </w:r>
      <w:r>
        <w:rPr/>
        <w:fldChar w:fldCharType="end"/>
      </w:r>
      <w:r>
        <w:rPr/>
        <w:t>).</w:t>
      </w:r>
    </w:p>
    <w:p>
      <w:pPr>
        <w:pStyle w:val="Style24"/>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4"/>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4"/>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fldChar w:fldCharType="begin"/>
      </w:r>
      <w:r>
        <w:rPr/>
        <w:instrText xml:space="preserve"> REF _Ref125551456 \r \h </w:instrText>
      </w:r>
      <w:r>
        <w:rPr/>
        <w:fldChar w:fldCharType="separate"/>
      </w:r>
      <w:r>
        <w:rPr/>
        <w:t>4.11.4</w:t>
      </w:r>
      <w:r>
        <w:rPr/>
        <w:fldChar w:fldCharType="end"/>
      </w:r>
      <w:r>
        <w:rPr/>
        <w:t xml:space="preserve">, </w:t>
      </w:r>
      <w:r>
        <w:rPr/>
        <w:fldChar w:fldCharType="begin"/>
      </w:r>
      <w:r>
        <w:rPr/>
        <w:instrText xml:space="preserve"> REF _Ref132793926 \r \h </w:instrText>
      </w:r>
      <w:r>
        <w:rPr/>
        <w:fldChar w:fldCharType="separate"/>
      </w:r>
      <w:r>
        <w:rPr/>
        <w:t>4.13.5</w:t>
      </w:r>
      <w:r>
        <w:rPr/>
        <w:fldChar w:fldCharType="end"/>
      </w:r>
      <w:r>
        <w:rPr/>
        <w:t xml:space="preserve">, </w:t>
      </w:r>
      <w:r>
        <w:rPr/>
        <w:fldChar w:fldCharType="begin"/>
      </w:r>
      <w:r>
        <w:rPr/>
        <w:instrText xml:space="preserve"> REF _Ref132880719 \r \h </w:instrText>
      </w:r>
      <w:r>
        <w:rPr/>
        <w:fldChar w:fldCharType="separate"/>
      </w:r>
      <w:r>
        <w:rPr/>
        <w:t>4.15.1</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4.14.1</w:t>
      </w:r>
      <w:r>
        <w:rPr/>
        <w:fldChar w:fldCharType="end"/>
      </w:r>
      <w:r>
        <w:rPr/>
        <w:t>.</w:t>
      </w:r>
    </w:p>
    <w:p>
      <w:pPr>
        <w:pStyle w:val="Style24"/>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4"/>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4"/>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fldChar w:fldCharType="begin"/>
      </w:r>
      <w:r>
        <w:rPr/>
        <w:instrText xml:space="preserve"> REF _Ref125551456 \r \h </w:instrText>
      </w:r>
      <w:r>
        <w:rPr/>
        <w:fldChar w:fldCharType="separate"/>
      </w:r>
      <w:r>
        <w:rPr/>
        <w:t>4.11.4</w:t>
      </w:r>
      <w:r>
        <w:rPr/>
        <w:fldChar w:fldCharType="end"/>
      </w:r>
      <w:r>
        <w:rPr/>
        <w:t xml:space="preserve">, </w:t>
      </w:r>
      <w:r>
        <w:rPr/>
        <w:fldChar w:fldCharType="begin"/>
      </w:r>
      <w:r>
        <w:rPr/>
        <w:instrText xml:space="preserve"> REF _Ref132793926 \r \h </w:instrText>
      </w:r>
      <w:r>
        <w:rPr/>
        <w:fldChar w:fldCharType="separate"/>
      </w:r>
      <w:r>
        <w:rPr/>
        <w:t>4.13.5</w:t>
      </w:r>
      <w:r>
        <w:rPr/>
        <w:fldChar w:fldCharType="end"/>
      </w:r>
      <w:r>
        <w:rPr/>
        <w:t xml:space="preserve">, </w:t>
      </w:r>
      <w:r>
        <w:rPr/>
        <w:fldChar w:fldCharType="begin"/>
      </w:r>
      <w:r>
        <w:rPr/>
        <w:instrText xml:space="preserve"> REF _Ref132880719 \r \h </w:instrText>
      </w:r>
      <w:r>
        <w:rPr/>
        <w:fldChar w:fldCharType="separate"/>
      </w:r>
      <w:r>
        <w:rPr/>
        <w:t>4.15.1</w:t>
      </w:r>
      <w:r>
        <w:rPr/>
        <w:fldChar w:fldCharType="end"/>
      </w:r>
      <w:r>
        <w:rPr/>
        <w:t>.</w:t>
      </w:r>
    </w:p>
    <w:p>
      <w:pPr>
        <w:pStyle w:val="Style23"/>
        <w:rPr/>
      </w:pPr>
      <w:bookmarkStart w:id="154" w:name="_Toc228876865"/>
      <w:bookmarkStart w:id="155" w:name="_Ref132801206"/>
      <w:r>
        <w:rPr/>
        <w:t>Рассмотрение дополнительных ценовых предложений</w:t>
      </w:r>
      <w:bookmarkEnd w:id="154"/>
      <w:bookmarkEnd w:id="155"/>
    </w:p>
    <w:p>
      <w:pPr>
        <w:pStyle w:val="Style24"/>
        <w:rPr/>
      </w:pPr>
      <w:bookmarkStart w:id="156" w:name="_Ref132880719"/>
      <w:r>
        <w:rPr/>
        <w:t>Рассмотрение дополнительных ценовых предложений осуществляется в порядке, аналогичном порядку рассмотрения вторых частей заявок и ценовых предложений (подраздел </w:t>
      </w:r>
      <w:r>
        <w:rPr/>
        <w:fldChar w:fldCharType="begin"/>
      </w:r>
      <w:r>
        <w:rPr/>
        <w:instrText xml:space="preserve"> REF _Ref132797154 \r \h </w:instrText>
      </w:r>
      <w:r>
        <w:rPr/>
        <w:fldChar w:fldCharType="separate"/>
      </w:r>
      <w:r>
        <w:rPr/>
        <w:t>4.13</w:t>
      </w:r>
      <w:r>
        <w:rPr/>
        <w:fldChar w:fldCharType="end"/>
      </w:r>
      <w:r>
        <w:rPr/>
        <w:t xml:space="preserve">), но только в отношении таких дополнительных ценовых предложений. В рамках рассмотрения дополнительных ценовых предложений осуществляется проверка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w:t>
      </w:r>
      <w:bookmarkEnd w:id="156"/>
    </w:p>
    <w:p>
      <w:pPr>
        <w:pStyle w:val="Style24"/>
        <w:rPr/>
      </w:pPr>
      <w:r>
        <w:rPr/>
        <w:t>Решение Закупочной комиссии по результатам рассмотрения дополнительных ценовых предложений указывается в итоговом протоколе по результатам закупки.</w:t>
      </w:r>
    </w:p>
    <w:p>
      <w:pPr>
        <w:pStyle w:val="Style23"/>
        <w:rPr/>
      </w:pPr>
      <w:bookmarkStart w:id="157" w:name="_Toc228876866"/>
      <w:bookmarkStart w:id="158" w:name="_Ref125369308"/>
      <w:bookmarkStart w:id="159" w:name="_Ref125369041"/>
      <w:bookmarkStart w:id="160" w:name="_Ref125366534"/>
      <w:bookmarkStart w:id="161" w:name="_Ref125365519"/>
      <w:bookmarkStart w:id="162" w:name="_Ref125365335"/>
      <w:bookmarkStart w:id="163" w:name="_Ref125362626"/>
      <w:r>
        <w:rPr/>
        <w:t>Оценка и сопоставление заявок</w:t>
      </w:r>
      <w:bookmarkEnd w:id="157"/>
      <w:bookmarkEnd w:id="158"/>
      <w:bookmarkEnd w:id="159"/>
      <w:bookmarkEnd w:id="160"/>
      <w:bookmarkEnd w:id="161"/>
      <w:bookmarkEnd w:id="162"/>
      <w:bookmarkEnd w:id="163"/>
    </w:p>
    <w:p>
      <w:pPr>
        <w:pStyle w:val="Style24"/>
        <w:rPr/>
      </w:pPr>
      <w:r>
        <w:rPr/>
        <w:t xml:space="preserve">Оценка и сопоставление заявок, признанных Закупочной комиссией соответствующими по результатам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осуществляется в соответствии с </w:t>
      </w:r>
      <w:hyperlink w:anchor="Прил08_ПорядокОценки">
        <w:r>
          <w:rPr>
            <w:rStyle w:val="Style11"/>
          </w:rPr>
          <w:t>Порядком и критериями оценки и сопоставления заявок (Приложение № 8)</w:t>
        </w:r>
      </w:hyperlink>
      <w:r>
        <w:rPr/>
        <w:t>, с присвоением каждой заявке итогового балла.</w:t>
      </w:r>
    </w:p>
    <w:p>
      <w:pPr>
        <w:pStyle w:val="Style24"/>
        <w:rPr/>
      </w:pPr>
      <w:r>
        <w:rPr/>
        <w:t>По результатам оценки заявок Закупочная комиссия в течение 1 (одного) рабочего дня осуществляет их сопоставление – ранжирует по степени их предпочтительности на основании полученного итогового балла (по мере уменьшения). При этом первое место в ранжировке присваивается заявке, получившей по результатам оценки наибольший итоговый балл (если в нескольких заявках содержатся одинаковые условия (заявкам присвоен одинаковый итоговый балл), меньший порядковый номер (более высокое место в ранжировке) присваивается заявке, которая поступила ранее других заявок, на основании информации о поступлении заявок, отражаемой на ЭП (по дате и времени последнего изменения заявки до окончания срока подачи заявок, а также если проводилась переторжка (подраздел </w:t>
      </w:r>
      <w:r>
        <w:rPr/>
        <w:fldChar w:fldCharType="begin"/>
      </w:r>
      <w:r>
        <w:rPr/>
        <w:instrText xml:space="preserve"> REF _Ref132816263 \r \h </w:instrText>
      </w:r>
      <w:r>
        <w:rPr/>
        <w:fldChar w:fldCharType="separate"/>
      </w:r>
      <w:r>
        <w:rPr/>
        <w:t>Ошибка: источник перекрёстной ссылки не найден</w:t>
      </w:r>
      <w:r>
        <w:rPr/>
        <w:fldChar w:fldCharType="end"/>
      </w:r>
      <w:r>
        <w:rPr/>
        <w:t>), с учетом даты и времени последнего изменения заявки на ЭП, обусловленного переторжкой)).</w:t>
      </w:r>
    </w:p>
    <w:p>
      <w:pPr>
        <w:pStyle w:val="Style24"/>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4"/>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_Ref132816300 \r \h </w:instrText>
      </w:r>
      <w:r>
        <w:rPr/>
        <w:fldChar w:fldCharType="separate"/>
      </w:r>
      <w:r>
        <w:rPr/>
        <w:t>4.17</w:t>
      </w:r>
      <w:r>
        <w:rPr/>
        <w:fldChar w:fldCharType="end"/>
      </w:r>
      <w:r>
        <w:rPr/>
        <w:t>).</w:t>
      </w:r>
    </w:p>
    <w:p>
      <w:pPr>
        <w:pStyle w:val="Style24"/>
        <w:rPr/>
      </w:pPr>
      <w:r>
        <w:rPr/>
        <w:t>Результаты оценки и сопоставления заявок указываются в итоговом протоколе по результатам закупки.</w:t>
      </w:r>
    </w:p>
    <w:p>
      <w:pPr>
        <w:pStyle w:val="Style23"/>
        <w:rPr/>
      </w:pPr>
      <w:bookmarkStart w:id="164" w:name="_Ref130458671"/>
      <w:bookmarkStart w:id="165" w:name="_Ref125370507"/>
      <w:bookmarkStart w:id="166" w:name="_Ref125369991"/>
      <w:bookmarkStart w:id="167" w:name="_Ref125366064"/>
      <w:bookmarkStart w:id="168" w:name="_Ref130985951"/>
      <w:bookmarkStart w:id="169" w:name="_Toc228876867"/>
      <w:bookmarkStart w:id="170" w:name="_Ref132816300"/>
      <w:bookmarkStart w:id="171" w:name="_Ref186181253"/>
      <w:r>
        <w:rPr/>
        <w:t>Применение законодательства о национальном режиме</w:t>
      </w:r>
      <w:bookmarkEnd w:id="164"/>
      <w:bookmarkEnd w:id="165"/>
      <w:bookmarkEnd w:id="166"/>
      <w:bookmarkEnd w:id="167"/>
      <w:bookmarkEnd w:id="168"/>
      <w:bookmarkEnd w:id="169"/>
      <w:bookmarkEnd w:id="170"/>
      <w:bookmarkEnd w:id="171"/>
    </w:p>
    <w:p>
      <w:pPr>
        <w:pStyle w:val="Style24"/>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4"/>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_Ref132797154 \r \h </w:instrText>
      </w:r>
      <w:r>
        <w:rPr/>
        <w:fldChar w:fldCharType="separate"/>
      </w:r>
      <w:r>
        <w:rPr/>
        <w:t>4.13</w:t>
      </w:r>
      <w:r>
        <w:rPr/>
        <w:fldChar w:fldCharType="end"/>
      </w:r>
      <w:r>
        <w:rPr/>
        <w:t>).</w:t>
      </w:r>
    </w:p>
    <w:p>
      <w:pPr>
        <w:pStyle w:val="Style24"/>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fldChar w:fldCharType="begin"/>
      </w:r>
      <w:r>
        <w:rPr/>
        <w:instrText xml:space="preserve"> REF _Ref132797154 \r \h </w:instrText>
      </w:r>
      <w:r>
        <w:rPr/>
        <w:fldChar w:fldCharType="separate"/>
      </w:r>
      <w:r>
        <w:rPr/>
        <w:t>4.13</w:t>
      </w:r>
      <w:r>
        <w:rPr/>
        <w:fldChar w:fldCharType="end"/>
      </w:r>
      <w:r>
        <w:rPr/>
        <w:t>).</w:t>
      </w:r>
    </w:p>
    <w:p>
      <w:pPr>
        <w:pStyle w:val="Style24"/>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4.16</w:t>
      </w:r>
      <w:r>
        <w:rPr/>
        <w:fldChar w:fldCharType="end"/>
      </w:r>
      <w:r>
        <w:rPr/>
        <w:t>), осуществляется снижение</w:t>
      </w:r>
      <w:r>
        <w:rPr>
          <w:rStyle w:val="FootnoteReference"/>
        </w:rPr>
        <w:footnoteReference w:id="8"/>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(в том числе поставляемых при выполнении закупаемых работ, оказании закупаемых услуг)), при условии наличия допущенной заявки с иностранной продукцией (на поставку товара иностранного происхождения).</w:t>
      </w:r>
    </w:p>
    <w:p>
      <w:pPr>
        <w:pStyle w:val="Style24"/>
        <w:rPr/>
      </w:pPr>
      <w:bookmarkStart w:id="172" w:name="_Ref195007400"/>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_Ref132797154 \r \h </w:instrText>
      </w:r>
      <w:r>
        <w:rPr/>
        <w:fldChar w:fldCharType="separate"/>
      </w:r>
      <w:r>
        <w:rPr/>
        <w:t>4.13</w:t>
      </w:r>
      <w:r>
        <w:rPr/>
        <w:fldChar w:fldCharType="end"/>
      </w:r>
      <w:r>
        <w:rPr/>
        <w:t>).</w:t>
      </w:r>
      <w:bookmarkEnd w:id="172"/>
    </w:p>
    <w:p>
      <w:pPr>
        <w:pStyle w:val="Style24"/>
        <w:rPr/>
      </w:pPr>
      <w:r>
        <w:rPr/>
        <w:t>Состав и требования к сведениям и (или) 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_Ref207810730 \r \h </w:instrText>
      </w:r>
      <w:r>
        <w:rPr/>
        <w:fldChar w:fldCharType="separate"/>
      </w:r>
      <w:r>
        <w:rPr/>
        <w:t>Ошибка: источник перекрёстной ссылки не найден</w:t>
      </w:r>
      <w:r>
        <w:rPr/>
        <w:fldChar w:fldCharType="end"/>
      </w:r>
      <w:r>
        <w:rPr/>
        <w:t> – </w:t>
      </w:r>
      <w:r>
        <w:rPr/>
        <w:fldChar w:fldCharType="begin"/>
      </w:r>
      <w:r>
        <w:rPr/>
        <w:instrText xml:space="preserve"> REF _Ref207810742 \r \h </w:instrText>
      </w:r>
      <w:r>
        <w:rPr/>
        <w:fldChar w:fldCharType="separate"/>
      </w:r>
      <w:r>
        <w:rPr/>
        <w:t>Ошибка: источник перекрёстной ссылки не найден</w:t>
      </w:r>
      <w:r>
        <w:rPr/>
        <w:fldChar w:fldCharType="end"/>
      </w:r>
      <w:r>
        <w:rPr/>
        <w:t>), установлены в Структуре НМЦ (в составе Коммерческого предложения (форма 3) (</w:t>
      </w:r>
      <w:hyperlink w:anchor="Прил04_ФормыЗаявки">
        <w:r>
          <w:rPr>
            <w:rStyle w:val="Style11"/>
          </w:rPr>
          <w:t>Приложение № 4</w:t>
        </w:r>
      </w:hyperlink>
      <w:r>
        <w:rPr/>
        <w:t>), а также в Технических требованиях (</w:t>
      </w:r>
      <w:hyperlink w:anchor="Прил01_ТехТребования">
        <w:r>
          <w:rPr>
            <w:rStyle w:val="Style11"/>
          </w:rPr>
          <w:t>Приложение № 1</w:t>
        </w:r>
      </w:hyperlink>
      <w:r>
        <w:rPr/>
        <w:t>) при исполнении Заказчиком норм в части минимальной обязательной доли закупок товаров российского происхождения.</w:t>
      </w:r>
    </w:p>
    <w:p>
      <w:pPr>
        <w:pStyle w:val="Style24"/>
        <w:keepNext w:val="true"/>
        <w:rPr/>
      </w:pPr>
      <w:r>
        <w:rPr/>
        <w:t>Товар приравнивается к товарам, происходящим из иностранного государства (не являющегося государством – членом ЕАЭС), если:</w:t>
      </w:r>
    </w:p>
    <w:p>
      <w:pPr>
        <w:pStyle w:val="Style25"/>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25"/>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24"/>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24"/>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24"/>
        <w:rPr/>
      </w:pPr>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pPr>
        <w:pStyle w:val="Style24"/>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24"/>
        <w:rPr/>
      </w:pPr>
      <w:bookmarkStart w:id="173" w:name="_Hlk207817767"/>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bookmarkEnd w:id="173"/>
      <w:r>
        <w:rPr/>
        <w:t>.</w:t>
      </w:r>
    </w:p>
    <w:p>
      <w:pPr>
        <w:pStyle w:val="Style23"/>
        <w:rPr/>
      </w:pPr>
      <w:bookmarkStart w:id="174" w:name="_Toc228876869"/>
      <w:bookmarkStart w:id="175" w:name="_Ref125367242"/>
      <w:bookmarkStart w:id="176" w:name="_Ref125366091"/>
      <w:bookmarkStart w:id="177" w:name="_Ref125362658"/>
      <w:r>
        <w:rPr/>
        <w:t>Подведение итогов закупки (определение Победителя)</w:t>
      </w:r>
      <w:bookmarkEnd w:id="174"/>
      <w:bookmarkEnd w:id="175"/>
      <w:bookmarkEnd w:id="176"/>
      <w:bookmarkEnd w:id="177"/>
    </w:p>
    <w:p>
      <w:pPr>
        <w:pStyle w:val="Style24"/>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4"/>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4"/>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4"/>
        <w:keepNext w:val="true"/>
        <w:rPr/>
      </w:pPr>
      <w:bookmarkStart w:id="178"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9"/>
      </w:r>
      <w:r>
        <w:rPr/>
        <w:t>:</w:t>
      </w:r>
      <w:bookmarkEnd w:id="178"/>
    </w:p>
    <w:p>
      <w:pPr>
        <w:pStyle w:val="Style25"/>
        <w:rPr/>
      </w:pPr>
      <w:r>
        <w:rPr/>
        <w:t>дата подписания протокола;</w:t>
      </w:r>
    </w:p>
    <w:p>
      <w:pPr>
        <w:pStyle w:val="Style25"/>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5"/>
        <w:rPr/>
      </w:pPr>
      <w:r>
        <w:rPr/>
        <w:t>наименования Участников, заявки которых были допущены по результатам рассмотрения вторых частей заявок и ценовых предложений, и (или) их идентификационные номера, присваиваемые Оператором ЭП;</w:t>
      </w:r>
    </w:p>
    <w:p>
      <w:pPr>
        <w:pStyle w:val="Style25"/>
        <w:keepNext w:val="true"/>
        <w:rPr/>
      </w:pPr>
      <w:r>
        <w:rPr/>
        <w:t>результаты рассмотрения заявок с указанием (в том числе с учетом результатов рассмотрения дополнительных ценовых предложений – если проводилась переторжка), в том числе:</w:t>
      </w:r>
    </w:p>
    <w:p>
      <w:pPr>
        <w:pStyle w:val="Style26"/>
        <w:rPr/>
      </w:pPr>
      <w:r>
        <w:rPr/>
        <w:t>количества заявок, которые были отклонены (отдельно по результатам рассмотрения первых частей заявок / окончательных предложений, по результатам рассмотрения вторых частей заявок и ценовых предложений и по результатам рассмотрения дополнительных ценовых предложений – если проводилась переторжка);</w:t>
      </w:r>
    </w:p>
    <w:p>
      <w:pPr>
        <w:pStyle w:val="Style26"/>
        <w:rPr/>
      </w:pPr>
      <w:r>
        <w:rPr/>
        <w:t>оснований отклонения каждой заявки с указанием положений Документации о закупке, которым не соответствует такая заявка;</w:t>
      </w:r>
    </w:p>
    <w:p>
      <w:pPr>
        <w:pStyle w:val="Style25"/>
        <w:rPr/>
      </w:pPr>
      <w:r>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26"/>
        <w:rPr/>
      </w:pPr>
      <w:r>
        <w:rPr/>
        <w:t>количества заявок, которые были отклонены;</w:t>
      </w:r>
    </w:p>
    <w:p>
      <w:pPr>
        <w:pStyle w:val="Style26"/>
        <w:rPr/>
      </w:pPr>
      <w:r>
        <w:rPr/>
        <w:t>оснований отклонения каждой заявки с указанием положений Документации о закупке, которым не соответствует такая заявка;</w:t>
      </w:r>
    </w:p>
    <w:p>
      <w:pPr>
        <w:pStyle w:val="Style25"/>
        <w:rPr/>
      </w:pPr>
      <w:r>
        <w:rPr/>
        <w:t>результаты оценки и сопоставления заявок с указанием,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5"/>
        <w:rPr/>
      </w:pPr>
      <w:r>
        <w:rPr/>
        <w:t>порядковые номера каждой заявки (с указанием стоимостей заявок (цен Договоров), не отклоненной по результатам рассмотрения вторых частей заявок и ценовых предложений (рассмотрения дополнительных ценовых предложений – если проводилась переторжка), в том числе с учетом результатов актуализации статуса аккредитации и проведения переторжки (если указанная процедура проводились), в ранжировке заявок;</w:t>
      </w:r>
    </w:p>
    <w:p>
      <w:pPr>
        <w:pStyle w:val="Style25"/>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25"/>
        <w:rPr/>
      </w:pPr>
      <w:r>
        <w:rPr/>
        <w:t>причины, по которым закупка признана несостоявшейся (в случае ее признания таковой),</w:t>
      </w:r>
    </w:p>
    <w:p>
      <w:pPr>
        <w:pStyle w:val="Style28"/>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4"/>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4"/>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4"/>
        <w:rPr/>
      </w:pPr>
      <w:bookmarkStart w:id="179" w:name="_Hlk149314796"/>
      <w:r>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_Ref130394205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bookmarkEnd w:id="179"/>
    </w:p>
    <w:p>
      <w:pPr>
        <w:pStyle w:val="Style23"/>
        <w:rPr/>
      </w:pPr>
      <w:bookmarkStart w:id="180" w:name="_Toc228876870"/>
      <w:bookmarkStart w:id="181" w:name="_Ref125366796"/>
      <w:bookmarkStart w:id="182" w:name="_Ref125366631"/>
      <w:bookmarkStart w:id="183" w:name="_Ref125365570"/>
      <w:bookmarkStart w:id="184" w:name="_Ref125365305"/>
      <w:bookmarkStart w:id="185" w:name="_Ref125364187"/>
      <w:bookmarkStart w:id="186" w:name="_Ref125364149"/>
      <w:r>
        <w:rPr/>
        <w:t>Признание закупки несостоявшейся</w:t>
      </w:r>
      <w:bookmarkEnd w:id="180"/>
      <w:bookmarkEnd w:id="181"/>
      <w:bookmarkEnd w:id="182"/>
      <w:bookmarkEnd w:id="183"/>
      <w:bookmarkEnd w:id="184"/>
      <w:bookmarkEnd w:id="185"/>
      <w:bookmarkEnd w:id="186"/>
    </w:p>
    <w:p>
      <w:pPr>
        <w:pStyle w:val="Style24"/>
        <w:keepNext w:val="true"/>
        <w:rPr/>
      </w:pPr>
      <w:bookmarkStart w:id="187" w:name="_Ref214289498"/>
      <w:r>
        <w:rPr/>
        <w:t>Закупка признается несостоявшейся в следующих случаях:</w:t>
      </w:r>
      <w:bookmarkEnd w:id="187"/>
    </w:p>
    <w:p>
      <w:pPr>
        <w:pStyle w:val="Style25"/>
        <w:rPr/>
      </w:pPr>
      <w:r>
        <w:rPr/>
        <w:t>если по окончанию срока подачи заявок поступило менее 2 (двух) заявок (с учетом возможных отзывов заявок);</w:t>
      </w:r>
    </w:p>
    <w:p>
      <w:pPr>
        <w:pStyle w:val="Style25"/>
        <w:rPr/>
      </w:pPr>
      <w:r>
        <w:rPr/>
        <w:t>по результатам рассмотрения первых частей заявок / окончательных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5"/>
        <w:rPr/>
      </w:pPr>
      <w:r>
        <w:rPr/>
        <w:t>по результатам рассмотрения вторых частей заявок и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5"/>
        <w:rPr/>
      </w:pPr>
      <w:r>
        <w:rPr/>
        <w:t>по результатам рассмотрения дополнительных ценовых предложений – если проводилась процедура переторжки, Закупочной комиссией принято решение о признании менее 2 (двух) заявок соответствующими требованиям Документации о закупки;</w:t>
      </w:r>
    </w:p>
    <w:p>
      <w:pPr>
        <w:pStyle w:val="Style25"/>
        <w:rPr/>
      </w:pPr>
      <w:bookmarkStart w:id="188" w:name="_Hlk219297033"/>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5.3</w:t>
      </w:r>
      <w:r>
        <w:rPr/>
        <w:fldChar w:fldCharType="end"/>
      </w:r>
      <w:bookmarkEnd w:id="188"/>
      <w:r>
        <w:rPr/>
        <w:t>).</w:t>
      </w:r>
    </w:p>
    <w:p>
      <w:pPr>
        <w:pStyle w:val="Style24"/>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4"/>
        <w:keepNext w:val="true"/>
        <w:rPr/>
      </w:pPr>
      <w:r>
        <w:rPr/>
        <w:t>В случае признания закупки несостоявшейся (с учетом условий, предусмотренных Положением о закупке):</w:t>
      </w:r>
    </w:p>
    <w:p>
      <w:pPr>
        <w:pStyle w:val="Style25"/>
        <w:rPr/>
      </w:pPr>
      <w:r>
        <w:rPr/>
        <w:t xml:space="preserve">если поступила только 1 (одна) заявка от одного Участника (с учетом отозванных Участниками заявок), либо по результатам рассмотрения заявок (частей заявок, ценовых предложений, дополнительных ценовых предложений в соответствии с пунктом </w:t>
      </w:r>
      <w:r>
        <w:rPr/>
        <w:fldChar w:fldCharType="begin"/>
      </w:r>
      <w:r>
        <w:rPr/>
        <w:instrText xml:space="preserve"> REF _Ref214289498 \r \h </w:instrText>
      </w:r>
      <w:r>
        <w:rPr/>
        <w:fldChar w:fldCharType="separate"/>
      </w:r>
      <w:r>
        <w:rPr/>
        <w:t>4.19.1</w:t>
      </w:r>
      <w:r>
        <w:rPr/>
        <w:fldChar w:fldCharType="end"/>
      </w:r>
      <w:r>
        <w:rPr/>
        <w:t>)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35"/>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1"/>
        <w:numPr>
          <w:ilvl w:val="0"/>
          <w:numId w:val="19"/>
        </w:numPr>
        <w:tabs>
          <w:tab w:val="clear" w:pos="2552"/>
        </w:tabs>
        <w:ind w:left="2127" w:hanging="426"/>
        <w:rPr>
          <w:sz w:val="26"/>
          <w:szCs w:val="26"/>
        </w:rPr>
      </w:pPr>
      <w:r>
        <w:rPr>
          <w:sz w:val="26"/>
          <w:szCs w:val="26"/>
        </w:rPr>
        <w:t>повторное проведение закупки (в том числе с возможностью снятия признака закупки только среди субъектов МСП);</w:t>
      </w:r>
    </w:p>
    <w:p>
      <w:pPr>
        <w:pStyle w:val="-1"/>
        <w:numPr>
          <w:ilvl w:val="0"/>
          <w:numId w:val="19"/>
        </w:numPr>
        <w:tabs>
          <w:tab w:val="clear" w:pos="2552"/>
        </w:tabs>
        <w:ind w:left="1701" w:hanging="0"/>
        <w:rPr>
          <w:sz w:val="26"/>
          <w:szCs w:val="26"/>
        </w:rPr>
      </w:pPr>
      <w:r>
        <w:rPr>
          <w:sz w:val="26"/>
          <w:szCs w:val="26"/>
        </w:rPr>
        <w:t>отказ от заключения договора по следующим основаниям:</w:t>
      </w:r>
    </w:p>
    <w:p>
      <w:pPr>
        <w:pStyle w:val="-1"/>
        <w:numPr>
          <w:ilvl w:val="0"/>
          <w:numId w:val="20"/>
        </w:numPr>
        <w:tabs>
          <w:tab w:val="clear" w:pos="2552"/>
        </w:tabs>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20"/>
        </w:numPr>
        <w:tabs>
          <w:tab w:val="clear" w:pos="2552"/>
        </w:tabs>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1"/>
        <w:numPr>
          <w:ilvl w:val="0"/>
          <w:numId w:val="20"/>
        </w:numPr>
        <w:tabs>
          <w:tab w:val="clear" w:pos="2552"/>
        </w:tabs>
        <w:ind w:left="2410" w:hanging="283"/>
        <w:rPr>
          <w:sz w:val="26"/>
          <w:szCs w:val="26"/>
        </w:rPr>
      </w:pPr>
      <w:r>
        <w:rPr>
          <w:sz w:val="26"/>
          <w:szCs w:val="26"/>
        </w:rPr>
        <w:t>необходимость исполнения предписаний антимонопольного органа;</w:t>
      </w:r>
    </w:p>
    <w:p>
      <w:pPr>
        <w:pStyle w:val="-1"/>
        <w:numPr>
          <w:ilvl w:val="0"/>
          <w:numId w:val="19"/>
        </w:numPr>
        <w:tabs>
          <w:tab w:val="clear" w:pos="2552"/>
        </w:tabs>
        <w:ind w:left="2127" w:hanging="426"/>
        <w:rPr>
          <w:sz w:val="26"/>
          <w:szCs w:val="26"/>
        </w:rPr>
      </w:pPr>
      <w:bookmarkStart w:id="189"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189"/>
    </w:p>
    <w:p>
      <w:pPr>
        <w:pStyle w:val="Style25"/>
        <w:rPr/>
      </w:pPr>
      <w:r>
        <w:rPr/>
        <w:t xml:space="preserve">если не поступило ни одной заявки, либо по результатам рассмотрения заявок (частей заявок, ценовых предложений, дополнительных ценовых предложений в соответствии с пунктом </w:t>
      </w:r>
      <w:r>
        <w:rPr/>
        <w:fldChar w:fldCharType="begin"/>
      </w:r>
      <w:r>
        <w:rPr/>
        <w:instrText xml:space="preserve"> REF _Ref214289498 \r \h </w:instrText>
      </w:r>
      <w:r>
        <w:rPr/>
        <w:fldChar w:fldCharType="separate"/>
      </w:r>
      <w:r>
        <w:rPr/>
        <w:t>4.19.1</w:t>
      </w:r>
      <w:r>
        <w:rPr/>
        <w:fldChar w:fldCharType="end"/>
      </w:r>
      <w:r>
        <w:rPr/>
        <w:t xml:space="preserve">), принято решение о признании их не соответствующими требованиям Документации о закупке, </w:t>
      </w:r>
      <w:bookmarkStart w:id="190" w:name="_Hlk219301655"/>
      <w:bookmarkStart w:id="191" w:name="_Hlk219297054"/>
      <w:r>
        <w:rPr/>
        <w:t>либо по результатам проведения закупки от заключения договора уклонились все допущенные Участники</w:t>
      </w:r>
      <w:bookmarkEnd w:id="191"/>
      <w:r>
        <w:rPr/>
        <w:t xml:space="preserve"> </w:t>
      </w:r>
      <w:bookmarkEnd w:id="190"/>
      <w:r>
        <w:rPr/>
        <w:t>– Заказчик проводит повторную закупку (</w:t>
      </w:r>
      <w:r>
        <w:rPr>
          <w:szCs w:val="26"/>
        </w:rPr>
        <w:t>в том числе с возможностью снятия признака закупки только среди субъектов МСП</w:t>
      </w:r>
      <w:r>
        <w:rPr/>
        <w:t>).</w:t>
      </w:r>
    </w:p>
    <w:p>
      <w:pPr>
        <w:pStyle w:val="Style35"/>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1"/>
        <w:numPr>
          <w:ilvl w:val="0"/>
          <w:numId w:val="20"/>
        </w:numPr>
        <w:tabs>
          <w:tab w:val="clear" w:pos="2552"/>
        </w:tabs>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20"/>
        </w:numPr>
        <w:tabs>
          <w:tab w:val="clear" w:pos="2552"/>
        </w:tabs>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1"/>
        <w:numPr>
          <w:ilvl w:val="0"/>
          <w:numId w:val="20"/>
        </w:numPr>
        <w:tabs>
          <w:tab w:val="clear" w:pos="2552"/>
        </w:tabs>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23"/>
        <w:rPr/>
      </w:pPr>
      <w:bookmarkStart w:id="192" w:name="_Toc228876871"/>
      <w:bookmarkStart w:id="193" w:name="_Ref132816141"/>
      <w:bookmarkStart w:id="194" w:name="_Ref132816134"/>
      <w:bookmarkStart w:id="195" w:name="_Ref126141962"/>
      <w:r>
        <w:rPr/>
        <w:t>Отказ от проведения закупки</w:t>
      </w:r>
      <w:bookmarkEnd w:id="195"/>
      <w:r>
        <w:rPr/>
        <w:t xml:space="preserve"> (отмена закупки)</w:t>
      </w:r>
      <w:bookmarkEnd w:id="192"/>
      <w:bookmarkEnd w:id="193"/>
      <w:bookmarkEnd w:id="194"/>
    </w:p>
    <w:p>
      <w:pPr>
        <w:pStyle w:val="Style24"/>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4"/>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4"/>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3"/>
        <w:rPr/>
      </w:pPr>
      <w:bookmarkStart w:id="196" w:name="_Toc228876872"/>
      <w:bookmarkStart w:id="197" w:name="_Ref130455226"/>
      <w:r>
        <w:rPr/>
        <w:t>Особенности проведения закупки с необходимостью обеспечения заявки</w:t>
      </w:r>
      <w:bookmarkEnd w:id="196"/>
      <w:bookmarkEnd w:id="197"/>
    </w:p>
    <w:p>
      <w:pPr>
        <w:pStyle w:val="Style24"/>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4"/>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4"/>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4"/>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0"/>
      </w:r>
      <w:r>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24"/>
        <w:rPr/>
      </w:pPr>
      <w:r>
        <w:rPr/>
        <w:t>В течение 1 (одного) часа с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24"/>
        <w:rPr/>
      </w:pPr>
      <w:r>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24"/>
        <w:rPr/>
      </w:pPr>
      <w:r>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24"/>
        <w:keepNext w:val="true"/>
        <w:rPr/>
      </w:pPr>
      <w:r>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25"/>
        <w:rPr/>
      </w:pPr>
      <w:r>
        <w:rPr/>
        <w:t>независимая гарантия должна быть безотзывной и безусловной (гарантия по первому требованию);</w:t>
      </w:r>
    </w:p>
    <w:p>
      <w:pPr>
        <w:pStyle w:val="Style25"/>
        <w:rPr/>
      </w:pPr>
      <w:r>
        <w:rPr/>
        <w:t>сумма независимой гарантии должна быть выражена в российских рублях и составлять не менее суммы,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5"/>
        <w:rPr/>
      </w:pPr>
      <w:r>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fldChar w:fldCharType="begin"/>
      </w:r>
      <w:r>
        <w:rPr/>
        <w:instrText xml:space="preserve"> REF _Ref132716380 \w \h </w:instrText>
      </w:r>
      <w:r>
        <w:rPr/>
        <w:fldChar w:fldCharType="separate"/>
      </w:r>
      <w:r>
        <w:rPr/>
        <w:t>4.21.8л)</w:t>
      </w:r>
      <w:r>
        <w:rPr/>
        <w:fldChar w:fldCharType="end"/>
      </w:r>
      <w:r>
        <w:rPr/>
        <w:t>);</w:t>
      </w:r>
    </w:p>
    <w:p>
      <w:pPr>
        <w:pStyle w:val="Style25"/>
        <w:rPr/>
      </w:pPr>
      <w:r>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25"/>
        <w:rPr/>
      </w:pPr>
      <w:r>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25"/>
        <w:rPr/>
      </w:pPr>
      <w:r>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5"/>
        <w:rPr/>
      </w:pPr>
      <w:r>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25"/>
        <w:rPr/>
      </w:pPr>
      <w:r>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fldChar w:fldCharType="begin"/>
      </w:r>
      <w:r>
        <w:rPr/>
        <w:instrText xml:space="preserve"> REF _Ref132716182 \r \h </w:instrText>
      </w:r>
      <w:r>
        <w:rPr/>
        <w:fldChar w:fldCharType="separate"/>
      </w:r>
      <w:r>
        <w:rPr/>
        <w:t>4.21.14</w:t>
      </w:r>
      <w:r>
        <w:rPr/>
        <w:fldChar w:fldCharType="end"/>
      </w:r>
      <w:r>
        <w:rPr/>
        <w:t>);</w:t>
      </w:r>
    </w:p>
    <w:p>
      <w:pPr>
        <w:pStyle w:val="Style25"/>
        <w:rPr/>
      </w:pPr>
      <w:r>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25"/>
        <w:rPr/>
      </w:pPr>
      <w:r>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25"/>
        <w:rPr/>
      </w:pPr>
      <w:bookmarkStart w:id="198" w:name="_Ref132716380"/>
      <w:r>
        <w:rPr/>
        <w:t>независимая гарантия должна быть выдана организацией из числа указанных в части 1 статьи 45 Закона 44-ФЗ;</w:t>
      </w:r>
      <w:bookmarkEnd w:id="198"/>
    </w:p>
    <w:p>
      <w:pPr>
        <w:pStyle w:val="Style25"/>
        <w:rPr/>
      </w:pPr>
      <w:r>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25"/>
        <w:rPr/>
      </w:pPr>
      <w:r>
        <w:rPr/>
        <w:t>информация о независимой гарантии должна быть включена в реестр независимых гарантий, предусмотренный частью 8 статьи </w:t>
      </w:r>
      <w:r>
        <w:rPr>
          <w:lang w:val="en-US"/>
        </w:rPr>
        <w:t>4</w:t>
      </w:r>
      <w:r>
        <w:rPr/>
        <w:t>5 Закона 44</w:t>
        <w:noBreakHyphen/>
        <w:t>ФЗ.</w:t>
      </w:r>
    </w:p>
    <w:p>
      <w:pPr>
        <w:pStyle w:val="Style24"/>
        <w:rPr/>
      </w:pPr>
      <w:r>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4"/>
        <w:rPr/>
      </w:pPr>
      <w:r>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24"/>
        <w:rPr/>
      </w:pPr>
      <w:r>
        <w:rPr/>
        <w:t>При многолотовой закупке (подраздел </w:t>
      </w:r>
      <w:r>
        <w:rPr/>
        <w:fldChar w:fldCharType="begin"/>
      </w:r>
      <w:r>
        <w:rPr/>
        <w:instrText xml:space="preserve"> REF _Ref149317133 \n \h </w:instrText>
      </w:r>
      <w:r>
        <w:rPr/>
        <w:fldChar w:fldCharType="separate"/>
      </w:r>
      <w:r>
        <w:rPr/>
        <w:t>4.22</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4"/>
        <w:rPr/>
      </w:pPr>
      <w:r>
        <w:rPr/>
        <w:t>Подать заявку (принять участие в закупке) могут только Участники, предоставившие надлежащее обеспечение их заявок.</w:t>
      </w:r>
    </w:p>
    <w:p>
      <w:pPr>
        <w:pStyle w:val="Style24"/>
        <w:rPr/>
      </w:pPr>
      <w:r>
        <w:rPr/>
        <w:t>Требование об обеспечении заявки в равной мере распространяется на всех Участников.</w:t>
      </w:r>
    </w:p>
    <w:p>
      <w:pPr>
        <w:pStyle w:val="Style24"/>
        <w:keepNext w:val="true"/>
        <w:rPr/>
      </w:pPr>
      <w:bookmarkStart w:id="199" w:name="_Ref132716182"/>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99"/>
    </w:p>
    <w:p>
      <w:pPr>
        <w:pStyle w:val="Style25"/>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1"/>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_Ref138341423 \r \h </w:instrText>
      </w:r>
      <w:r>
        <w:rPr/>
        <w:fldChar w:fldCharType="separate"/>
      </w:r>
      <w:r>
        <w:rPr/>
        <w:t>5.2</w:t>
      </w:r>
      <w:r>
        <w:rPr/>
        <w:fldChar w:fldCharType="end"/>
      </w:r>
      <w:r>
        <w:rPr/>
        <w:t>;</w:t>
      </w:r>
    </w:p>
    <w:p>
      <w:pPr>
        <w:pStyle w:val="Style25"/>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1"/>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1"/>
          </w:rPr>
          <w:t>Проектом договора</w:t>
        </w:r>
      </w:hyperlink>
      <w:r>
        <w:rPr/>
        <w:t>).</w:t>
      </w:r>
    </w:p>
    <w:p>
      <w:pPr>
        <w:pStyle w:val="Style24"/>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fldChar w:fldCharType="begin"/>
      </w:r>
      <w:r>
        <w:rPr/>
        <w:instrText xml:space="preserve"> REF _Ref125359973 \r \h </w:instrText>
      </w:r>
      <w:r>
        <w:rPr/>
        <w:fldChar w:fldCharType="separate"/>
      </w:r>
      <w:r>
        <w:rPr/>
        <w:t>1.2</w:t>
      </w:r>
      <w:r>
        <w:rPr/>
        <w:fldChar w:fldCharType="end"/>
      </w:r>
      <w:r>
        <w:rPr/>
        <w:t>).</w:t>
      </w:r>
    </w:p>
    <w:p>
      <w:pPr>
        <w:pStyle w:val="Style24"/>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5"/>
        <w:rPr/>
      </w:pPr>
      <w:r>
        <w:rPr/>
        <w:t>принятия решения об отказе от проведения закупки – всем Участникам, подавшим заявки к моменту принятия такого решения;</w:t>
      </w:r>
    </w:p>
    <w:p>
      <w:pPr>
        <w:pStyle w:val="Style25"/>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5"/>
        <w:rPr/>
      </w:pPr>
      <w:r>
        <w:rPr/>
        <w:t>официального размещения итогового протокола по результатам закупки – всем Участникам, кроме Победителя;</w:t>
      </w:r>
    </w:p>
    <w:p>
      <w:pPr>
        <w:pStyle w:val="Style25"/>
        <w:rPr/>
      </w:pPr>
      <w:r>
        <w:rPr/>
        <w:t>заключения Договора по результатам закупки – Победителю, с которым заключен Договор;</w:t>
      </w:r>
    </w:p>
    <w:p>
      <w:pPr>
        <w:pStyle w:val="Style25"/>
        <w:rPr/>
      </w:pPr>
      <w:r>
        <w:rPr/>
        <w:t>признания закупки несостоявшейся – Участнику, которому обеспечение не было возвращено по иным основаниям.</w:t>
      </w:r>
    </w:p>
    <w:p>
      <w:pPr>
        <w:pStyle w:val="Style24"/>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w:t>
      </w:r>
    </w:p>
    <w:p>
      <w:pPr>
        <w:pStyle w:val="Style23"/>
        <w:rPr/>
      </w:pPr>
      <w:bookmarkStart w:id="200" w:name="_Ref130225422"/>
      <w:bookmarkStart w:id="201" w:name="_Toc228876873"/>
      <w:bookmarkStart w:id="202" w:name="_Ref149317133"/>
      <w:r>
        <w:rPr/>
        <w:t>Особенности проведения многолотовой закупки</w:t>
      </w:r>
      <w:bookmarkEnd w:id="200"/>
      <w:bookmarkEnd w:id="201"/>
      <w:bookmarkEnd w:id="202"/>
    </w:p>
    <w:p>
      <w:pPr>
        <w:pStyle w:val="Style24"/>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4"/>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4"/>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4"/>
        <w:rPr/>
      </w:pPr>
      <w:r>
        <w:rPr/>
        <w:t>Участник может подать одну заявку / одно окончательное предложение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 одному окончательному предложению на каждый лот, не считается подачей второй заявки / окончательного предложения на закупку.</w:t>
      </w:r>
    </w:p>
    <w:p>
      <w:pPr>
        <w:pStyle w:val="Style24"/>
        <w:keepNext w:val="true"/>
        <w:rPr/>
      </w:pPr>
      <w:r>
        <w:rPr/>
        <w:t>В случае подачи заявки / окончательного предложения на несколько лотов дополнительно должны быть соблюдены следующие требования:</w:t>
      </w:r>
    </w:p>
    <w:p>
      <w:pPr>
        <w:pStyle w:val="Style25"/>
        <w:rPr/>
      </w:pPr>
      <w:r>
        <w:rPr/>
        <w:t>Письмо о подаче оферты (форма 2) (</w:t>
      </w:r>
      <w:hyperlink w:anchor="Прил04_ФормыЗаявки">
        <w:r>
          <w:rPr>
            <w:rStyle w:val="Style11"/>
          </w:rPr>
          <w:t>Приложение № 4</w:t>
        </w:r>
      </w:hyperlink>
      <w:r>
        <w:rPr/>
        <w:t>) должно содержать указание номера и названия каждого лота;</w:t>
      </w:r>
    </w:p>
    <w:p>
      <w:pPr>
        <w:pStyle w:val="Style25"/>
        <w:rPr/>
      </w:pPr>
      <w:r>
        <w:rPr/>
        <w:t xml:space="preserve">Коммерческое предложение (форма 3), Техническое предложение (форма 4), План распределения объемов поставки продукции (форма 4) – </w:t>
      </w:r>
      <w:hyperlink w:anchor="Прил04_ФормыЗаявки">
        <w:r>
          <w:rPr>
            <w:rStyle w:val="Style11"/>
          </w:rPr>
          <w:t>Приложение № 4</w:t>
        </w:r>
      </w:hyperlink>
      <w:r>
        <w:rPr/>
        <w:t>, должны быть подготовлены отдельно по каждому из лотов с указанием номера и названия лота.</w:t>
      </w:r>
    </w:p>
    <w:p>
      <w:pPr>
        <w:pStyle w:val="Style24"/>
        <w:rPr/>
      </w:pPr>
      <w:r>
        <w:rPr/>
        <w:t>Решения, принимаемые в ходе процедуры закупки, в том числе решения в рамках рассмотрения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22"/>
        <w:rPr/>
      </w:pPr>
      <w:bookmarkStart w:id="203" w:name="_Ref125367087"/>
      <w:bookmarkStart w:id="204" w:name="_Ref125367083"/>
      <w:bookmarkStart w:id="205" w:name="_Ref125366769"/>
      <w:bookmarkStart w:id="206" w:name="_Ref125363439"/>
      <w:bookmarkStart w:id="207" w:name="_Ref125362671"/>
      <w:bookmarkStart w:id="208" w:name="_Ref125361212"/>
      <w:bookmarkStart w:id="209" w:name="_Toc228876875"/>
      <w:bookmarkStart w:id="210" w:name="_Ref130224037"/>
      <w:bookmarkStart w:id="211" w:name="_Ref126142429"/>
      <w:r>
        <w:rPr/>
        <w:t>Порядок заключения Договора</w:t>
      </w:r>
      <w:bookmarkEnd w:id="203"/>
      <w:bookmarkEnd w:id="204"/>
      <w:bookmarkEnd w:id="205"/>
      <w:bookmarkEnd w:id="206"/>
      <w:bookmarkEnd w:id="207"/>
      <w:bookmarkEnd w:id="208"/>
      <w:bookmarkEnd w:id="209"/>
      <w:bookmarkEnd w:id="210"/>
      <w:bookmarkEnd w:id="211"/>
    </w:p>
    <w:p>
      <w:pPr>
        <w:pStyle w:val="Style23"/>
        <w:rPr/>
      </w:pPr>
      <w:bookmarkStart w:id="212" w:name="_Toc228876876"/>
      <w:r>
        <w:rPr/>
        <w:t>Общие положения</w:t>
      </w:r>
      <w:bookmarkEnd w:id="212"/>
    </w:p>
    <w:p>
      <w:pPr>
        <w:pStyle w:val="Style24"/>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3"/>
        <w:rPr/>
      </w:pPr>
      <w:bookmarkStart w:id="213" w:name="_Ref125368755"/>
      <w:bookmarkStart w:id="214" w:name="_Ref125366947"/>
      <w:bookmarkStart w:id="215" w:name="_Toc228876877"/>
      <w:bookmarkStart w:id="216" w:name="_Ref138341423"/>
      <w:r>
        <w:rPr/>
        <w:t>Заключение Договора</w:t>
      </w:r>
      <w:bookmarkEnd w:id="213"/>
      <w:bookmarkEnd w:id="214"/>
      <w:bookmarkEnd w:id="215"/>
      <w:bookmarkEnd w:id="216"/>
    </w:p>
    <w:p>
      <w:pPr>
        <w:pStyle w:val="Style24"/>
        <w:rPr/>
      </w:pPr>
      <w:bookmarkStart w:id="217" w:name="_Ref130293821"/>
      <w:bookmarkStart w:id="218" w:name="_Ref125362935"/>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17"/>
      <w:bookmarkEnd w:id="218"/>
    </w:p>
    <w:p>
      <w:pPr>
        <w:pStyle w:val="Style24"/>
        <w:rPr/>
      </w:pPr>
      <w:r>
        <w:rPr/>
        <w:t>Договор не может быть заключен, если это запрещено законодательством о национальном режиме .</w:t>
      </w:r>
    </w:p>
    <w:p>
      <w:pPr>
        <w:pStyle w:val="Style24"/>
        <w:rPr/>
      </w:pPr>
      <w:bookmarkStart w:id="219" w:name="_Ref125363464"/>
      <w:bookmarkStart w:id="220" w:name="_Hlk207818000"/>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24"/>
        <w:rPr/>
      </w:pPr>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Style11"/>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p>
    <w:p>
      <w:pPr>
        <w:pStyle w:val="Style25"/>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p>
      <w:pPr>
        <w:pStyle w:val="Style25"/>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r>
          <w:rPr>
            <w:rStyle w:val="Style11"/>
          </w:rPr>
          <w:t>Приложения № 4</w:t>
        </w:r>
      </w:hyperlink>
      <w:r>
        <w:rPr/>
        <w:t>)) адрес электронной почты ответственного лица)</w:t>
      </w:r>
      <w:bookmarkEnd w:id="220"/>
      <w:r>
        <w:rPr/>
        <w:t>.</w:t>
      </w:r>
      <w:bookmarkEnd w:id="219"/>
    </w:p>
    <w:p>
      <w:pPr>
        <w:pStyle w:val="Style24"/>
        <w:rPr/>
      </w:pPr>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w:t>
      </w:r>
      <w:bookmarkStart w:id="221" w:name="_Hlk207818034"/>
      <w:r>
        <w:rPr/>
        <w:t>Portable Document Format (</w:t>
      </w:r>
      <w:r>
        <w:rPr>
          <w:lang w:val="en-US"/>
        </w:rPr>
        <w:t>pdf</w:t>
      </w:r>
      <w:r>
        <w:rPr/>
        <w:t>)</w:t>
      </w:r>
      <w:bookmarkEnd w:id="221"/>
      <w:r>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4"/>
        <w:keepNext w:val="true"/>
        <w:rPr/>
      </w:pPr>
      <w:bookmarkStart w:id="222"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1"/>
          </w:rPr>
          <w:t>Приложение № 3</w:t>
        </w:r>
      </w:hyperlink>
      <w:r>
        <w:rPr/>
        <w:t>), следующие документы (скан-копии в формате Portable Document Format (</w:t>
      </w:r>
      <w:r>
        <w:rPr>
          <w:lang w:val="en-US"/>
        </w:rPr>
        <w:t>pdf</w:t>
      </w:r>
      <w:r>
        <w:rPr/>
        <w:t>)):</w:t>
      </w:r>
      <w:bookmarkEnd w:id="222"/>
    </w:p>
    <w:p>
      <w:pPr>
        <w:pStyle w:val="Style25"/>
        <w:keepNext w:val="true"/>
        <w:rPr/>
      </w:pPr>
      <w:r>
        <w:rPr/>
        <w:t>для юридического лица:</w:t>
      </w:r>
    </w:p>
    <w:p>
      <w:pPr>
        <w:pStyle w:val="Style26"/>
        <w:rPr/>
      </w:pPr>
      <w:r>
        <w:rPr/>
        <w:t>копия устава в действующей редакции с отметкой ИФНС либо копия нотариально заверенного устава (с отметкой нотариуса);</w:t>
      </w:r>
    </w:p>
    <w:p>
      <w:pPr>
        <w:pStyle w:val="Style26"/>
        <w:rPr/>
      </w:pPr>
      <w:bookmarkStart w:id="223"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23"/>
    </w:p>
    <w:p>
      <w:pPr>
        <w:pStyle w:val="Style26"/>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5"/>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5"/>
        <w:rPr/>
      </w:pPr>
      <w:r>
        <w:rPr/>
        <w:t>для физического лица: нотариально заверенная копия всех страниц документа, удостоверяющего личность (паспорта)</w:t>
      </w:r>
      <w:bookmarkStart w:id="224" w:name="_Ref125361554"/>
      <w:r>
        <w:rPr/>
        <w:t>.</w:t>
      </w:r>
      <w:bookmarkEnd w:id="224"/>
    </w:p>
    <w:p>
      <w:pPr>
        <w:pStyle w:val="Style24"/>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4"/>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4"/>
        <w:keepNext w:val="true"/>
        <w:rPr/>
      </w:pPr>
      <w:bookmarkStart w:id="225"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25"/>
    </w:p>
    <w:p>
      <w:pPr>
        <w:pStyle w:val="Style25"/>
        <w:rPr/>
      </w:pPr>
      <w:r>
        <w:rPr/>
        <w:t>итоговый протокол по результатам закупки;</w:t>
      </w:r>
    </w:p>
    <w:p>
      <w:pPr>
        <w:pStyle w:val="Style25"/>
        <w:rPr/>
      </w:pPr>
      <w:r>
        <w:rPr/>
        <w:t>Извещение и Документация о закупке со всеми изменениями;</w:t>
      </w:r>
    </w:p>
    <w:p>
      <w:pPr>
        <w:pStyle w:val="Style25"/>
        <w:rPr/>
      </w:pPr>
      <w:r>
        <w:rPr/>
        <w:t>заявка Победителя со всеми дополнениями и разъяснениями.</w:t>
      </w:r>
    </w:p>
    <w:p>
      <w:pPr>
        <w:pStyle w:val="Style24"/>
        <w:rPr/>
      </w:pPr>
      <w:r>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24"/>
        <w:rPr/>
      </w:pPr>
      <w:r>
        <w:rPr/>
        <w:t>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24"/>
        <w:rPr/>
      </w:pPr>
      <w:bookmarkStart w:id="226" w:name="_Ref49437111"/>
      <w:r>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226"/>
    </w:p>
    <w:p>
      <w:pPr>
        <w:pStyle w:val="Style24"/>
        <w:rPr/>
      </w:pPr>
      <w:bookmarkStart w:id="227" w:name="_Ref125368506"/>
      <w:r>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228" w:name="_Hlk132806825"/>
      <w:r>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228"/>
      <w:r>
        <w:rPr/>
        <w:t>.</w:t>
      </w:r>
      <w:bookmarkEnd w:id="227"/>
    </w:p>
    <w:p>
      <w:pPr>
        <w:pStyle w:val="Style24"/>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3"/>
        <w:rPr/>
      </w:pPr>
      <w:bookmarkStart w:id="229" w:name="_Toc228876878"/>
      <w:bookmarkStart w:id="230" w:name="_Ref125367068"/>
      <w:r>
        <w:rPr/>
        <w:t>Уклонение Победителя от заключения Договора</w:t>
      </w:r>
      <w:bookmarkEnd w:id="229"/>
      <w:bookmarkEnd w:id="230"/>
    </w:p>
    <w:p>
      <w:pPr>
        <w:pStyle w:val="Style24"/>
        <w:keepNext w:val="true"/>
        <w:rPr/>
      </w:pPr>
      <w:r>
        <w:rPr/>
        <w:t>Если Победитель закупки:</w:t>
      </w:r>
    </w:p>
    <w:p>
      <w:pPr>
        <w:pStyle w:val="Style25"/>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5"/>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5"/>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1"/>
          </w:rPr>
          <w:t>Приложение № 5</w:t>
        </w:r>
      </w:hyperlink>
      <w:r>
        <w:rPr/>
        <w:t>), с приложением подтверждающих документов;</w:t>
      </w:r>
    </w:p>
    <w:p>
      <w:pPr>
        <w:pStyle w:val="Style25"/>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5"/>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1"/>
          </w:rPr>
          <w:t>Приложения № 1 – Технические требования</w:t>
        </w:r>
      </w:hyperlink>
      <w:r>
        <w:rPr/>
        <w:t xml:space="preserve"> (в случае установления таковых);</w:t>
      </w:r>
    </w:p>
    <w:p>
      <w:pPr>
        <w:pStyle w:val="Style25"/>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5"/>
        <w:rPr/>
      </w:pPr>
      <w:r>
        <w:rPr/>
        <w:t>не выполнит другие условия, прямо предусмотренные Документацией о закупке,</w:t>
      </w:r>
    </w:p>
    <w:p>
      <w:pPr>
        <w:pStyle w:val="Style28"/>
        <w:ind w:left="1134" w:hanging="0"/>
        <w:rPr/>
      </w:pPr>
      <w:r>
        <w:rPr/>
        <w:t>то он (по истечению установленных в подразделе </w:t>
      </w:r>
      <w:r>
        <w:rPr/>
        <w:fldChar w:fldCharType="begin"/>
      </w:r>
      <w:r>
        <w:rPr/>
        <w:instrText xml:space="preserve"> REF _Ref138341423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2"/>
        <w:rPr/>
      </w:pPr>
      <w:bookmarkStart w:id="231" w:name="_Toc228876879"/>
      <w:bookmarkStart w:id="232" w:name="Прил01_ТехТребования"/>
      <w:bookmarkStart w:id="233" w:name="_Ref125370843"/>
      <w:bookmarkStart w:id="234" w:name="_Ref125370750"/>
      <w:bookmarkStart w:id="235" w:name="_Ref125370746"/>
      <w:bookmarkStart w:id="236" w:name="_Ref125370741"/>
      <w:bookmarkStart w:id="237" w:name="_Ref125370732"/>
      <w:bookmarkStart w:id="238" w:name="_Ref125364201"/>
      <w:bookmarkStart w:id="239" w:name="_Ref125364088"/>
      <w:bookmarkStart w:id="240" w:name="_Ref125363752"/>
      <w:bookmarkStart w:id="241" w:name="_Ref125363600"/>
      <w:bookmarkStart w:id="242" w:name="_Ref125363034"/>
      <w:bookmarkStart w:id="243" w:name="_Ref125363023"/>
      <w:bookmarkStart w:id="244" w:name="_Ref125363016"/>
      <w:r>
        <w:rPr/>
        <w:t>Приложение № 1 – Технические требования</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Style23"/>
        <w:rPr/>
      </w:pPr>
      <w:bookmarkStart w:id="245" w:name="_Toc228876880"/>
      <w:r>
        <w:rPr/>
        <w:t>Пояснения к Техническим требованиям</w:t>
      </w:r>
      <w:bookmarkEnd w:id="245"/>
    </w:p>
    <w:p>
      <w:pPr>
        <w:pStyle w:val="Style24"/>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2"/>
        <w:rPr/>
      </w:pPr>
      <w:bookmarkStart w:id="246" w:name="_Toc228876881"/>
      <w:bookmarkStart w:id="247" w:name="Прил02_ПроектДоговора"/>
      <w:bookmarkStart w:id="248" w:name="_Ref125370754"/>
      <w:bookmarkStart w:id="249" w:name="_Ref125364206"/>
      <w:bookmarkStart w:id="250" w:name="_Ref125364081"/>
      <w:bookmarkStart w:id="251" w:name="_Ref125363759"/>
      <w:bookmarkStart w:id="252" w:name="_Ref125363605"/>
      <w:bookmarkStart w:id="253" w:name="_Ref125363040"/>
      <w:bookmarkStart w:id="254" w:name="_Ref125361746"/>
      <w:r>
        <w:rPr/>
        <w:t>Приложение № 2 – Проект договора</w:t>
      </w:r>
      <w:bookmarkEnd w:id="246"/>
      <w:bookmarkEnd w:id="247"/>
      <w:bookmarkEnd w:id="248"/>
      <w:bookmarkEnd w:id="249"/>
      <w:bookmarkEnd w:id="250"/>
      <w:bookmarkEnd w:id="251"/>
      <w:bookmarkEnd w:id="252"/>
      <w:bookmarkEnd w:id="253"/>
      <w:bookmarkEnd w:id="254"/>
    </w:p>
    <w:p>
      <w:pPr>
        <w:pStyle w:val="Style23"/>
        <w:rPr/>
      </w:pPr>
      <w:bookmarkStart w:id="255" w:name="_Toc228876882"/>
      <w:r>
        <w:rPr/>
        <w:t>Пояснения к Проекту договора</w:t>
      </w:r>
      <w:bookmarkEnd w:id="255"/>
    </w:p>
    <w:p>
      <w:pPr>
        <w:pStyle w:val="Style24"/>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4"/>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_Ref132876309 \r \h </w:instrText>
      </w:r>
      <w:r>
        <w:rPr/>
        <w:fldChar w:fldCharType="separate"/>
      </w:r>
      <w:r>
        <w:rPr/>
        <w:t>1.2</w:t>
      </w:r>
      <w:r>
        <w:rPr/>
        <w:fldChar w:fldCharType="end"/>
      </w:r>
      <w:r>
        <w:rPr/>
        <w:t xml:space="preserve"> как «Некритичные пункты Проекта договора».</w:t>
      </w:r>
    </w:p>
    <w:p>
      <w:pPr>
        <w:pStyle w:val="Style24"/>
        <w:rPr/>
      </w:pPr>
      <w:r>
        <w:rPr/>
        <w:t>В соответствии с пунктом </w:t>
      </w:r>
      <w:r>
        <w:rPr/>
        <w:fldChar w:fldCharType="begin"/>
      </w:r>
      <w:r>
        <w:rPr/>
        <w:instrText xml:space="preserve"> REF _Ref49437111 \r \h </w:instrText>
      </w:r>
      <w:r>
        <w:rPr/>
        <w:fldChar w:fldCharType="separate"/>
      </w:r>
      <w:r>
        <w:rPr/>
        <w:t>5.2.12</w:t>
      </w:r>
      <w:r>
        <w:rPr/>
        <w:fldChar w:fldCharType="end"/>
      </w:r>
      <w:r>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4"/>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56" w:name="_MON_1736255517"/>
      <w:bookmarkEnd w:id="256"/>
    </w:p>
    <w:p>
      <w:pPr>
        <w:sectPr>
          <w:headerReference w:type="default" r:id="rId14"/>
          <w:headerReference w:type="first" r:id="rId15"/>
          <w:footerReference w:type="default" r:id="rId16"/>
          <w:footerReference w:type="first" r:id="rId1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8"/>
        <w:jc w:val="center"/>
        <w:rPr/>
      </w:pPr>
      <w:r>
        <w:rPr/>
        <w:object>
          <v:shapetype id="_x0000_tole_rId12" coordsize="21600,21600" o:spt="ole_rId1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2" type="_x0000_tole_rId12" style="width:78.05pt;height:47.8pt;mso-wrap-distance-right:0pt" filled="f" o:ole="">
            <v:imagedata r:id="rId13" o:title=""/>
          </v:shape>
          <o:OLEObject Type="Embed" ProgID="Word.Document.12" ShapeID="ole_rId12" DrawAspect="Icon" ObjectID="_2002730549" r:id="rId12"/>
        </w:object>
      </w:r>
    </w:p>
    <w:p>
      <w:pPr>
        <w:pStyle w:val="Style22"/>
        <w:rPr/>
      </w:pPr>
      <w:bookmarkStart w:id="257" w:name="_Toc228876883"/>
      <w:bookmarkStart w:id="258" w:name="Прил03_ТребованияУчастникам"/>
      <w:bookmarkStart w:id="259" w:name="_Ref125370013"/>
      <w:bookmarkStart w:id="260" w:name="_Ref125365476"/>
      <w:bookmarkStart w:id="261" w:name="_Ref125361908"/>
      <w:bookmarkStart w:id="262" w:name="_Ref125361494"/>
      <w:r>
        <w:rPr/>
        <w:t>Приложение № 3 – Требования к Участникам</w:t>
      </w:r>
      <w:bookmarkEnd w:id="257"/>
      <w:bookmarkEnd w:id="258"/>
      <w:bookmarkEnd w:id="259"/>
      <w:bookmarkEnd w:id="260"/>
      <w:bookmarkEnd w:id="261"/>
      <w:bookmarkEnd w:id="262"/>
    </w:p>
    <w:p>
      <w:pPr>
        <w:pStyle w:val="Style23"/>
        <w:rPr/>
      </w:pPr>
      <w:bookmarkStart w:id="263" w:name="_Toc228876884"/>
      <w:r>
        <w:rPr/>
        <w:t>Пояснения к требованиям к Участникам</w:t>
      </w:r>
      <w:bookmarkEnd w:id="263"/>
    </w:p>
    <w:p>
      <w:pPr>
        <w:pStyle w:val="Style24"/>
        <w:rPr/>
      </w:pPr>
      <w:bookmarkStart w:id="264" w:name="_Hlk125628168"/>
      <w:r>
        <w:rPr/>
        <w:t>Чтобы претендовать на победу в закупке и получение права заключить Договор с Заказчиком, Участник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64"/>
    </w:p>
    <w:p>
      <w:pPr>
        <w:pStyle w:val="Style23"/>
        <w:spacing w:before="360" w:after="120"/>
        <w:rPr/>
      </w:pPr>
      <w:bookmarkStart w:id="265" w:name="_Toc228876885"/>
      <w:bookmarkStart w:id="266" w:name="_Ref125370071"/>
      <w:bookmarkStart w:id="267" w:name="_Ref125370064"/>
      <w:bookmarkStart w:id="268" w:name="_Ref125370058"/>
      <w:bookmarkStart w:id="269" w:name="_Ref125369088"/>
      <w:bookmarkStart w:id="270" w:name="_Ref125368895"/>
      <w:bookmarkStart w:id="271" w:name="_Ref125368812"/>
      <w:bookmarkStart w:id="272" w:name="_Ref125366879"/>
      <w:bookmarkStart w:id="273" w:name="_Ref125361926"/>
      <w:bookmarkStart w:id="274" w:name="_Ref125361846"/>
      <w:bookmarkStart w:id="275" w:name="_Ref125361832"/>
      <w:bookmarkStart w:id="276" w:name="_Ref125361617"/>
      <w:bookmarkStart w:id="277" w:name="_Ref125361590"/>
      <w:bookmarkStart w:id="278" w:name="_Ref125361435"/>
      <w:r>
        <w:rPr/>
        <w:t>Обязательные требования</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8"/>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79" w:name="_Ref125552433"/>
            <w:bookmarkStart w:id="280" w:name="_Ref125552433"/>
            <w:bookmarkEnd w:id="280"/>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8"/>
              <w:widowControl w:val="false"/>
              <w:numPr>
                <w:ilvl w:val="0"/>
                <w:numId w:val="16"/>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28"/>
              <w:widowControl w:val="false"/>
              <w:numPr>
                <w:ilvl w:val="0"/>
                <w:numId w:val="17"/>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(*.pdf)) оригинала соответствующей доверенности либо ее нотариально заверенной копии (с указанием правомочий на подписание заявки);</w:t>
            </w:r>
          </w:p>
          <w:p>
            <w:pPr>
              <w:pStyle w:val="Style28"/>
              <w:widowControl w:val="false"/>
              <w:numPr>
                <w:ilvl w:val="0"/>
                <w:numId w:val="16"/>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28"/>
              <w:widowControl w:val="false"/>
              <w:numPr>
                <w:ilvl w:val="0"/>
                <w:numId w:val="17"/>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8"/>
              <w:widowControl w:val="false"/>
              <w:numPr>
                <w:ilvl w:val="0"/>
                <w:numId w:val="17"/>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numPr>
                <w:ilvl w:val="0"/>
                <w:numId w:val="17"/>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w:t>
            </w:r>
            <w:r>
              <w:rPr>
                <w:rFonts w:eastAsia="Calibri" w:cs=""/>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8"/>
              <w:widowControl w:val="false"/>
              <w:suppressAutoHyphens w:val="true"/>
              <w:spacing w:before="60" w:after="60"/>
              <w:ind w:left="284" w:hanging="0"/>
              <w:rPr/>
            </w:pPr>
            <w:r>
              <w:rPr>
                <w:rFonts w:eastAsia="Calibri" w:cs=""/>
                <w:kern w:val="0"/>
                <w:sz w:val="26"/>
                <w:szCs w:val="22"/>
                <w:lang w:val="ru-RU" w:eastAsia="en-US" w:bidi="ar-SA"/>
              </w:rPr>
              <w:t>−</w:t>
            </w:r>
            <w:r>
              <w:rPr>
                <w:rFonts w:eastAsia="Calibri" w:cs=""/>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Hyperlink"/>
                  <w:rFonts w:eastAsia="Calibri" w:cs=""/>
                  <w:kern w:val="0"/>
                  <w:sz w:val="26"/>
                  <w:szCs w:val="22"/>
                  <w:lang w:val="ru-RU" w:eastAsia="en-US" w:bidi="ar-SA"/>
                </w:rPr>
                <w:t>Приложении № 11</w:t>
              </w:r>
            </w:hyperlink>
            <w:r>
              <w:rPr>
                <w:rFonts w:eastAsia="Calibri" w:cs=""/>
                <w:kern w:val="0"/>
                <w:sz w:val="26"/>
                <w:szCs w:val="22"/>
                <w:lang w:val="ru-RU" w:eastAsia="en-US" w:bidi="ar-SA"/>
              </w:rPr>
              <w:t>).</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8"/>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1" w:name="_Ref132893662"/>
            <w:bookmarkStart w:id="282" w:name="_Ref132893662"/>
            <w:bookmarkEnd w:id="282"/>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8"/>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3" w:name="_Ref139029906"/>
            <w:bookmarkStart w:id="284" w:name="_Ref139029906"/>
            <w:bookmarkEnd w:id="284"/>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1"/>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2"/>
            </w:r>
            <w:r>
              <w:rPr>
                <w:rFonts w:eastAsia="Calibri" w:cs=""/>
                <w:kern w:val="0"/>
                <w:sz w:val="26"/>
                <w:szCs w:val="22"/>
                <w:lang w:val="ru-RU" w:eastAsia="en-US" w:bidi="ar-SA"/>
              </w:rPr>
              <w:t>:</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8"/>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5" w:name="_Ref186181914"/>
            <w:bookmarkStart w:id="286" w:name="_Ref186181914"/>
            <w:bookmarkEnd w:id="286"/>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28"/>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28"/>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7" w:name="_Ref186181918"/>
            <w:bookmarkStart w:id="288" w:name="_Ref186181918"/>
            <w:bookmarkEnd w:id="288"/>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28"/>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23"/>
        <w:spacing w:before="360" w:after="120"/>
        <w:rPr/>
      </w:pPr>
      <w:bookmarkStart w:id="289" w:name="_Toc228876886"/>
      <w:bookmarkStart w:id="290" w:name="_Ref125709888"/>
      <w:bookmarkStart w:id="291" w:name="_Ref125709401"/>
      <w:bookmarkStart w:id="292" w:name="_Ref125709250"/>
      <w:bookmarkStart w:id="293" w:name="_Ref125709153"/>
      <w:bookmarkStart w:id="294" w:name="_Ref125370079"/>
      <w:bookmarkStart w:id="295" w:name="_Ref125369099"/>
      <w:bookmarkStart w:id="296" w:name="_Ref125368916"/>
      <w:bookmarkStart w:id="297" w:name="_Ref125368901"/>
      <w:bookmarkStart w:id="298" w:name="_Ref125368818"/>
      <w:bookmarkStart w:id="299" w:name="_Ref125367539"/>
      <w:bookmarkStart w:id="300" w:name="_Ref125367521"/>
      <w:bookmarkStart w:id="301" w:name="_Ref125365459"/>
      <w:bookmarkStart w:id="302" w:name="_Ref125361937"/>
      <w:bookmarkStart w:id="303" w:name="_Ref125361869"/>
      <w:bookmarkStart w:id="304" w:name="_Ref125361671"/>
      <w:bookmarkStart w:id="305" w:name="_Ref125361633"/>
      <w:bookmarkStart w:id="306" w:name="_Ref125361442"/>
      <w:r>
        <w:rPr/>
        <w:t>Специальные требования</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8"/>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Normal"/>
              <w:widowControl w:val="false"/>
              <w:tabs>
                <w:tab w:val="clear" w:pos="708"/>
                <w:tab w:val="left" w:pos="426" w:leader="none"/>
              </w:tabs>
              <w:spacing w:before="120" w:after="120"/>
              <w:jc w:val="both"/>
              <w:rPr>
                <w:sz w:val="22"/>
                <w:szCs w:val="22"/>
              </w:rPr>
            </w:pPr>
            <w:r>
              <w:rPr>
                <w:rFonts w:eastAsia="Calibri"/>
                <w:i/>
                <w:sz w:val="22"/>
                <w:szCs w:val="22"/>
              </w:rPr>
              <w:t>В соответствии со ст. 55.8 Градостроительного кодекса РФ от 29.12.2004 № 190-ФЗ: Участник закупки должен быть (в течение срока действия заявки на участие в закупке) членом саморегулируемой организации, основанной на членстве лиц:</w:t>
            </w:r>
          </w:p>
          <w:p>
            <w:pPr>
              <w:pStyle w:val="ListParagraph"/>
              <w:widowControl w:val="false"/>
              <w:numPr>
                <w:ilvl w:val="0"/>
                <w:numId w:val="0"/>
              </w:numPr>
              <w:tabs>
                <w:tab w:val="clear" w:pos="708"/>
                <w:tab w:val="left" w:pos="426" w:leader="none"/>
              </w:tabs>
              <w:spacing w:before="60" w:after="60"/>
              <w:ind w:left="380" w:hanging="0"/>
              <w:contextualSpacing w:val="false"/>
              <w:jc w:val="both"/>
              <w:rPr>
                <w:sz w:val="22"/>
                <w:szCs w:val="22"/>
              </w:rPr>
            </w:pPr>
            <w:r>
              <w:rPr>
                <w:i/>
                <w:sz w:val="22"/>
                <w:szCs w:val="22"/>
              </w:rPr>
              <w:t>- осуществляющих строительство</w:t>
            </w:r>
            <w:r>
              <w:rPr>
                <w:i/>
                <w:sz w:val="22"/>
                <w:szCs w:val="22"/>
                <w:vertAlign w:val="superscript"/>
              </w:rPr>
              <w:t>1</w:t>
            </w:r>
            <w:r>
              <w:rPr>
                <w:i/>
                <w:sz w:val="22"/>
                <w:szCs w:val="22"/>
              </w:rPr>
              <w:t>, и зарегистрированной на территории субъекта Российской Федерации, в котором зарегистрирован Участник (с учетом исключений, предусмотренных законодательством),</w:t>
            </w:r>
          </w:p>
          <w:p>
            <w:pPr>
              <w:pStyle w:val="ListParagraph"/>
              <w:widowControl w:val="false"/>
              <w:numPr>
                <w:ilvl w:val="0"/>
                <w:numId w:val="0"/>
              </w:numPr>
              <w:tabs>
                <w:tab w:val="clear" w:pos="708"/>
                <w:tab w:val="left" w:pos="426" w:leader="none"/>
              </w:tabs>
              <w:spacing w:before="60" w:after="0"/>
              <w:ind w:left="379" w:hanging="0"/>
              <w:contextualSpacing/>
              <w:jc w:val="both"/>
              <w:rPr>
                <w:sz w:val="22"/>
                <w:szCs w:val="22"/>
              </w:rPr>
            </w:pPr>
            <w:r>
              <w:rPr>
                <w:i/>
                <w:sz w:val="22"/>
                <w:szCs w:val="22"/>
              </w:rPr>
              <w:t>- осуществляющих подготовку проектной документации</w:t>
            </w:r>
            <w:r>
              <w:rPr>
                <w:i/>
                <w:sz w:val="22"/>
                <w:szCs w:val="22"/>
                <w:vertAlign w:val="superscript"/>
              </w:rPr>
              <w:t>2</w:t>
            </w:r>
            <w:r>
              <w:rPr>
                <w:i/>
                <w:sz w:val="22"/>
                <w:szCs w:val="22"/>
              </w:rPr>
              <w:t>,</w:t>
            </w:r>
          </w:p>
          <w:p>
            <w:pPr>
              <w:pStyle w:val="ListParagraph"/>
              <w:widowControl w:val="false"/>
              <w:numPr>
                <w:ilvl w:val="0"/>
                <w:numId w:val="0"/>
              </w:numPr>
              <w:tabs>
                <w:tab w:val="clear" w:pos="708"/>
                <w:tab w:val="left" w:pos="426" w:leader="none"/>
              </w:tabs>
              <w:spacing w:before="60" w:after="0"/>
              <w:ind w:left="379" w:hanging="0"/>
              <w:contextualSpacing/>
              <w:jc w:val="both"/>
              <w:rPr>
                <w:sz w:val="22"/>
                <w:szCs w:val="22"/>
              </w:rPr>
            </w:pPr>
            <w:r>
              <w:rPr>
                <w:sz w:val="22"/>
                <w:szCs w:val="22"/>
              </w:rPr>
            </w:r>
          </w:p>
          <w:p>
            <w:pPr>
              <w:pStyle w:val="Normal"/>
              <w:widowControl w:val="false"/>
              <w:tabs>
                <w:tab w:val="clear" w:pos="708"/>
                <w:tab w:val="left" w:pos="426" w:leader="none"/>
              </w:tabs>
              <w:spacing w:before="120" w:after="120"/>
              <w:jc w:val="both"/>
              <w:rPr>
                <w:sz w:val="22"/>
                <w:szCs w:val="22"/>
              </w:rPr>
            </w:pPr>
            <w:r>
              <w:rPr>
                <w:rFonts w:eastAsia="Calibri"/>
                <w:i/>
                <w:sz w:val="22"/>
                <w:szCs w:val="22"/>
              </w:rPr>
              <w:t xml:space="preserve">и иметь право выполнять работы в отношении объектов капитального строительства (кроме </w:t>
            </w:r>
            <w:r>
              <w:rPr>
                <w:i/>
                <w:sz w:val="22"/>
                <w:szCs w:val="22"/>
              </w:rPr>
              <w:t>особо опасных, технически сложных и уникальных объектов капитального строительства, объектов использования атомной энергии).</w:t>
            </w:r>
          </w:p>
          <w:p>
            <w:pPr>
              <w:pStyle w:val="Normal"/>
              <w:widowControl w:val="false"/>
              <w:tabs>
                <w:tab w:val="clear" w:pos="708"/>
                <w:tab w:val="left" w:pos="426" w:leader="none"/>
              </w:tabs>
              <w:spacing w:before="120" w:after="120"/>
              <w:jc w:val="both"/>
              <w:rPr>
                <w:sz w:val="22"/>
                <w:szCs w:val="22"/>
              </w:rPr>
            </w:pPr>
            <w:r>
              <w:rPr>
                <w:i/>
                <w:sz w:val="22"/>
                <w:szCs w:val="22"/>
              </w:rPr>
              <w:t>При этом:</w:t>
            </w:r>
          </w:p>
          <w:p>
            <w:pPr>
              <w:pStyle w:val="Normal"/>
              <w:widowControl w:val="false"/>
              <w:tabs>
                <w:tab w:val="clear" w:pos="708"/>
                <w:tab w:val="left" w:pos="426" w:leader="none"/>
              </w:tabs>
              <w:spacing w:before="120" w:after="120"/>
              <w:jc w:val="both"/>
              <w:rPr>
                <w:sz w:val="22"/>
                <w:szCs w:val="22"/>
              </w:rPr>
            </w:pPr>
            <w:r>
              <w:rPr>
                <w:i/>
                <w:sz w:val="22"/>
                <w:szCs w:val="22"/>
                <w:u w:val="single"/>
              </w:rPr>
              <w:t>в отношении выполнения строительных работ:</w:t>
            </w:r>
          </w:p>
          <w:p>
            <w:pPr>
              <w:pStyle w:val="ListParagraph"/>
              <w:widowControl w:val="false"/>
              <w:numPr>
                <w:ilvl w:val="0"/>
                <w:numId w:val="0"/>
              </w:numPr>
              <w:tabs>
                <w:tab w:val="clear" w:pos="708"/>
                <w:tab w:val="left" w:pos="426" w:leader="none"/>
              </w:tabs>
              <w:spacing w:before="60" w:after="60"/>
              <w:ind w:left="380" w:hanging="0"/>
              <w:contextualSpacing w:val="false"/>
              <w:jc w:val="both"/>
              <w:rPr>
                <w:sz w:val="22"/>
                <w:szCs w:val="22"/>
              </w:rPr>
            </w:pPr>
            <w:r>
              <w:rPr>
                <w:rFonts w:eastAsia="Times New Roman"/>
                <w:i/>
                <w:sz w:val="22"/>
                <w:szCs w:val="22"/>
              </w:rPr>
              <w:t>- уровень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(строительство, реконструкция, капитальный ремонт объектов капитального строительства);</w:t>
            </w:r>
          </w:p>
          <w:p>
            <w:pPr>
              <w:pStyle w:val="ListParagraph"/>
              <w:widowControl w:val="false"/>
              <w:numPr>
                <w:ilvl w:val="0"/>
                <w:numId w:val="0"/>
              </w:numPr>
              <w:tabs>
                <w:tab w:val="clear" w:pos="708"/>
                <w:tab w:val="left" w:pos="426" w:leader="none"/>
              </w:tabs>
              <w:spacing w:before="60" w:after="60"/>
              <w:ind w:left="380" w:hanging="0"/>
              <w:contextualSpacing w:val="false"/>
              <w:jc w:val="both"/>
              <w:rPr>
                <w:sz w:val="22"/>
                <w:szCs w:val="22"/>
              </w:rPr>
            </w:pPr>
            <w:r>
              <w:rPr>
                <w:i/>
                <w:sz w:val="22"/>
                <w:szCs w:val="22"/>
              </w:rPr>
              <w:t>- уровень</w:t>
            </w:r>
            <w:r>
              <w:rPr>
                <w:rFonts w:eastAsia="Times New Roman"/>
                <w:i/>
                <w:sz w:val="22"/>
                <w:szCs w:val="22"/>
              </w:rPr>
              <w:t xml:space="preserve">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(строительство, реконструкция, капитальный ремонт объектов капитального строительства), </w:t>
            </w:r>
            <w:r>
              <w:rPr>
                <w:i/>
                <w:sz w:val="22"/>
                <w:szCs w:val="22"/>
              </w:rPr>
              <w:t>а также (в случае их наличия в Технических требованиях</w:t>
            </w:r>
            <w:r>
              <w:rPr>
                <w:rFonts w:eastAsia="Cambria"/>
                <w:i/>
                <w:sz w:val="22"/>
                <w:szCs w:val="22"/>
              </w:rPr>
              <w:t>) поставки оборудования и материально-технических ресурсов.</w:t>
            </w:r>
          </w:p>
          <w:p>
            <w:pPr>
              <w:pStyle w:val="Normal"/>
              <w:widowControl w:val="false"/>
              <w:tabs>
                <w:tab w:val="clear" w:pos="708"/>
                <w:tab w:val="left" w:pos="426" w:leader="none"/>
              </w:tabs>
              <w:spacing w:before="120" w:after="120"/>
              <w:jc w:val="both"/>
              <w:rPr>
                <w:sz w:val="22"/>
                <w:szCs w:val="22"/>
              </w:rPr>
            </w:pPr>
            <w:r>
              <w:rPr>
                <w:i/>
                <w:iCs/>
                <w:sz w:val="22"/>
                <w:szCs w:val="22"/>
                <w:u w:val="single"/>
              </w:rPr>
              <w:t>в отношении подготовки проектной документации:</w:t>
            </w:r>
          </w:p>
          <w:p>
            <w:pPr>
              <w:pStyle w:val="ListParagraph"/>
              <w:widowControl w:val="false"/>
              <w:numPr>
                <w:ilvl w:val="0"/>
                <w:numId w:val="0"/>
              </w:numPr>
              <w:tabs>
                <w:tab w:val="clear" w:pos="708"/>
                <w:tab w:val="left" w:pos="426" w:leader="none"/>
              </w:tabs>
              <w:spacing w:before="60" w:after="60"/>
              <w:ind w:left="380" w:hanging="0"/>
              <w:contextualSpacing w:val="false"/>
              <w:jc w:val="both"/>
              <w:rPr>
                <w:sz w:val="22"/>
                <w:szCs w:val="22"/>
              </w:rPr>
            </w:pPr>
            <w:r>
              <w:rPr>
                <w:i/>
                <w:sz w:val="22"/>
                <w:szCs w:val="22"/>
              </w:rPr>
              <w:t>- уровень</w:t>
            </w:r>
            <w:r>
              <w:rPr>
                <w:rFonts w:eastAsia="Times New Roman"/>
                <w:i/>
                <w:sz w:val="22"/>
                <w:szCs w:val="22"/>
              </w:rPr>
              <w:t xml:space="preserve">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(подготовка проектной документации);</w:t>
            </w:r>
          </w:p>
          <w:p>
            <w:pPr>
              <w:pStyle w:val="ListParagraph"/>
              <w:widowControl w:val="false"/>
              <w:numPr>
                <w:ilvl w:val="0"/>
                <w:numId w:val="0"/>
              </w:numPr>
              <w:tabs>
                <w:tab w:val="clear" w:pos="708"/>
                <w:tab w:val="left" w:pos="426" w:leader="none"/>
              </w:tabs>
              <w:spacing w:before="60" w:after="60"/>
              <w:ind w:left="380" w:hanging="0"/>
              <w:contextualSpacing w:val="false"/>
              <w:jc w:val="both"/>
              <w:rPr>
                <w:sz w:val="22"/>
                <w:szCs w:val="22"/>
              </w:rPr>
            </w:pPr>
            <w:r>
              <w:rPr>
                <w:i/>
                <w:sz w:val="22"/>
                <w:szCs w:val="22"/>
              </w:rPr>
              <w:t>- уровень</w:t>
            </w:r>
            <w:r>
              <w:rPr>
                <w:rFonts w:eastAsia="Times New Roman"/>
                <w:i/>
                <w:sz w:val="22"/>
                <w:szCs w:val="22"/>
              </w:rPr>
              <w:t xml:space="preserve">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(подготовка проектной документации).</w:t>
            </w:r>
          </w:p>
          <w:p>
            <w:pPr>
              <w:pStyle w:val="ListParagraph"/>
              <w:widowControl w:val="false"/>
              <w:numPr>
                <w:ilvl w:val="0"/>
                <w:numId w:val="0"/>
              </w:numPr>
              <w:tabs>
                <w:tab w:val="clear" w:pos="708"/>
                <w:tab w:val="left" w:pos="322" w:leader="none"/>
              </w:tabs>
              <w:spacing w:before="20" w:after="20"/>
              <w:ind w:left="0" w:hanging="0"/>
              <w:contextualSpacing w:val="false"/>
              <w:jc w:val="both"/>
              <w:rPr>
                <w:rStyle w:val="Style19"/>
                <w:b w:val="false"/>
                <w:sz w:val="20"/>
                <w:szCs w:val="20"/>
                <w:shd w:fill="auto" w:val="clear"/>
              </w:rPr>
            </w:pPr>
            <w:r>
              <w:rPr>
                <w:rFonts w:eastAsia="Times New Roman"/>
                <w:i/>
                <w:sz w:val="20"/>
                <w:szCs w:val="20"/>
              </w:rPr>
              <w:t xml:space="preserve">1 </w:t>
            </w:r>
            <w:r>
              <w:rPr>
                <w:i/>
                <w:sz w:val="20"/>
                <w:szCs w:val="20"/>
              </w:rPr>
              <w:t>–</w:t>
            </w:r>
            <w:r>
              <w:rPr>
                <w:rFonts w:eastAsia="Times New Roman"/>
                <w:i/>
                <w:sz w:val="20"/>
                <w:szCs w:val="20"/>
              </w:rPr>
              <w:t xml:space="preserve"> Не требуется членство в СРО в области строительства Участникам закупки:</w:t>
            </w:r>
          </w:p>
          <w:p>
            <w:pPr>
              <w:pStyle w:val="ListParagraph"/>
              <w:widowControl w:val="false"/>
              <w:numPr>
                <w:ilvl w:val="0"/>
                <w:numId w:val="0"/>
              </w:numPr>
              <w:tabs>
                <w:tab w:val="clear" w:pos="708"/>
                <w:tab w:val="left" w:pos="142" w:leader="none"/>
              </w:tabs>
              <w:spacing w:before="20" w:after="20"/>
              <w:ind w:left="463" w:hanging="0"/>
              <w:contextualSpacing w:val="false"/>
              <w:jc w:val="both"/>
              <w:rPr>
                <w:rFonts w:eastAsia="Times New Roman"/>
                <w:i/>
                <w:i/>
                <w:sz w:val="20"/>
                <w:szCs w:val="20"/>
              </w:rPr>
            </w:pPr>
            <w:r>
              <w:rPr>
                <w:rFonts w:eastAsia="Times New Roman"/>
                <w:i/>
                <w:sz w:val="20"/>
                <w:szCs w:val="20"/>
              </w:rPr>
              <w:t>- перечисленным в ч. 2.2 ст. 52 ГрК РФ;</w:t>
            </w:r>
          </w:p>
          <w:p>
            <w:pPr>
              <w:pStyle w:val="ListParagraph"/>
              <w:widowControl w:val="false"/>
              <w:numPr>
                <w:ilvl w:val="0"/>
                <w:numId w:val="0"/>
              </w:numPr>
              <w:tabs>
                <w:tab w:val="clear" w:pos="708"/>
                <w:tab w:val="left" w:pos="142" w:leader="none"/>
              </w:tabs>
              <w:spacing w:before="20" w:after="20"/>
              <w:ind w:left="463" w:hanging="0"/>
              <w:contextualSpacing w:val="false"/>
              <w:jc w:val="both"/>
              <w:rPr>
                <w:i/>
                <w:i/>
                <w:iCs/>
                <w:sz w:val="22"/>
                <w:szCs w:val="22"/>
              </w:rPr>
            </w:pPr>
            <w:r>
              <w:rPr>
                <w:rFonts w:eastAsia="Times New Roman"/>
                <w:i/>
                <w:sz w:val="20"/>
                <w:szCs w:val="20"/>
              </w:rPr>
              <w:t>- предложивших</w:t>
            </w:r>
            <w:r>
              <w:rPr>
                <w:i/>
                <w:sz w:val="20"/>
                <w:szCs w:val="20"/>
              </w:rPr>
              <w:t xml:space="preserve"> цену договора, не превышающую 10 млн. руб., в соответствии с ч. 2.1 ст. 52 ГрК РФ;</w:t>
            </w:r>
          </w:p>
          <w:p>
            <w:pPr>
              <w:pStyle w:val="Normal"/>
              <w:widowControl w:val="false"/>
              <w:numPr>
                <w:ilvl w:val="0"/>
                <w:numId w:val="0"/>
              </w:numPr>
              <w:tabs>
                <w:tab w:val="clear" w:pos="708"/>
                <w:tab w:val="left" w:pos="142" w:leader="none"/>
              </w:tabs>
              <w:spacing w:before="20" w:after="20"/>
              <w:ind w:left="38" w:hanging="0"/>
              <w:jc w:val="both"/>
              <w:rPr>
                <w:rFonts w:eastAsia="Calibri"/>
                <w:i/>
                <w:i/>
                <w:iCs/>
                <w:sz w:val="22"/>
                <w:szCs w:val="22"/>
              </w:rPr>
            </w:pPr>
            <w:r>
              <w:rPr>
                <w:rFonts w:eastAsia="Times New Roman"/>
                <w:i/>
                <w:sz w:val="20"/>
                <w:szCs w:val="20"/>
              </w:rPr>
              <w:t>2 – Не требуется членство в СРО в области архитектурно-строительного проектирования Участникам закупки, перечисленным в ч. 4.1 ст. 48 ГрК РФ</w:t>
            </w:r>
          </w:p>
        </w:tc>
        <w:tc>
          <w:tcPr>
            <w:tcW w:w="8327" w:type="dxa"/>
            <w:tcBorders/>
          </w:tcPr>
          <w:p>
            <w:pPr>
              <w:pStyle w:val="Normal"/>
              <w:widowControl w:val="false"/>
              <w:tabs>
                <w:tab w:val="clear" w:pos="708"/>
                <w:tab w:val="left" w:pos="426" w:leader="none"/>
              </w:tabs>
              <w:spacing w:before="60" w:after="0"/>
              <w:jc w:val="both"/>
              <w:rPr>
                <w:rFonts w:eastAsia="Calibri"/>
                <w:i/>
                <w:i/>
                <w:sz w:val="22"/>
                <w:szCs w:val="22"/>
              </w:rPr>
            </w:pPr>
            <w:r>
              <w:rPr>
                <w:rFonts w:eastAsia="Calibri"/>
                <w:i/>
                <w:sz w:val="22"/>
                <w:szCs w:val="22"/>
              </w:rPr>
              <w:t>Предоставление документов не требуется.</w:t>
            </w:r>
          </w:p>
          <w:p>
            <w:pPr>
              <w:pStyle w:val="Normal"/>
              <w:widowControl w:val="false"/>
              <w:tabs>
                <w:tab w:val="clear" w:pos="708"/>
                <w:tab w:val="left" w:pos="426" w:leader="none"/>
              </w:tabs>
              <w:spacing w:before="60" w:after="0"/>
              <w:jc w:val="both"/>
              <w:rPr>
                <w:rFonts w:eastAsia="Calibri"/>
                <w:i/>
                <w:i/>
                <w:iCs/>
                <w:sz w:val="22"/>
                <w:szCs w:val="22"/>
              </w:rPr>
            </w:pPr>
            <w:r>
              <w:rPr>
                <w:rFonts w:eastAsia="Calibri"/>
                <w:i/>
                <w:iCs/>
                <w:sz w:val="22"/>
                <w:szCs w:val="22"/>
              </w:rPr>
              <w:t>(На стадии рассмотрения заявок Организатор проверяет наличие информации об Участнике в Едином реестре сведений о членах СРО и их обязательствах, а также осуществляет оценку соответствия уровня его ответственности по общедоступным ресурсам:</w:t>
            </w:r>
          </w:p>
          <w:p>
            <w:pPr>
              <w:pStyle w:val="Normal"/>
              <w:widowControl w:val="false"/>
              <w:numPr>
                <w:ilvl w:val="0"/>
                <w:numId w:val="0"/>
              </w:numPr>
              <w:tabs>
                <w:tab w:val="clear" w:pos="708"/>
                <w:tab w:val="left" w:pos="320" w:leader="none"/>
              </w:tabs>
              <w:spacing w:before="60" w:after="0"/>
              <w:ind w:left="7" w:hanging="0"/>
              <w:jc w:val="both"/>
              <w:rPr>
                <w:rFonts w:eastAsia="Calibri"/>
                <w:i/>
                <w:i/>
                <w:sz w:val="22"/>
                <w:szCs w:val="22"/>
              </w:rPr>
            </w:pPr>
            <w:r>
              <w:rPr>
                <w:rFonts w:eastAsia="Calibri"/>
                <w:i/>
                <w:iCs/>
                <w:sz w:val="22"/>
                <w:szCs w:val="22"/>
              </w:rPr>
              <w:t>Национальное объединение строителей НОСТРОЙ - сервис «Единый реестр членов СРО» (</w:t>
            </w:r>
            <w:hyperlink r:id="rId18">
              <w:r>
                <w:rPr>
                  <w:rStyle w:val="Hyperlink"/>
                  <w:i/>
                  <w:iCs/>
                  <w:sz w:val="22"/>
                  <w:szCs w:val="22"/>
                </w:rPr>
                <w:t>https://reestr.nostroy.ru/sro/all/member/list)</w:t>
              </w:r>
            </w:hyperlink>
            <w:r>
              <w:rPr>
                <w:i/>
                <w:iCs/>
                <w:sz w:val="22"/>
                <w:szCs w:val="22"/>
              </w:rPr>
              <w:t>;</w:t>
            </w:r>
            <w:r>
              <w:rPr>
                <w:i/>
                <w:sz w:val="22"/>
                <w:szCs w:val="22"/>
              </w:rPr>
              <w:t xml:space="preserve"> </w:t>
            </w:r>
            <w:r>
              <w:rPr>
                <w:rFonts w:eastAsia="Calibri"/>
                <w:i/>
                <w:sz w:val="22"/>
                <w:szCs w:val="22"/>
              </w:rPr>
              <w:t>строительство, реконструкция, капитальный ремонт объектов капитального строительства</w:t>
            </w:r>
            <w:r>
              <w:rPr>
                <w:rFonts w:eastAsia="Calibri"/>
                <w:i/>
                <w:iCs/>
                <w:sz w:val="22"/>
                <w:szCs w:val="22"/>
              </w:rPr>
              <w:t xml:space="preserve"> Национальное объединение изыскателей и проектировщиков НОПРИЗ - сервис «Единый реестр членов СРО» (</w:t>
            </w:r>
            <w:hyperlink r:id="rId19">
              <w:r>
                <w:rPr>
                  <w:rStyle w:val="Hyperlink"/>
                  <w:rFonts w:eastAsia="Calibri"/>
                  <w:i/>
                  <w:iCs/>
                  <w:sz w:val="22"/>
                  <w:szCs w:val="22"/>
                </w:rPr>
                <w:t>http://nopriz.ru/nreesters/elektronnyy-reestr/</w:t>
              </w:r>
            </w:hyperlink>
            <w:r>
              <w:rPr>
                <w:rFonts w:eastAsia="Calibri"/>
                <w:i/>
                <w:iCs/>
                <w:sz w:val="22"/>
                <w:szCs w:val="22"/>
              </w:rPr>
              <w:t>).</w:t>
            </w:r>
          </w:p>
          <w:p>
            <w:pPr>
              <w:pStyle w:val="Normal"/>
              <w:widowControl w:val="false"/>
              <w:tabs>
                <w:tab w:val="clear" w:pos="708"/>
                <w:tab w:val="left" w:pos="426" w:leader="none"/>
              </w:tabs>
              <w:spacing w:before="60" w:after="0"/>
              <w:jc w:val="both"/>
              <w:rPr>
                <w:rStyle w:val="Style19"/>
                <w:b w:val="false"/>
                <w:iCs/>
                <w:sz w:val="22"/>
                <w:szCs w:val="22"/>
              </w:rPr>
            </w:pPr>
            <w:r>
              <w:rPr>
                <w:b w:val="false"/>
                <w:iCs/>
                <w:sz w:val="22"/>
                <w:szCs w:val="22"/>
              </w:rPr>
            </w:r>
          </w:p>
          <w:p>
            <w:pPr>
              <w:pStyle w:val="ListParagraph"/>
              <w:widowControl w:val="false"/>
              <w:numPr>
                <w:ilvl w:val="0"/>
                <w:numId w:val="0"/>
              </w:numPr>
              <w:tabs>
                <w:tab w:val="clear" w:pos="708"/>
                <w:tab w:val="left" w:pos="426" w:leader="none"/>
              </w:tabs>
              <w:spacing w:before="60" w:after="0"/>
              <w:ind w:left="0" w:hanging="0"/>
              <w:contextualSpacing/>
              <w:jc w:val="both"/>
              <w:rPr/>
            </w:pPr>
            <w:r>
              <w:rPr/>
            </w:r>
          </w:p>
        </w:tc>
      </w:tr>
    </w:tbl>
    <w:p>
      <w:pPr>
        <w:pStyle w:val="Style23"/>
        <w:spacing w:before="360" w:after="120"/>
        <w:rPr/>
      </w:pPr>
      <w:bookmarkStart w:id="307" w:name="_Toc228876887"/>
      <w:bookmarkStart w:id="308" w:name="_Ref125709973"/>
      <w:bookmarkStart w:id="309" w:name="_Ref125709777"/>
      <w:bookmarkStart w:id="310" w:name="_Ref125370209"/>
      <w:bookmarkStart w:id="311" w:name="_Ref125370180"/>
      <w:bookmarkStart w:id="312" w:name="_Ref125370173"/>
      <w:bookmarkStart w:id="313" w:name="_Ref125369117"/>
      <w:bookmarkStart w:id="314" w:name="_Ref125362031"/>
      <w:bookmarkStart w:id="315" w:name="_Ref125361823"/>
      <w:r>
        <w:rPr/>
        <w:t>Дополнительные требования к Генеральным подрядчикам</w:t>
      </w:r>
      <w:bookmarkEnd w:id="307"/>
      <w:bookmarkEnd w:id="308"/>
      <w:bookmarkEnd w:id="309"/>
      <w:bookmarkEnd w:id="310"/>
      <w:bookmarkEnd w:id="311"/>
      <w:bookmarkEnd w:id="312"/>
      <w:bookmarkEnd w:id="313"/>
      <w:bookmarkEnd w:id="314"/>
      <w:bookmarkEnd w:id="315"/>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8"/>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6" w:name="_Ref125370187"/>
            <w:bookmarkStart w:id="317" w:name="_Ref125370187"/>
            <w:bookmarkEnd w:id="317"/>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8"/>
              <w:widowControl w:val="false"/>
              <w:suppressAutoHyphens w:val="true"/>
              <w:spacing w:before="60" w:after="60"/>
              <w:rPr/>
            </w:pPr>
            <w:r>
              <w:rPr>
                <w:rFonts w:eastAsia="Calibri" w:cs=""/>
                <w:kern w:val="0"/>
                <w:sz w:val="26"/>
                <w:szCs w:val="22"/>
                <w:lang w:val="ru-RU" w:eastAsia="en-US" w:bidi="ar-SA"/>
              </w:rPr>
              <w:t>Техническое предложение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8"/>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8" w:name="_Ref125370193"/>
            <w:bookmarkStart w:id="319" w:name="_Ref125370193"/>
            <w:bookmarkEnd w:id="319"/>
          </w:p>
        </w:tc>
        <w:tc>
          <w:tcPr>
            <w:tcW w:w="5671" w:type="dxa"/>
            <w:tcBorders/>
          </w:tcPr>
          <w:p>
            <w:pPr>
              <w:pStyle w:val="Style28"/>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28"/>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0" w:name="_Ref125553847"/>
            <w:bookmarkStart w:id="321" w:name="_Ref125553847"/>
            <w:bookmarkEnd w:id="321"/>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Дополнительные требования не установлены.</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Дополнительные требования не установлены.</w:t>
            </w:r>
          </w:p>
        </w:tc>
      </w:tr>
    </w:tbl>
    <w:p>
      <w:pPr>
        <w:sectPr>
          <w:headerReference w:type="default" r:id="rId20"/>
          <w:headerReference w:type="first" r:id="rId21"/>
          <w:footerReference w:type="default" r:id="rId22"/>
          <w:footerReference w:type="first" r:id="rId23"/>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2"/>
        <w:rPr/>
      </w:pPr>
      <w:bookmarkStart w:id="322" w:name="_Toc228876888"/>
      <w:bookmarkStart w:id="323" w:name="Прил04_ФормыЗаявки"/>
      <w:bookmarkEnd w:id="323"/>
      <w:r>
        <w:rPr/>
        <w:t>Приложение № 4 – Образцы форм документов, включаемых в состав заявки</w:t>
      </w:r>
      <w:bookmarkEnd w:id="322"/>
    </w:p>
    <w:p>
      <w:pPr>
        <w:pStyle w:val="Style23"/>
        <w:rPr/>
      </w:pPr>
      <w:bookmarkStart w:id="324" w:name="_Toc228876889"/>
      <w:r>
        <w:rPr/>
        <w:t>Пояснения к Образцам форм документов, включаемых в состав заявки</w:t>
      </w:r>
      <w:bookmarkEnd w:id="324"/>
    </w:p>
    <w:p>
      <w:pPr>
        <w:pStyle w:val="Style24"/>
        <w:rPr/>
      </w:pPr>
      <w:r>
        <w:rPr/>
        <w:t xml:space="preserve">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w:t>
      </w:r>
      <w:bookmarkStart w:id="325" w:name="_Hlk207818315"/>
      <w:r>
        <w:rPr/>
        <w:t>Участник при подготовке заявки обязан придерживаться установленных форм документов</w:t>
      </w:r>
      <w:bookmarkEnd w:id="325"/>
      <w:r>
        <w:rPr/>
        <w:t>.</w:t>
      </w:r>
    </w:p>
    <w:p>
      <w:pPr>
        <w:pStyle w:val="Style22"/>
        <w:rPr/>
      </w:pPr>
      <w:bookmarkStart w:id="326" w:name="_Toc228876890"/>
      <w:bookmarkStart w:id="327" w:name="Прил05_ФормыПобедителя"/>
      <w:bookmarkEnd w:id="327"/>
      <w:r>
        <w:rPr/>
        <w:t>Приложение № 5 – Образцы форм документов, предоставляемых Победителем</w:t>
      </w:r>
      <w:bookmarkEnd w:id="326"/>
    </w:p>
    <w:p>
      <w:pPr>
        <w:pStyle w:val="Style23"/>
        <w:rPr/>
      </w:pPr>
      <w:bookmarkStart w:id="328" w:name="_Toc228876891"/>
      <w:r>
        <w:rPr/>
        <w:t>Пояснения к Образцам форм документов, предоставляемых Победителем</w:t>
      </w:r>
      <w:bookmarkEnd w:id="328"/>
    </w:p>
    <w:p>
      <w:pPr>
        <w:pStyle w:val="Style24"/>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3"/>
        <w:rPr/>
      </w:pPr>
      <w:bookmarkStart w:id="329" w:name="_Toc228876892"/>
      <w:bookmarkStart w:id="330" w:name="_Ref130395470"/>
      <w:r>
        <w:rPr/>
        <w:t>Форма справки «Сведения о цепочке собственников, включая бенефициаров (в том числе конечных)»</w:t>
      </w:r>
      <w:bookmarkEnd w:id="329"/>
      <w:bookmarkEnd w:id="330"/>
    </w:p>
    <w:p>
      <w:pPr>
        <w:pStyle w:val="Style24"/>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4"/>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331" w:name="_MON_1805621314"/>
    </w:p>
    <w:p>
      <w:pPr>
        <w:pStyle w:val="Style28"/>
        <w:jc w:val="center"/>
        <w:rPr/>
      </w:pPr>
      <w:bookmarkStart w:id="332" w:name="_Hlk207818329"/>
      <w:bookmarkEnd w:id="331"/>
      <w:r>
        <w:rPr/>
        <w:object>
          <v:shapetype id="_x0000_tole_rId24" coordsize="21600,21600" o:spt="ole_rId2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4" type="_x0000_tole_rId24" style="width:76.25pt;height:50.8pt;mso-wrap-distance-right:0pt" filled="f" o:ole="">
            <v:imagedata r:id="rId25" o:title=""/>
          </v:shape>
          <o:OLEObject Type="Embed" ProgID="Word.Document.12" ShapeID="ole_rId24" DrawAspect="Icon" ObjectID="_126927407" r:id="rId24"/>
        </w:object>
      </w:r>
      <w:bookmarkEnd w:id="332"/>
    </w:p>
    <w:p>
      <w:pPr>
        <w:pStyle w:val="Style23"/>
        <w:rPr/>
      </w:pPr>
      <w:bookmarkStart w:id="333" w:name="_Toc228876893"/>
      <w:bookmarkStart w:id="334" w:name="_Ref130395475"/>
      <w:r>
        <w:rPr/>
        <w:t>Форма «Заверение об обстоятельствах»</w:t>
      </w:r>
      <w:bookmarkEnd w:id="333"/>
      <w:bookmarkEnd w:id="334"/>
    </w:p>
    <w:p>
      <w:pPr>
        <w:pStyle w:val="Style24"/>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4"/>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4"/>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4"/>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335" w:name="_MON_1741074184"/>
    </w:p>
    <w:p>
      <w:pPr>
        <w:pStyle w:val="Style28"/>
        <w:spacing w:before="120" w:after="120"/>
        <w:jc w:val="center"/>
        <w:rPr/>
      </w:pPr>
      <w:bookmarkEnd w:id="335"/>
      <w:r>
        <w:rPr/>
        <w:object>
          <v:shapetype id="_x0000_tole_rId26" coordsize="21600,21600" o:spt="ole_rId26"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6" type="_x0000_tole_rId26" style="width:78.05pt;height:50.8pt;mso-wrap-distance-right:0pt;mso-wrap-distance-bottom:6pt" filled="f" o:ole="">
            <v:imagedata r:id="rId27" o:title=""/>
          </v:shape>
          <o:OLEObject Type="Embed" ProgID="Word.Document.12" ShapeID="ole_rId26" DrawAspect="Icon" ObjectID="_923238351" r:id="rId26"/>
        </w:object>
      </w:r>
    </w:p>
    <w:p>
      <w:pPr>
        <w:pStyle w:val="Style22"/>
        <w:rPr/>
      </w:pPr>
      <w:bookmarkStart w:id="336" w:name="_Ref125362900"/>
      <w:bookmarkStart w:id="337" w:name="_Ref125362865"/>
      <w:bookmarkStart w:id="338" w:name="_Toc228876894"/>
      <w:bookmarkStart w:id="339" w:name="Прил06_СоставЗаявки"/>
      <w:bookmarkEnd w:id="339"/>
      <w:r>
        <w:rPr/>
        <w:t>Приложение № 6 – Состав заявки</w:t>
      </w:r>
      <w:bookmarkEnd w:id="336"/>
      <w:bookmarkEnd w:id="337"/>
      <w:bookmarkEnd w:id="338"/>
    </w:p>
    <w:p>
      <w:pPr>
        <w:pStyle w:val="Style23"/>
        <w:rPr/>
      </w:pPr>
      <w:bookmarkStart w:id="340" w:name="_Toc228876895"/>
      <w:r>
        <w:rPr/>
        <w:t>Состав заявки</w:t>
      </w:r>
      <w:bookmarkEnd w:id="340"/>
    </w:p>
    <w:p>
      <w:pPr>
        <w:pStyle w:val="Style24"/>
        <w:spacing w:before="120" w:after="120"/>
        <w:rPr/>
      </w:pPr>
      <w:r>
        <w:rPr/>
        <w:t>Заявка на участие в закупке (окончательное предложение) должна состоять из первой части, второй части и ценового предложения, которые должны содержать следующий комплект документов (</w:t>
      </w:r>
      <w:bookmarkStart w:id="341" w:name="_Hlk207818365"/>
      <w:r>
        <w:rPr/>
        <w:t>по установленным формам и в соответствии с инструкциями, приведенными</w:t>
      </w:r>
      <w:bookmarkEnd w:id="341"/>
      <w:r>
        <w:rPr/>
        <w:t xml:space="preserve"> в </w:t>
      </w:r>
      <w:hyperlink w:anchor="Прил04_ФормыЗаявки">
        <w:r>
          <w:rPr>
            <w:rStyle w:val="Style11"/>
          </w:rPr>
          <w:t>Приложении № 4</w:t>
        </w:r>
      </w:hyperlink>
      <w:r>
        <w:rPr/>
        <w:t>):</w:t>
      </w:r>
    </w:p>
    <w:tbl>
      <w:tblPr>
        <w:tblStyle w:val="af9"/>
        <w:tblW w:w="8783" w:type="dxa"/>
        <w:jc w:val="left"/>
        <w:tblInd w:w="1129" w:type="dxa"/>
        <w:tblLayout w:type="fixed"/>
        <w:tblCellMar>
          <w:top w:w="0" w:type="dxa"/>
          <w:left w:w="57" w:type="dxa"/>
          <w:bottom w:w="0" w:type="dxa"/>
          <w:right w:w="57" w:type="dxa"/>
        </w:tblCellMar>
        <w:tblLook w:val="04a0" w:noVBand="1"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28"/>
              <w:keepNext w:val="true"/>
              <w:widowControl w:val="false"/>
              <w:suppressAutoHyphens w:val="true"/>
              <w:spacing w:before="60" w:after="60"/>
              <w:ind w:left="360" w:hanging="0"/>
              <w:jc w:val="center"/>
              <w:rPr>
                <w:b/>
                <w:bCs/>
              </w:rPr>
            </w:pPr>
            <w:r>
              <w:rPr>
                <w:b/>
                <w:bCs/>
              </w:rPr>
            </w:r>
          </w:p>
        </w:tc>
        <w:tc>
          <w:tcPr>
            <w:tcW w:w="8075" w:type="dxa"/>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Первая часть заявки (первая часть заявки, содержащиеся в окончательном предложении):</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
                <w:i/>
                <w:iCs/>
                <w:kern w:val="0"/>
                <w:sz w:val="26"/>
                <w:szCs w:val="22"/>
                <w:lang w:val="ru-RU" w:eastAsia="en-US" w:bidi="ar-SA"/>
              </w:rPr>
              <w:t>(без указания сведений, позволяющих каким-либо образом идентифицировать генерального подрядчика или привлекаемого им субподрядчика / соисполнителя)</w:t>
            </w:r>
            <w:r>
              <w:rPr>
                <w:rFonts w:eastAsia="Calibri" w:cs=""/>
                <w:kern w:val="0"/>
                <w:sz w:val="26"/>
                <w:szCs w:val="22"/>
                <w:lang w:val="ru-RU" w:eastAsia="en-US" w:bidi="ar-SA"/>
              </w:rPr>
              <w:t>;</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Документы и сведения, предоставляемые в первой части заявки исключительно для целей проведения оценки заявок – предоставляются,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установлены соответствующие критерии оценки, которые касаются или продукции или условий исполнения договора </w:t>
            </w:r>
            <w:r>
              <w:rPr>
                <w:rFonts w:eastAsia="Calibri" w:cs=""/>
                <w:i/>
                <w:iCs/>
                <w:kern w:val="0"/>
                <w:sz w:val="26"/>
                <w:szCs w:val="22"/>
                <w:lang w:val="ru-RU" w:eastAsia="en-US" w:bidi="ar-SA"/>
              </w:rPr>
              <w:t>(такие документы и сведения не должны позволять каким-либо образом идентифицировать Участника, в том числе через сведения о материально-технических или кадровых ресурсах)</w:t>
            </w:r>
            <w:r>
              <w:rPr>
                <w:rFonts w:eastAsia="Calibri" w:cs=""/>
                <w:kern w:val="0"/>
                <w:sz w:val="26"/>
                <w:szCs w:val="22"/>
                <w:lang w:val="ru-RU" w:eastAsia="en-US" w:bidi="ar-SA"/>
              </w:rPr>
              <w:t>;</w:t>
            </w:r>
          </w:p>
        </w:tc>
      </w:tr>
      <w:tr>
        <w:trPr/>
        <w:tc>
          <w:tcPr>
            <w:tcW w:w="707" w:type="dxa"/>
            <w:tcBorders/>
          </w:tcPr>
          <w:p>
            <w:pPr>
              <w:pStyle w:val="Style28"/>
              <w:keepNext w:val="true"/>
              <w:widowControl w:val="false"/>
              <w:suppressAutoHyphens w:val="true"/>
              <w:spacing w:before="60" w:after="60"/>
              <w:ind w:left="360" w:hanging="0"/>
              <w:jc w:val="center"/>
              <w:rPr>
                <w:b/>
                <w:bCs/>
              </w:rPr>
            </w:pPr>
            <w:r>
              <w:rPr>
                <w:b/>
                <w:bCs/>
              </w:rPr>
            </w:r>
          </w:p>
        </w:tc>
        <w:tc>
          <w:tcPr>
            <w:tcW w:w="8075" w:type="dxa"/>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Вторая часть заявки:</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5);</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28"/>
              <w:widowControl w:val="false"/>
              <w:numPr>
                <w:ilvl w:val="0"/>
                <w:numId w:val="8"/>
              </w:numPr>
              <w:suppressAutoHyphens w:val="true"/>
              <w:spacing w:before="60" w:after="60"/>
              <w:ind w:left="284" w:hanging="284"/>
              <w:rPr/>
            </w:pPr>
            <w:r>
              <w:rPr>
                <w:rFonts w:eastAsia="Calibri" w:cs=""/>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numPr>
                <w:ilvl w:val="0"/>
                <w:numId w:val="8"/>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2" w:name="_Ref132888537"/>
            <w:bookmarkStart w:id="343" w:name="_Ref132888537"/>
            <w:bookmarkEnd w:id="343"/>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4" w:name="_Ref130389408"/>
            <w:bookmarkStart w:id="345" w:name="_Ref130389408"/>
            <w:bookmarkEnd w:id="345"/>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об опыте Участника (форма 6),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6" w:name="_Ref130389413"/>
            <w:bookmarkStart w:id="347" w:name="_Ref130389413"/>
            <w:bookmarkEnd w:id="347"/>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 материально-технических ресурсах (форма 7),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8" w:name="_Ref130389419"/>
            <w:bookmarkStart w:id="349" w:name="_Ref130389419"/>
            <w:bookmarkEnd w:id="349"/>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 кадровых ресурсах (форма 8),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Участники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r>
        <w:trPr/>
        <w:tc>
          <w:tcPr>
            <w:tcW w:w="707" w:type="dxa"/>
            <w:tcBorders/>
          </w:tcPr>
          <w:p>
            <w:pPr>
              <w:pStyle w:val="Style28"/>
              <w:keepNext w:val="true"/>
              <w:widowControl w:val="false"/>
              <w:suppressAutoHyphens w:val="true"/>
              <w:spacing w:before="60" w:after="60"/>
              <w:ind w:left="360" w:hanging="0"/>
              <w:jc w:val="center"/>
              <w:rPr>
                <w:b/>
                <w:bCs/>
              </w:rPr>
            </w:pPr>
            <w:r>
              <w:rPr>
                <w:b/>
                <w:bCs/>
              </w:rPr>
            </w:r>
          </w:p>
        </w:tc>
        <w:tc>
          <w:tcPr>
            <w:tcW w:w="8075" w:type="dxa"/>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Ценовое предложение:</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1"/>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28"/>
          <w:headerReference w:type="first" r:id="rId29"/>
          <w:footerReference w:type="default" r:id="rId30"/>
          <w:footerReference w:type="first" r:id="rId31"/>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4"/>
        <w:rPr>
          <w:rStyle w:val="Style8"/>
          <w:i w:val="false"/>
          <w:i w:val="false"/>
          <w:iCs w:val="false"/>
          <w:shd w:fill="auto" w:val="clear"/>
        </w:rPr>
      </w:pPr>
      <w:r>
        <w:rPr>
          <w:rStyle w:val="Style8"/>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2"/>
        <w:rPr/>
      </w:pPr>
      <w:bookmarkStart w:id="350" w:name="_Toc228876896"/>
      <w:bookmarkStart w:id="351" w:name="_Ref125365264"/>
      <w:bookmarkStart w:id="352" w:name="Прил07_ОтборочныеКритерии"/>
      <w:bookmarkEnd w:id="352"/>
      <w:r>
        <w:rPr/>
        <w:t>Приложение № 7 – Отборочные критерии рассмотрения заявок</w:t>
      </w:r>
      <w:bookmarkEnd w:id="350"/>
      <w:bookmarkEnd w:id="351"/>
    </w:p>
    <w:p>
      <w:pPr>
        <w:pStyle w:val="Style23"/>
        <w:spacing w:before="360" w:after="120"/>
        <w:rPr>
          <w:rStyle w:val="Style8"/>
          <w:i w:val="false"/>
          <w:i w:val="false"/>
          <w:iCs w:val="false"/>
          <w:shd w:fill="auto" w:val="clear"/>
        </w:rPr>
      </w:pPr>
      <w:bookmarkStart w:id="353" w:name="_Toc228876897"/>
      <w:r>
        <w:rPr>
          <w:rStyle w:val="Style8"/>
          <w:i w:val="false"/>
          <w:iCs w:val="false"/>
          <w:shd w:fill="auto" w:val="clear"/>
        </w:rPr>
        <w:t>Отборочные критерии рассмотрения первых частей заявок (первых частей заявок, содержащихся в окончательных предложениях)</w:t>
      </w:r>
      <w:bookmarkEnd w:id="353"/>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первой части заявки, в том числе:</w:t>
            </w:r>
          </w:p>
        </w:tc>
        <w:tc>
          <w:tcPr>
            <w:tcW w:w="311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языка заявки)</w:t>
            </w:r>
          </w:p>
        </w:tc>
        <w:tc>
          <w:tcPr>
            <w:tcW w:w="3117" w:type="dxa"/>
            <w:tcBorders/>
          </w:tcPr>
          <w:p>
            <w:pPr>
              <w:pStyle w:val="Style28"/>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первой части заявки сведений об Участнике и (или) о его ценовом предложении</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r>
              <w:rPr>
                <w:rFonts w:eastAsia="Calibri" w:cs=""/>
                <w:kern w:val="0"/>
                <w:sz w:val="26"/>
                <w:szCs w:val="22"/>
                <w:lang w:val="ru-RU" w:eastAsia="en-US" w:bidi="ar-SA"/>
              </w:rPr>
              <w:t>, или согласие с ними в Письме о подаче оферты</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 / сведений</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3"/>
        <w:spacing w:before="360" w:after="120"/>
        <w:rPr>
          <w:rStyle w:val="Style8"/>
          <w:i w:val="false"/>
          <w:i w:val="false"/>
          <w:iCs w:val="false"/>
          <w:shd w:fill="auto" w:val="clear"/>
        </w:rPr>
      </w:pPr>
      <w:bookmarkStart w:id="354" w:name="_Hlk132891087"/>
      <w:bookmarkStart w:id="355" w:name="_Toc228876899"/>
      <w:r>
        <w:rPr>
          <w:rStyle w:val="Style8"/>
          <w:i w:val="false"/>
          <w:iCs w:val="false"/>
          <w:shd w:fill="auto" w:val="clear"/>
        </w:rPr>
        <w:t>Отборочные критерии рассмотрения вторых частей заявок</w:t>
      </w:r>
      <w:bookmarkEnd w:id="354"/>
      <w:bookmarkEnd w:id="355"/>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второй части заявки, в том числе:</w:t>
            </w:r>
          </w:p>
        </w:tc>
        <w:tc>
          <w:tcPr>
            <w:tcW w:w="311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(при наличии), подписей, формы заверения, языка и валюты заявки)</w:t>
            </w:r>
          </w:p>
        </w:tc>
        <w:tc>
          <w:tcPr>
            <w:tcW w:w="3117" w:type="dxa"/>
            <w:tcBorders/>
          </w:tcPr>
          <w:p>
            <w:pPr>
              <w:pStyle w:val="Style28"/>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1412" w:type="dxa"/>
            <w:tcBorders/>
          </w:tcPr>
          <w:p>
            <w:pPr>
              <w:pStyle w:val="Style28"/>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6" w:name="_Ref132890414"/>
            <w:bookmarkStart w:id="357" w:name="_Ref132890414"/>
            <w:bookmarkEnd w:id="357"/>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4.21</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12" w:type="dxa"/>
            <w:tcBorders/>
          </w:tcPr>
          <w:p>
            <w:pPr>
              <w:pStyle w:val="Style28"/>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28"/>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8"/>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_Ref138341423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28"/>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_Ref132893662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8"/>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3 обязательных требований к Участникам</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8"/>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_Ref186181914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_Ref132816300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4.17</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_Ref186181253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_Ref186181918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_Ref132816300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4.17</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_Ref186181253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ОТех</w:t>
            </w:r>
          </w:p>
        </w:tc>
      </w:tr>
      <w:tr>
        <w:trPr/>
        <w:tc>
          <w:tcPr>
            <w:tcW w:w="1412" w:type="dxa"/>
            <w:tcBorders/>
          </w:tcPr>
          <w:p>
            <w:pPr>
              <w:pStyle w:val="Style28"/>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и заявка подана от его лица)</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1"/>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1"/>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28"/>
              <w:widowControl w:val="false"/>
              <w:suppressAutoHyphens w:val="true"/>
              <w:spacing w:before="60" w:after="60"/>
              <w:rPr>
                <w:rFonts w:ascii="Times New Roman" w:hAnsi="Times New Roman" w:eastAsia="Calibri" w:cs=""/>
                <w:kern w:val="0"/>
                <w:sz w:val="26"/>
                <w:szCs w:val="22"/>
                <w:lang w:eastAsia="en-US" w:bidi="ar-SA"/>
              </w:rPr>
            </w:pPr>
            <w:r>
              <w:rPr>
                <w:rFonts w:eastAsia="Calibri" w:cs=""/>
                <w:i/>
                <w:iCs/>
                <w:kern w:val="0"/>
                <w:sz w:val="26"/>
                <w:szCs w:val="22"/>
                <w:lang w:val="ru-RU" w:eastAsia="en-US" w:bidi="ar-SA"/>
              </w:rPr>
              <w:t>(пункт применяется только в случае исполнения Заказчиком норм в части минимальной обязательной доли закупок товаров российского происхождения (подраздел</w:t>
            </w:r>
            <w:r>
              <w:rPr>
                <w:rFonts w:eastAsia="Calibri" w:cs=""/>
                <w:i/>
                <w:iCs/>
                <w:kern w:val="0"/>
                <w:sz w:val="26"/>
                <w:szCs w:val="22"/>
                <w:lang w:val="en-US" w:eastAsia="en-US" w:bidi="ar-SA"/>
              </w:rPr>
              <w:t> </w:t>
            </w:r>
            <w:r>
              <w:rPr>
                <w:rFonts w:eastAsia="Calibri" w:cs=""/>
                <w:i/>
                <w:iCs/>
                <w:kern w:val="0"/>
                <w:sz w:val="26"/>
                <w:szCs w:val="22"/>
                <w:lang w:val="en-US" w:eastAsia="en-US" w:bidi="ar-SA"/>
              </w:rPr>
              <w:fldChar w:fldCharType="begin"/>
            </w:r>
            <w:r>
              <w:rPr>
                <w:sz w:val="26"/>
                <w:i/>
                <w:kern w:val="0"/>
                <w:szCs w:val="22"/>
                <w:iCs/>
                <w:rFonts w:eastAsia="Calibri" w:cs=""/>
                <w:lang w:val="en-US" w:eastAsia="en-US" w:bidi="ar-SA"/>
              </w:rPr>
              <w:instrText xml:space="preserve"> REF _Ref186181253 \r \h </w:instrText>
            </w:r>
            <w:r>
              <w:rPr>
                <w:sz w:val="26"/>
                <w:i/>
                <w:kern w:val="0"/>
                <w:szCs w:val="22"/>
                <w:iCs/>
                <w:rFonts w:eastAsia="Calibri" w:cs=""/>
                <w:lang w:val="en-US" w:eastAsia="en-US" w:bidi="ar-SA"/>
              </w:rPr>
              <w:fldChar w:fldCharType="separate"/>
            </w:r>
            <w:r>
              <w:rPr>
                <w:sz w:val="26"/>
                <w:i/>
                <w:kern w:val="0"/>
                <w:szCs w:val="22"/>
                <w:iCs/>
                <w:rFonts w:eastAsia="Calibri" w:cs=""/>
                <w:lang w:val="en-US" w:eastAsia="en-US" w:bidi="ar-SA"/>
              </w:rPr>
              <w:t>4.17</w:t>
            </w:r>
            <w:r>
              <w:rPr>
                <w:sz w:val="26"/>
                <w:i/>
                <w:kern w:val="0"/>
                <w:szCs w:val="22"/>
                <w:iCs/>
                <w:rFonts w:eastAsia="Calibri" w:cs=""/>
                <w:lang w:val="en-US"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подразделы</w:t>
            </w:r>
            <w:r>
              <w:rPr>
                <w:rFonts w:eastAsia="Calibri" w:cs=""/>
                <w:kern w:val="0"/>
                <w:sz w:val="26"/>
                <w:szCs w:val="22"/>
                <w:lang w:val="en-US" w:eastAsia="en-US" w:bidi="ar-SA"/>
              </w:rPr>
              <w:t> </w:t>
            </w:r>
            <w:r>
              <w:rPr>
                <w:rFonts w:eastAsia="Calibri" w:cs=""/>
                <w:kern w:val="0"/>
                <w:sz w:val="26"/>
                <w:szCs w:val="22"/>
                <w:lang w:val="en-US" w:eastAsia="en-US" w:bidi="ar-SA"/>
              </w:rPr>
              <w:fldChar w:fldCharType="begin"/>
            </w:r>
            <w:r>
              <w:rPr>
                <w:sz w:val="26"/>
                <w:kern w:val="0"/>
                <w:szCs w:val="22"/>
                <w:rFonts w:eastAsia="Calibri" w:cs=""/>
                <w:lang w:val="en-US" w:eastAsia="en-US" w:bidi="ar-SA"/>
              </w:rPr>
              <w:instrText xml:space="preserve"> REF _Ref130281199 \r \h </w:instrText>
            </w:r>
            <w:r>
              <w:rPr>
                <w:sz w:val="26"/>
                <w:kern w:val="0"/>
                <w:szCs w:val="22"/>
                <w:rFonts w:eastAsia="Calibri" w:cs=""/>
                <w:lang w:val="en-US" w:eastAsia="en-US" w:bidi="ar-SA"/>
              </w:rPr>
              <w:fldChar w:fldCharType="separate"/>
            </w:r>
            <w:r>
              <w:rPr>
                <w:sz w:val="26"/>
                <w:kern w:val="0"/>
                <w:szCs w:val="22"/>
                <w:rFonts w:eastAsia="Calibri" w:cs=""/>
                <w:lang w:val="en-US" w:eastAsia="en-US" w:bidi="ar-SA"/>
              </w:rPr>
              <w:t>4.3</w:t>
            </w:r>
            <w:r>
              <w:rPr>
                <w:sz w:val="26"/>
                <w:kern w:val="0"/>
                <w:szCs w:val="22"/>
                <w:rFonts w:eastAsia="Calibri" w:cs=""/>
                <w:lang w:val="en-US"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en-US" w:eastAsia="en-US" w:bidi="ar-SA"/>
              </w:rPr>
              <w:fldChar w:fldCharType="begin"/>
            </w:r>
            <w:r>
              <w:rPr>
                <w:sz w:val="26"/>
                <w:kern w:val="0"/>
                <w:szCs w:val="22"/>
                <w:rFonts w:eastAsia="Calibri" w:cs=""/>
                <w:lang w:val="en-US" w:eastAsia="en-US" w:bidi="ar-SA"/>
              </w:rPr>
              <w:instrText xml:space="preserve"> REF _Ref186181253 \r \h </w:instrText>
            </w:r>
            <w:r>
              <w:rPr>
                <w:sz w:val="26"/>
                <w:kern w:val="0"/>
                <w:szCs w:val="22"/>
                <w:rFonts w:eastAsia="Calibri" w:cs=""/>
                <w:lang w:val="en-US" w:eastAsia="en-US" w:bidi="ar-SA"/>
              </w:rPr>
              <w:fldChar w:fldCharType="separate"/>
            </w:r>
            <w:r>
              <w:rPr>
                <w:sz w:val="26"/>
                <w:kern w:val="0"/>
                <w:szCs w:val="22"/>
                <w:rFonts w:eastAsia="Calibri" w:cs=""/>
                <w:lang w:val="en-US" w:eastAsia="en-US" w:bidi="ar-SA"/>
              </w:rPr>
              <w:t>4.17</w:t>
            </w:r>
            <w:r>
              <w:rPr>
                <w:sz w:val="26"/>
                <w:kern w:val="0"/>
                <w:szCs w:val="22"/>
                <w:rFonts w:eastAsia="Calibri" w:cs=""/>
                <w:lang w:val="en-US" w:eastAsia="en-US" w:bidi="ar-SA"/>
              </w:rPr>
              <w:fldChar w:fldCharType="end"/>
            </w:r>
            <w:r>
              <w:rPr>
                <w:rFonts w:eastAsia="Calibri" w:cs=""/>
                <w:kern w:val="0"/>
                <w:sz w:val="26"/>
                <w:szCs w:val="22"/>
                <w:lang w:val="en-US"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3"/>
        <w:spacing w:before="360" w:after="120"/>
        <w:rPr>
          <w:rStyle w:val="Style8"/>
          <w:i w:val="false"/>
          <w:i w:val="false"/>
          <w:iCs w:val="false"/>
          <w:shd w:fill="auto" w:val="clear"/>
        </w:rPr>
      </w:pPr>
      <w:bookmarkStart w:id="358" w:name="_Toc228876900"/>
      <w:r>
        <w:rPr>
          <w:rStyle w:val="Style8"/>
          <w:i w:val="false"/>
          <w:iCs w:val="false"/>
          <w:shd w:fill="auto" w:val="clear"/>
        </w:rPr>
        <w:t>Отборочные критерии рассмотрения ценовых предложений (дополнительных ценовых предложений)</w:t>
      </w:r>
      <w:bookmarkEnd w:id="358"/>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Состав, содержание и правильность оформления ценового предложения, в том числе:</w:t>
            </w:r>
          </w:p>
        </w:tc>
        <w:tc>
          <w:tcPr>
            <w:tcW w:w="311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3"/>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ценового предложения по составу требованиям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Приложение №1,</w:t>
            </w:r>
          </w:p>
          <w:p>
            <w:pPr>
              <w:pStyle w:val="Style28"/>
              <w:widowControl w:val="false"/>
              <w:suppressAutoHyphens w:val="true"/>
              <w:spacing w:before="60" w:after="60"/>
              <w:jc w:val="center"/>
              <w:rPr>
                <w:rStyle w:val="Style11"/>
              </w:rPr>
            </w:pP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8"/>
              <w:widowControl w:val="false"/>
              <w:numPr>
                <w:ilvl w:val="0"/>
                <w:numId w:val="13"/>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_Ref132797154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p>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3"/>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8"/>
              <w:widowControl w:val="false"/>
              <w:suppressAutoHyphens w:val="true"/>
              <w:spacing w:before="60" w:after="60"/>
              <w:jc w:val="center"/>
              <w:rPr/>
            </w:pPr>
            <w:r>
              <w:rPr>
                <w:rFonts w:eastAsia="Calibri" w:cs=""/>
                <w:kern w:val="0"/>
                <w:sz w:val="26"/>
                <w:szCs w:val="22"/>
                <w:lang w:val="ru-RU" w:eastAsia="en-US" w:bidi="ar-SA"/>
              </w:rPr>
              <w:t>Приложение №1,</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8"/>
              <w:widowControl w:val="false"/>
              <w:numPr>
                <w:ilvl w:val="0"/>
                <w:numId w:val="13"/>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suppressAutoHyphens w:val="true"/>
              <w:spacing w:before="60" w:after="60"/>
              <w:rPr>
                <w:rFonts w:ascii="Times New Roman" w:hAnsi="Times New Roman" w:eastAsia="Calibri" w:cs=""/>
                <w:kern w:val="0"/>
                <w:sz w:val="26"/>
                <w:szCs w:val="22"/>
                <w:lang w:eastAsia="en-US" w:bidi="ar-SA"/>
              </w:rPr>
            </w:pPr>
            <w:r>
              <w:rPr>
                <w:rFonts w:eastAsia="Calibri" w:cs=""/>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
                <w:i/>
                <w:iCs/>
                <w:kern w:val="0"/>
                <w:sz w:val="26"/>
                <w:szCs w:val="22"/>
                <w:lang w:val="en-US" w:eastAsia="en-US" w:bidi="ar-SA"/>
              </w:rPr>
              <w:fldChar w:fldCharType="begin"/>
            </w:r>
            <w:r>
              <w:rPr>
                <w:sz w:val="26"/>
                <w:i/>
                <w:kern w:val="0"/>
                <w:szCs w:val="22"/>
                <w:iCs/>
                <w:rFonts w:eastAsia="Calibri" w:cs=""/>
                <w:lang w:val="en-US" w:eastAsia="en-US" w:bidi="ar-SA"/>
              </w:rPr>
              <w:instrText xml:space="preserve"> REF _Ref186181253 \r \h </w:instrText>
            </w:r>
            <w:r>
              <w:rPr>
                <w:sz w:val="26"/>
                <w:i/>
                <w:kern w:val="0"/>
                <w:szCs w:val="22"/>
                <w:iCs/>
                <w:rFonts w:eastAsia="Calibri" w:cs=""/>
                <w:lang w:val="en-US" w:eastAsia="en-US" w:bidi="ar-SA"/>
              </w:rPr>
              <w:fldChar w:fldCharType="separate"/>
            </w:r>
            <w:r>
              <w:rPr>
                <w:sz w:val="26"/>
                <w:i/>
                <w:kern w:val="0"/>
                <w:szCs w:val="22"/>
                <w:iCs/>
                <w:rFonts w:eastAsia="Calibri" w:cs=""/>
                <w:lang w:val="en-US" w:eastAsia="en-US" w:bidi="ar-SA"/>
              </w:rPr>
              <w:t>4.17</w:t>
            </w:r>
            <w:r>
              <w:rPr>
                <w:sz w:val="26"/>
                <w:i/>
                <w:kern w:val="0"/>
                <w:szCs w:val="22"/>
                <w:iCs/>
                <w:rFonts w:eastAsia="Calibri" w:cs=""/>
                <w:lang w:val="en-US"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_Ref130281199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en-US" w:eastAsia="en-US" w:bidi="ar-SA"/>
              </w:rPr>
              <w:fldChar w:fldCharType="begin"/>
            </w:r>
            <w:r>
              <w:rPr>
                <w:sz w:val="26"/>
                <w:kern w:val="0"/>
                <w:szCs w:val="22"/>
                <w:rFonts w:eastAsia="Calibri" w:cs=""/>
                <w:lang w:val="en-US" w:eastAsia="en-US" w:bidi="ar-SA"/>
              </w:rPr>
              <w:instrText xml:space="preserve"> REF _Ref186181253 \r \h </w:instrText>
            </w:r>
            <w:r>
              <w:rPr>
                <w:sz w:val="26"/>
                <w:kern w:val="0"/>
                <w:szCs w:val="22"/>
                <w:rFonts w:eastAsia="Calibri" w:cs=""/>
                <w:lang w:val="en-US" w:eastAsia="en-US" w:bidi="ar-SA"/>
              </w:rPr>
              <w:fldChar w:fldCharType="separate"/>
            </w:r>
            <w:r>
              <w:rPr>
                <w:sz w:val="26"/>
                <w:kern w:val="0"/>
                <w:szCs w:val="22"/>
                <w:rFonts w:eastAsia="Calibri" w:cs=""/>
                <w:lang w:val="en-US" w:eastAsia="en-US" w:bidi="ar-SA"/>
              </w:rPr>
              <w:t>4.17</w:t>
            </w:r>
            <w:r>
              <w:rPr>
                <w:sz w:val="26"/>
                <w:kern w:val="0"/>
                <w:szCs w:val="22"/>
                <w:rFonts w:eastAsia="Calibri" w:cs=""/>
                <w:lang w:val="en-US" w:eastAsia="en-US" w:bidi="ar-SA"/>
              </w:rPr>
              <w:fldChar w:fldCharType="end"/>
            </w:r>
          </w:p>
          <w:p>
            <w:pPr>
              <w:pStyle w:val="Style28"/>
              <w:widowControl w:val="false"/>
              <w:suppressAutoHyphens w:val="true"/>
              <w:spacing w:before="60" w:after="60"/>
              <w:jc w:val="center"/>
              <w:rPr/>
            </w:pP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br/>
              <w:t>(форма Коммерческого предложения)</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13"/>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Коммерческому приложению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xml:space="preserve">)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8"/>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1"/>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3"/>
        <w:rPr>
          <w:rStyle w:val="Style8"/>
          <w:i w:val="false"/>
          <w:i w:val="false"/>
          <w:iCs w:val="false"/>
          <w:shd w:fill="auto" w:val="clear"/>
        </w:rPr>
      </w:pPr>
      <w:bookmarkStart w:id="359" w:name="_Toc228876901"/>
      <w:r>
        <w:rPr>
          <w:rStyle w:val="Style8"/>
          <w:i w:val="false"/>
          <w:iCs w:val="false"/>
          <w:shd w:fill="auto" w:val="clear"/>
        </w:rPr>
        <w:t>Дополнительные критерии проверки заявок на соответствие условиям Документации о закупке</w:t>
      </w:r>
      <w:bookmarkEnd w:id="359"/>
    </w:p>
    <w:p>
      <w:pPr>
        <w:pStyle w:val="Style28"/>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28"/>
              <w:widowControl w:val="false"/>
              <w:numPr>
                <w:ilvl w:val="0"/>
                <w:numId w:val="14"/>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применения преимущества, 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_Ref130985951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4.17</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rStyle w:val="Style11"/>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_Ref132816300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8"/>
        <w:keepNext w:val="true"/>
        <w:tabs>
          <w:tab w:val="clear" w:pos="708"/>
          <w:tab w:val="left" w:pos="851" w:leader="none"/>
        </w:tabs>
        <w:spacing w:before="240" w:after="0"/>
        <w:rPr>
          <w:b/>
          <w:bCs/>
        </w:rPr>
      </w:pPr>
      <w:r>
        <w:rPr>
          <w:b/>
          <w:bCs/>
        </w:rPr>
        <w:t>* Направления оценки заявок:</w:t>
      </w:r>
    </w:p>
    <w:p>
      <w:pPr>
        <w:pStyle w:val="Style28"/>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 в случае отсутствия внесенных Участником денежных средств на специальный банковский счет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8"/>
        <w:tabs>
          <w:tab w:val="clear" w:pos="708"/>
          <w:tab w:val="left" w:pos="1134" w:leader="none"/>
        </w:tabs>
        <w:ind w:left="1701" w:hanging="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360" w:name="_Hlk207818776"/>
      <w:r>
        <w:rP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360"/>
      <w:r>
        <w:rPr/>
        <w:t>; оценка Технических предложений и сведений, подтверждающих соответствия Участника специальным требованиям Документации о закупке; оценка квалификационных данных Участника (в рамках оценки заявок по соответствующим критериям оценки),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8"/>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8"/>
        <w:keepNext w:val="true"/>
        <w:tabs>
          <w:tab w:val="clear" w:pos="708"/>
          <w:tab w:val="left" w:pos="1134" w:leader="none"/>
        </w:tabs>
        <w:ind w:left="1701" w:hanging="1701"/>
        <w:rPr/>
      </w:pPr>
      <w:r>
        <w:rPr>
          <w:b/>
          <w:bCs/>
        </w:rPr>
        <w:t>Цена</w:t>
      </w:r>
      <w:r>
        <w:rPr/>
        <w:tab/>
        <w:t>–</w:t>
        <w:tab/>
      </w:r>
      <w:bookmarkStart w:id="361" w:name="_Hlk207818793"/>
      <w:bookmarkStart w:id="362" w:name="_Hlk207821342"/>
      <w:r>
        <w:rP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(сметная документация и т.п.),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  </w:t>
      </w:r>
      <w:bookmarkEnd w:id="361"/>
      <w:bookmarkEnd w:id="362"/>
      <w:r>
        <w:rPr/>
        <w:t xml:space="preserve"> непревышения ценового предложения участника установленного размера НМЦ.</w:t>
      </w:r>
    </w:p>
    <w:p>
      <w:pPr>
        <w:pStyle w:val="Style28"/>
        <w:tabs>
          <w:tab w:val="clear" w:pos="708"/>
          <w:tab w:val="left" w:pos="1134" w:leader="none"/>
        </w:tabs>
        <w:ind w:left="1701" w:hanging="1701"/>
        <w:rPr/>
      </w:pPr>
      <w:r>
        <w:rPr>
          <w:b/>
          <w:bCs/>
        </w:rPr>
        <w:t>Фин</w:t>
      </w:r>
      <w:r>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независимой гарантии)</w:t>
      </w:r>
      <w:r>
        <w:rPr/>
        <w:t>.</w:t>
      </w:r>
    </w:p>
    <w:p>
      <w:pPr>
        <w:sectPr>
          <w:headerReference w:type="default" r:id="rId32"/>
          <w:headerReference w:type="first" r:id="rId33"/>
          <w:footerReference w:type="default" r:id="rId34"/>
          <w:footerReference w:type="first" r:id="rId35"/>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8"/>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2"/>
        <w:rPr/>
      </w:pPr>
      <w:bookmarkStart w:id="363" w:name="_Toc228876902"/>
      <w:bookmarkStart w:id="364" w:name="_Ref125369438"/>
      <w:bookmarkStart w:id="365" w:name="_Ref125369021"/>
      <w:bookmarkStart w:id="366" w:name="_Ref125368331"/>
      <w:bookmarkStart w:id="367" w:name="_Ref125368313"/>
      <w:bookmarkStart w:id="368" w:name="_Ref125368302"/>
      <w:bookmarkStart w:id="369" w:name="_Ref125368291"/>
      <w:bookmarkStart w:id="370" w:name="_Ref125368283"/>
      <w:bookmarkStart w:id="371" w:name="_Ref125368184"/>
      <w:bookmarkStart w:id="372" w:name="_Ref125368172"/>
      <w:bookmarkStart w:id="373" w:name="_Ref125368165"/>
      <w:bookmarkStart w:id="374" w:name="_Ref125368150"/>
      <w:bookmarkStart w:id="375" w:name="_Ref125368140"/>
      <w:bookmarkStart w:id="376" w:name="_Ref125366285"/>
      <w:bookmarkStart w:id="377" w:name="_Ref125366280"/>
      <w:bookmarkStart w:id="378" w:name="_Ref125366013"/>
      <w:bookmarkStart w:id="379" w:name="_Ref125361951"/>
      <w:bookmarkStart w:id="380" w:name="_Ref125361648"/>
      <w:bookmarkStart w:id="381" w:name="Прил08_ПорядокОценки"/>
      <w:bookmarkEnd w:id="381"/>
      <w:r>
        <w:rPr/>
        <w:t>Приложение № 8 – Порядок и критерии оценки и сопоставления заявок</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Style23"/>
        <w:rPr/>
      </w:pPr>
      <w:bookmarkStart w:id="382" w:name="_Toc228876903"/>
      <w:r>
        <w:rPr/>
        <w:t>Порядок и критерии оценки и сопоставления заявок</w:t>
      </w:r>
      <w:bookmarkEnd w:id="382"/>
    </w:p>
    <w:p>
      <w:pPr>
        <w:pStyle w:val="Style24"/>
        <w:rPr/>
      </w:pPr>
      <w:r>
        <w:rPr/>
        <w:t>Расчет итоговой оценки предпочтительности каждой заявки, успешно прошедшей отборочную стадию: рассмотрение вторых частей заявок и ценовых предложений, рассмотрение дополнительных ценовых предложений – если проводилась переторжка, осуществляется по следующим критериям оценки и в соответствии со следующим порядком оценки предпочтительности и сопоставления заявок:</w:t>
      </w:r>
    </w:p>
    <w:tbl>
      <w:tblPr>
        <w:tblStyle w:val="af9"/>
        <w:tblW w:w="14034" w:type="dxa"/>
        <w:jc w:val="left"/>
        <w:tblInd w:w="1127" w:type="dxa"/>
        <w:tblLayout w:type="fixed"/>
        <w:tblCellMar>
          <w:top w:w="55" w:type="dxa"/>
          <w:left w:w="57" w:type="dxa"/>
          <w:bottom w:w="55" w:type="dxa"/>
          <w:right w:w="57" w:type="dxa"/>
        </w:tblCellMar>
        <w:tblLook w:val="04a0" w:noVBand="1" w:noHBand="0" w:lastColumn="0" w:firstColumn="1" w:lastRow="0" w:firstRow="1"/>
      </w:tblPr>
      <w:tblGrid>
        <w:gridCol w:w="739"/>
        <w:gridCol w:w="2062"/>
        <w:gridCol w:w="1594"/>
        <w:gridCol w:w="1701"/>
        <w:gridCol w:w="1841"/>
        <w:gridCol w:w="1986"/>
        <w:gridCol w:w="4110"/>
      </w:tblGrid>
      <w:tr>
        <w:trPr>
          <w:cnfStyle w:val="100000000000" w:firstRow="1" w:lastRow="0" w:firstColumn="0" w:lastColumn="0" w:oddVBand="0" w:evenVBand="0" w:oddHBand="0" w:evenHBand="0" w:firstRowFirstColumn="0" w:firstRowLastColumn="0" w:lastRowFirstColumn="0" w:lastRowLastColumn="0"/>
        </w:trPr>
        <w:tc>
          <w:tcPr>
            <w:tcW w:w="739" w:type="dxa"/>
            <w:vMerge w:val="restart"/>
            <w:tcBorders>
              <w:top w:val="single" w:sz="6" w:space="0" w:color="7F7F7F"/>
              <w:left w:val="single" w:sz="6" w:space="0" w:color="7F7F7F"/>
              <w:bottom w:val="single" w:sz="6" w:space="0" w:color="7F7F7F"/>
              <w:right w:val="nil"/>
            </w:tcBorders>
          </w:tcPr>
          <w:p>
            <w:pPr>
              <w:pStyle w:val="Style28"/>
              <w:keepNext w:val="true"/>
              <w:keepLines w:val="false"/>
              <w:widowControl w:val="false"/>
              <w:suppressAutoHyphens w:val="true"/>
              <w:spacing w:before="40" w:after="40"/>
              <w:jc w:val="center"/>
              <w:rPr>
                <w:rFonts w:ascii="Times New Roman" w:hAnsi="Times New Roman"/>
                <w:sz w:val="18"/>
                <w:szCs w:val="18"/>
              </w:rPr>
            </w:pPr>
            <w:r>
              <w:rPr>
                <w:rFonts w:eastAsia="Calibri" w:cs=""/>
                <w:b/>
                <w:kern w:val="0"/>
                <w:sz w:val="18"/>
                <w:szCs w:val="18"/>
                <w:lang w:val="ru-RU" w:eastAsia="en-US" w:bidi="ar-SA"/>
              </w:rPr>
              <w:t>Номер критерия оценки в</w:t>
            </w:r>
            <w:r>
              <w:rPr>
                <w:rFonts w:eastAsia="Calibri" w:cs=""/>
                <w:b/>
                <w:kern w:val="0"/>
                <w:sz w:val="18"/>
                <w:szCs w:val="18"/>
                <w:lang w:val="en-US" w:eastAsia="en-US" w:bidi="ar-SA"/>
              </w:rPr>
              <w:t> </w:t>
            </w:r>
            <w:r>
              <w:rPr>
                <w:rFonts w:eastAsia="Calibri" w:cs=""/>
                <w:b/>
                <w:kern w:val="0"/>
                <w:sz w:val="18"/>
                <w:szCs w:val="18"/>
                <w:lang w:val="ru-RU" w:eastAsia="en-US" w:bidi="ar-SA"/>
              </w:rPr>
              <w:t>структуре</w:t>
            </w:r>
          </w:p>
        </w:tc>
        <w:tc>
          <w:tcPr>
            <w:tcW w:w="2062" w:type="dxa"/>
            <w:vMerge w:val="restart"/>
            <w:tcBorders>
              <w:top w:val="single" w:sz="6" w:space="0" w:color="7F7F7F"/>
              <w:left w:val="single" w:sz="6" w:space="0" w:color="7F7F7F"/>
              <w:bottom w:val="single" w:sz="6" w:space="0" w:color="7F7F7F"/>
              <w:right w:val="nil"/>
            </w:tcBorders>
          </w:tcPr>
          <w:p>
            <w:pPr>
              <w:pStyle w:val="Style28"/>
              <w:keepNext w:val="true"/>
              <w:keepLines w:val="false"/>
              <w:widowControl w:val="false"/>
              <w:suppressAutoHyphens w:val="true"/>
              <w:spacing w:before="40" w:after="40"/>
              <w:jc w:val="center"/>
              <w:rPr>
                <w:rFonts w:ascii="Times New Roman" w:hAnsi="Times New Roman"/>
                <w:sz w:val="18"/>
                <w:szCs w:val="18"/>
              </w:rPr>
            </w:pPr>
            <w:r>
              <w:rPr>
                <w:rFonts w:eastAsia="Calibri" w:cs=""/>
                <w:b/>
                <w:kern w:val="0"/>
                <w:sz w:val="18"/>
                <w:szCs w:val="18"/>
                <w:lang w:val="ru-RU" w:eastAsia="en-US" w:bidi="ar-SA"/>
              </w:rPr>
              <w:t>Вид критерия оценки / направление оценки заявок</w:t>
            </w:r>
          </w:p>
        </w:tc>
        <w:tc>
          <w:tcPr>
            <w:tcW w:w="3295" w:type="dxa"/>
            <w:gridSpan w:val="2"/>
            <w:tcBorders>
              <w:top w:val="single" w:sz="6" w:space="0" w:color="7F7F7F"/>
              <w:left w:val="single" w:sz="6" w:space="0" w:color="7F7F7F"/>
              <w:bottom w:val="single" w:sz="6" w:space="0" w:color="7F7F7F"/>
              <w:right w:val="nil"/>
            </w:tcBorders>
          </w:tcPr>
          <w:p>
            <w:pPr>
              <w:pStyle w:val="Style28"/>
              <w:keepNext w:val="true"/>
              <w:keepLines w:val="false"/>
              <w:widowControl w:val="false"/>
              <w:suppressAutoHyphens w:val="true"/>
              <w:spacing w:before="40" w:after="40"/>
              <w:jc w:val="center"/>
              <w:rPr>
                <w:rFonts w:ascii="Times New Roman" w:hAnsi="Times New Roman"/>
                <w:sz w:val="18"/>
                <w:szCs w:val="18"/>
              </w:rPr>
            </w:pPr>
            <w:r>
              <w:rPr>
                <w:rFonts w:eastAsia="Calibri" w:cs=""/>
                <w:b/>
                <w:kern w:val="0"/>
                <w:sz w:val="18"/>
                <w:szCs w:val="18"/>
                <w:lang w:val="ru-RU" w:eastAsia="en-US" w:bidi="ar-SA"/>
              </w:rPr>
              <w:t>Наименование критерия оценки</w:t>
            </w:r>
          </w:p>
        </w:tc>
        <w:tc>
          <w:tcPr>
            <w:tcW w:w="1841" w:type="dxa"/>
            <w:vMerge w:val="restart"/>
            <w:tcBorders>
              <w:top w:val="single" w:sz="6" w:space="0" w:color="7F7F7F"/>
              <w:left w:val="single" w:sz="6" w:space="0" w:color="7F7F7F"/>
              <w:bottom w:val="single" w:sz="6" w:space="0" w:color="7F7F7F"/>
              <w:right w:val="nil"/>
            </w:tcBorders>
          </w:tcPr>
          <w:p>
            <w:pPr>
              <w:pStyle w:val="Style28"/>
              <w:keepNext w:val="true"/>
              <w:keepLines w:val="false"/>
              <w:widowControl w:val="false"/>
              <w:suppressAutoHyphens w:val="true"/>
              <w:spacing w:before="40" w:after="40"/>
              <w:jc w:val="center"/>
              <w:rPr>
                <w:rFonts w:ascii="Times New Roman" w:hAnsi="Times New Roman"/>
                <w:sz w:val="18"/>
                <w:szCs w:val="18"/>
              </w:rPr>
            </w:pPr>
            <w:r>
              <w:rPr>
                <w:rFonts w:eastAsia="Calibri" w:cs=""/>
                <w:b/>
                <w:kern w:val="0"/>
                <w:sz w:val="18"/>
                <w:szCs w:val="18"/>
                <w:lang w:val="ru-RU" w:eastAsia="en-US" w:bidi="ar-SA"/>
              </w:rPr>
              <w:t>Значимость</w:t>
              <w:br/>
              <w:t>критерия оценки</w:t>
            </w:r>
          </w:p>
        </w:tc>
        <w:tc>
          <w:tcPr>
            <w:tcW w:w="1986" w:type="dxa"/>
            <w:vMerge w:val="restart"/>
            <w:tcBorders>
              <w:top w:val="single" w:sz="6" w:space="0" w:color="7F7F7F"/>
              <w:left w:val="single" w:sz="6" w:space="0" w:color="7F7F7F"/>
              <w:bottom w:val="single" w:sz="6" w:space="0" w:color="7F7F7F"/>
              <w:right w:val="nil"/>
            </w:tcBorders>
          </w:tcPr>
          <w:p>
            <w:pPr>
              <w:pStyle w:val="Style28"/>
              <w:keepNext w:val="true"/>
              <w:keepLines w:val="false"/>
              <w:widowControl w:val="false"/>
              <w:suppressAutoHyphens w:val="true"/>
              <w:spacing w:before="40" w:after="40"/>
              <w:jc w:val="center"/>
              <w:rPr>
                <w:rFonts w:ascii="Times New Roman" w:hAnsi="Times New Roman"/>
                <w:sz w:val="18"/>
                <w:szCs w:val="18"/>
              </w:rPr>
            </w:pPr>
            <w:r>
              <w:rPr>
                <w:rFonts w:eastAsia="Calibri" w:cs=""/>
                <w:b/>
                <w:kern w:val="0"/>
                <w:sz w:val="18"/>
                <w:szCs w:val="18"/>
                <w:lang w:val="ru-RU" w:eastAsia="en-US" w:bidi="ar-SA"/>
              </w:rPr>
              <w:t>Содержание частного критерия оценки</w:t>
            </w:r>
          </w:p>
        </w:tc>
        <w:tc>
          <w:tcPr>
            <w:tcW w:w="4110" w:type="dxa"/>
            <w:vMerge w:val="restart"/>
            <w:tcBorders>
              <w:top w:val="single" w:sz="6" w:space="0" w:color="7F7F7F"/>
              <w:left w:val="single" w:sz="6" w:space="0" w:color="7F7F7F"/>
              <w:bottom w:val="single" w:sz="6" w:space="0" w:color="7F7F7F"/>
              <w:right w:val="single" w:sz="6" w:space="0" w:color="7F7F7F"/>
            </w:tcBorders>
          </w:tcPr>
          <w:p>
            <w:pPr>
              <w:pStyle w:val="Style28"/>
              <w:keepNext w:val="true"/>
              <w:keepLines w:val="false"/>
              <w:widowControl w:val="false"/>
              <w:suppressAutoHyphens w:val="true"/>
              <w:spacing w:before="40" w:after="40"/>
              <w:jc w:val="center"/>
              <w:rPr>
                <w:rFonts w:ascii="Times New Roman" w:hAnsi="Times New Roman"/>
                <w:sz w:val="18"/>
                <w:szCs w:val="18"/>
              </w:rPr>
            </w:pPr>
            <w:r>
              <w:rPr>
                <w:rFonts w:eastAsia="Calibri" w:cs=""/>
                <w:b/>
                <w:kern w:val="0"/>
                <w:sz w:val="18"/>
                <w:szCs w:val="18"/>
                <w:lang w:val="ru-RU" w:eastAsia="en-US" w:bidi="ar-SA"/>
              </w:rPr>
              <w:t>Расчет оценки предпочтительности заявки</w:t>
            </w:r>
          </w:p>
        </w:tc>
      </w:tr>
      <w:tr>
        <w:trPr/>
        <w:tc>
          <w:tcPr>
            <w:tcW w:w="739" w:type="dxa"/>
            <w:vMerge w:val="continue"/>
            <w:tcBorders>
              <w:top w:val="nil"/>
              <w:left w:val="single" w:sz="6" w:space="0" w:color="7F7F7F"/>
              <w:bottom w:val="single" w:sz="6" w:space="0" w:color="7F7F7F"/>
              <w:right w:val="nil"/>
            </w:tcBorders>
          </w:tcPr>
          <w:p>
            <w:pPr>
              <w:pStyle w:val="Style28"/>
              <w:widowControl w:val="false"/>
              <w:suppressAutoHyphens w:val="true"/>
              <w:spacing w:before="40" w:after="40"/>
              <w:jc w:val="center"/>
              <w:rPr>
                <w:rFonts w:ascii="Times New Roman" w:hAnsi="Times New Roman"/>
                <w:sz w:val="18"/>
                <w:szCs w:val="18"/>
              </w:rPr>
            </w:pPr>
            <w:r>
              <w:rPr>
                <w:sz w:val="18"/>
                <w:szCs w:val="18"/>
              </w:rPr>
            </w:r>
          </w:p>
        </w:tc>
        <w:tc>
          <w:tcPr>
            <w:tcW w:w="2062" w:type="dxa"/>
            <w:vMerge w:val="continue"/>
            <w:tcBorders>
              <w:top w:val="nil"/>
              <w:left w:val="single" w:sz="6" w:space="0" w:color="7F7F7F"/>
              <w:bottom w:val="single" w:sz="6" w:space="0" w:color="7F7F7F"/>
              <w:right w:val="nil"/>
            </w:tcBorders>
          </w:tcPr>
          <w:p>
            <w:pPr>
              <w:pStyle w:val="Style28"/>
              <w:widowControl w:val="false"/>
              <w:suppressAutoHyphens w:val="true"/>
              <w:spacing w:before="40" w:after="40"/>
              <w:jc w:val="center"/>
              <w:rPr>
                <w:rFonts w:ascii="Times New Roman" w:hAnsi="Times New Roman"/>
                <w:sz w:val="18"/>
                <w:szCs w:val="18"/>
              </w:rPr>
            </w:pPr>
            <w:r>
              <w:rPr>
                <w:sz w:val="18"/>
                <w:szCs w:val="18"/>
              </w:rPr>
            </w:r>
          </w:p>
        </w:tc>
        <w:tc>
          <w:tcPr>
            <w:tcW w:w="1594" w:type="dxa"/>
            <w:tcBorders>
              <w:top w:val="nil"/>
              <w:left w:val="single" w:sz="6" w:space="0" w:color="7F7F7F"/>
              <w:bottom w:val="single" w:sz="6" w:space="0" w:color="7F7F7F"/>
              <w:right w:val="nil"/>
            </w:tcBorders>
          </w:tcPr>
          <w:p>
            <w:pPr>
              <w:pStyle w:val="Style28"/>
              <w:widowControl w:val="false"/>
              <w:suppressAutoHyphens w:val="true"/>
              <w:spacing w:before="40" w:after="40"/>
              <w:jc w:val="center"/>
              <w:rPr>
                <w:rFonts w:ascii="Times New Roman" w:hAnsi="Times New Roman"/>
                <w:sz w:val="18"/>
                <w:szCs w:val="18"/>
              </w:rPr>
            </w:pPr>
            <w:r>
              <w:rPr>
                <w:rFonts w:eastAsia="Calibri" w:cs=""/>
                <w:b/>
                <w:bCs/>
                <w:kern w:val="0"/>
                <w:sz w:val="18"/>
                <w:szCs w:val="18"/>
                <w:lang w:val="ru-RU" w:eastAsia="en-US" w:bidi="ar-SA"/>
              </w:rPr>
              <w:t>критерий оценки первого уровня</w:t>
            </w:r>
          </w:p>
        </w:tc>
        <w:tc>
          <w:tcPr>
            <w:tcW w:w="1701" w:type="dxa"/>
            <w:tcBorders>
              <w:top w:val="nil"/>
              <w:left w:val="single" w:sz="6" w:space="0" w:color="7F7F7F"/>
              <w:bottom w:val="single" w:sz="6" w:space="0" w:color="7F7F7F"/>
              <w:right w:val="nil"/>
            </w:tcBorders>
          </w:tcPr>
          <w:p>
            <w:pPr>
              <w:pStyle w:val="Style28"/>
              <w:widowControl w:val="false"/>
              <w:suppressAutoHyphens w:val="true"/>
              <w:spacing w:before="40" w:after="40"/>
              <w:jc w:val="center"/>
              <w:rPr>
                <w:rFonts w:ascii="Times New Roman" w:hAnsi="Times New Roman"/>
                <w:sz w:val="18"/>
                <w:szCs w:val="18"/>
              </w:rPr>
            </w:pPr>
            <w:r>
              <w:rPr>
                <w:rFonts w:eastAsia="Calibri" w:cs=""/>
                <w:b/>
                <w:bCs/>
                <w:kern w:val="0"/>
                <w:sz w:val="18"/>
                <w:szCs w:val="18"/>
                <w:lang w:val="ru-RU" w:eastAsia="en-US" w:bidi="ar-SA"/>
              </w:rPr>
              <w:t>критерий оценки второго уровня</w:t>
            </w:r>
          </w:p>
        </w:tc>
        <w:tc>
          <w:tcPr>
            <w:tcW w:w="1841" w:type="dxa"/>
            <w:vMerge w:val="continue"/>
            <w:tcBorders>
              <w:top w:val="nil"/>
              <w:left w:val="single" w:sz="6" w:space="0" w:color="7F7F7F"/>
              <w:bottom w:val="single" w:sz="6" w:space="0" w:color="7F7F7F"/>
              <w:right w:val="nil"/>
            </w:tcBorders>
          </w:tcPr>
          <w:p>
            <w:pPr>
              <w:pStyle w:val="Style28"/>
              <w:widowControl w:val="false"/>
              <w:suppressAutoHyphens w:val="true"/>
              <w:spacing w:before="40" w:after="40"/>
              <w:jc w:val="center"/>
              <w:rPr>
                <w:rFonts w:ascii="Times New Roman" w:hAnsi="Times New Roman"/>
                <w:sz w:val="18"/>
                <w:szCs w:val="18"/>
              </w:rPr>
            </w:pPr>
            <w:r>
              <w:rPr>
                <w:sz w:val="18"/>
                <w:szCs w:val="18"/>
              </w:rPr>
            </w:r>
          </w:p>
        </w:tc>
        <w:tc>
          <w:tcPr>
            <w:tcW w:w="1986" w:type="dxa"/>
            <w:vMerge w:val="continue"/>
            <w:tcBorders>
              <w:top w:val="nil"/>
              <w:left w:val="single" w:sz="6" w:space="0" w:color="7F7F7F"/>
              <w:bottom w:val="single" w:sz="6" w:space="0" w:color="7F7F7F"/>
              <w:right w:val="nil"/>
            </w:tcBorders>
          </w:tcPr>
          <w:p>
            <w:pPr>
              <w:pStyle w:val="Style28"/>
              <w:widowControl w:val="false"/>
              <w:suppressAutoHyphens w:val="true"/>
              <w:spacing w:before="40" w:after="40"/>
              <w:jc w:val="center"/>
              <w:rPr>
                <w:rFonts w:ascii="Times New Roman" w:hAnsi="Times New Roman"/>
                <w:sz w:val="18"/>
                <w:szCs w:val="18"/>
              </w:rPr>
            </w:pPr>
            <w:r>
              <w:rPr>
                <w:sz w:val="18"/>
                <w:szCs w:val="18"/>
              </w:rPr>
            </w:r>
          </w:p>
        </w:tc>
        <w:tc>
          <w:tcPr>
            <w:tcW w:w="4110" w:type="dxa"/>
            <w:vMerge w:val="continue"/>
            <w:tcBorders>
              <w:top w:val="nil"/>
              <w:left w:val="single" w:sz="6" w:space="0" w:color="7F7F7F"/>
              <w:bottom w:val="single" w:sz="6" w:space="0" w:color="7F7F7F"/>
              <w:right w:val="single" w:sz="6" w:space="0" w:color="7F7F7F"/>
            </w:tcBorders>
          </w:tcPr>
          <w:p>
            <w:pPr>
              <w:pStyle w:val="Style28"/>
              <w:widowControl w:val="false"/>
              <w:suppressAutoHyphens w:val="true"/>
              <w:spacing w:before="40" w:after="40"/>
              <w:jc w:val="center"/>
              <w:rPr>
                <w:rFonts w:ascii="Times New Roman" w:hAnsi="Times New Roman"/>
                <w:sz w:val="18"/>
                <w:szCs w:val="18"/>
              </w:rPr>
            </w:pPr>
            <w:r>
              <w:rPr>
                <w:sz w:val="18"/>
                <w:szCs w:val="18"/>
              </w:rPr>
            </w:r>
          </w:p>
        </w:tc>
      </w:tr>
      <w:tr>
        <w:trPr/>
        <w:tc>
          <w:tcPr>
            <w:tcW w:w="739" w:type="dxa"/>
            <w:tcBorders>
              <w:top w:val="nil"/>
              <w:left w:val="single" w:sz="6" w:space="0" w:color="7F7F7F"/>
              <w:bottom w:val="single" w:sz="6" w:space="0" w:color="7F7F7F"/>
              <w:right w:val="nil"/>
            </w:tcBorders>
          </w:tcPr>
          <w:p>
            <w:pPr>
              <w:pStyle w:val="Normal"/>
              <w:widowControl w:val="false"/>
              <w:spacing w:before="120" w:after="0"/>
              <w:rPr>
                <w:rFonts w:ascii="Times New Roman" w:hAnsi="Times New Roman"/>
                <w:sz w:val="18"/>
                <w:szCs w:val="18"/>
              </w:rPr>
            </w:pPr>
            <w:r>
              <w:rPr>
                <w:rFonts w:eastAsia="Calibri"/>
                <w:i/>
                <w:iCs/>
                <w:sz w:val="18"/>
                <w:szCs w:val="18"/>
              </w:rPr>
              <w:t>1.</w:t>
            </w:r>
          </w:p>
        </w:tc>
        <w:tc>
          <w:tcPr>
            <w:tcW w:w="2062" w:type="dxa"/>
            <w:tcBorders>
              <w:top w:val="nil"/>
              <w:left w:val="single" w:sz="6" w:space="0" w:color="7F7F7F"/>
              <w:bottom w:val="single" w:sz="6" w:space="0" w:color="7F7F7F"/>
              <w:right w:val="nil"/>
            </w:tcBorders>
          </w:tcPr>
          <w:p>
            <w:pPr>
              <w:pStyle w:val="Normal"/>
              <w:widowControl w:val="false"/>
              <w:spacing w:before="120" w:after="0"/>
              <w:rPr/>
            </w:pPr>
            <w:r>
              <w:rPr>
                <w:rFonts w:eastAsia="Calibri"/>
                <w:i/>
                <w:sz w:val="18"/>
                <w:szCs w:val="18"/>
              </w:rPr>
              <w:t>Ценовой (стоимостный) частный критерий оценки первого уровня»/</w:t>
            </w:r>
            <w:r>
              <w:rPr>
                <w:rStyle w:val="Annotationreference"/>
                <w:rFonts w:eastAsia="Calibri" w:cs="Mangal"/>
                <w:i/>
                <w:sz w:val="18"/>
                <w:szCs w:val="18"/>
              </w:rPr>
              <w:t>ЦЕНА</w:t>
            </w:r>
          </w:p>
        </w:tc>
        <w:tc>
          <w:tcPr>
            <w:tcW w:w="1594" w:type="dxa"/>
            <w:tcBorders>
              <w:top w:val="nil"/>
              <w:left w:val="single" w:sz="6" w:space="0" w:color="7F7F7F"/>
              <w:bottom w:val="single" w:sz="6" w:space="0" w:color="7F7F7F"/>
              <w:right w:val="nil"/>
            </w:tcBorders>
          </w:tcPr>
          <w:p>
            <w:pPr>
              <w:pStyle w:val="Style28"/>
              <w:widowControl w:val="false"/>
              <w:spacing w:before="120" w:after="0"/>
              <w:jc w:val="center"/>
              <w:rPr/>
            </w:pPr>
            <w:r>
              <w:rPr>
                <w:rStyle w:val="Style8"/>
                <w:rFonts w:eastAsia="Calibri"/>
                <w:sz w:val="18"/>
                <w:szCs w:val="18"/>
                <w:shd w:fill="auto" w:val="clear"/>
              </w:rPr>
              <w:t>Цена договора</w:t>
            </w:r>
            <w:r>
              <w:rPr>
                <w:rStyle w:val="Annotationreference"/>
                <w:rFonts w:cs="Mangal"/>
                <w:sz w:val="18"/>
                <w:szCs w:val="18"/>
              </w:rPr>
              <w:t xml:space="preserve"> </w:t>
            </w:r>
            <w:r>
              <w:rPr>
                <w:rStyle w:val="Annotationreference"/>
                <w:rFonts w:cs="Mangal"/>
                <w:i/>
                <w:iCs/>
                <w:sz w:val="18"/>
                <w:szCs w:val="18"/>
              </w:rPr>
              <w:t>(заявки)</w:t>
            </w:r>
          </w:p>
        </w:tc>
        <w:tc>
          <w:tcPr>
            <w:tcW w:w="1701" w:type="dxa"/>
            <w:tcBorders>
              <w:top w:val="nil"/>
              <w:left w:val="single" w:sz="6" w:space="0" w:color="7F7F7F"/>
              <w:bottom w:val="single" w:sz="6" w:space="0" w:color="7F7F7F"/>
              <w:right w:val="nil"/>
            </w:tcBorders>
          </w:tcPr>
          <w:p>
            <w:pPr>
              <w:pStyle w:val="Style28"/>
              <w:widowControl w:val="false"/>
              <w:spacing w:before="120" w:after="0"/>
              <w:jc w:val="center"/>
              <w:rPr/>
            </w:pPr>
            <w:r>
              <w:rPr>
                <w:rStyle w:val="Style8"/>
                <w:rFonts w:eastAsia="Calibri"/>
                <w:sz w:val="18"/>
                <w:szCs w:val="18"/>
                <w:shd w:fill="auto" w:val="clear"/>
              </w:rPr>
              <w:t>отсутствует</w:t>
            </w:r>
          </w:p>
        </w:tc>
        <w:tc>
          <w:tcPr>
            <w:tcW w:w="1841" w:type="dxa"/>
            <w:tcBorders>
              <w:top w:val="nil"/>
              <w:left w:val="single" w:sz="6" w:space="0" w:color="7F7F7F"/>
              <w:bottom w:val="single" w:sz="6" w:space="0" w:color="7F7F7F"/>
              <w:right w:val="nil"/>
            </w:tcBorders>
          </w:tcPr>
          <w:p>
            <w:pPr>
              <w:pStyle w:val="Normal"/>
              <w:widowControl w:val="false"/>
              <w:spacing w:before="40" w:after="40"/>
              <w:jc w:val="center"/>
              <w:rPr>
                <w:rFonts w:ascii="Times New Roman" w:hAnsi="Times New Roman"/>
                <w:sz w:val="18"/>
                <w:szCs w:val="18"/>
              </w:rPr>
            </w:pPr>
            <w:r>
              <w:rPr>
                <w:sz w:val="18"/>
                <w:szCs w:val="18"/>
              </w:rPr>
              <w:t>90%</w:t>
              <w:br/>
              <w:t>(В</w:t>
            </w:r>
            <w:r>
              <w:rPr>
                <w:sz w:val="18"/>
                <w:szCs w:val="18"/>
                <w:vertAlign w:val="subscript"/>
              </w:rPr>
              <w:t>1</w:t>
            </w:r>
            <w:r>
              <w:rPr>
                <w:sz w:val="18"/>
                <w:szCs w:val="18"/>
              </w:rPr>
              <w:t xml:space="preserve"> = 0,90)</w:t>
            </w:r>
          </w:p>
        </w:tc>
        <w:tc>
          <w:tcPr>
            <w:tcW w:w="1986" w:type="dxa"/>
            <w:tcBorders>
              <w:top w:val="nil"/>
              <w:left w:val="single" w:sz="6" w:space="0" w:color="7F7F7F"/>
              <w:bottom w:val="single" w:sz="6" w:space="0" w:color="7F7F7F"/>
              <w:right w:val="nil"/>
            </w:tcBorders>
          </w:tcPr>
          <w:p>
            <w:pPr>
              <w:pStyle w:val="Style28"/>
              <w:widowControl w:val="false"/>
              <w:spacing w:before="120" w:after="0"/>
              <w:jc w:val="left"/>
              <w:rPr/>
            </w:pPr>
            <w:r>
              <w:rPr>
                <w:rStyle w:val="Style8"/>
                <w:rFonts w:eastAsia="Calibri"/>
                <w:sz w:val="18"/>
                <w:szCs w:val="18"/>
                <w:shd w:fill="auto" w:val="clear"/>
              </w:rPr>
              <w:t>Чем меньше стоимость заявки Участника, тем выше предпочтительность</w:t>
            </w:r>
          </w:p>
        </w:tc>
        <w:tc>
          <w:tcPr>
            <w:tcW w:w="4110" w:type="dxa"/>
            <w:tcBorders>
              <w:top w:val="nil"/>
              <w:left w:val="single" w:sz="6" w:space="0" w:color="7F7F7F"/>
              <w:bottom w:val="single" w:sz="6" w:space="0" w:color="7F7F7F"/>
              <w:right w:val="single" w:sz="6" w:space="0" w:color="7F7F7F"/>
            </w:tcBorders>
          </w:tcPr>
          <w:p>
            <w:pPr>
              <w:pStyle w:val="Style28"/>
              <w:widowControl w:val="false"/>
              <w:spacing w:before="120" w:after="0"/>
              <w:jc w:val="left"/>
              <w:rPr/>
            </w:pPr>
            <w:r>
              <w:rPr>
                <w:rStyle w:val="Style8"/>
                <w:rFonts w:eastAsia="Calibri"/>
                <w:sz w:val="18"/>
                <w:szCs w:val="18"/>
                <w:shd w:fill="auto" w:val="clear"/>
              </w:rPr>
              <w:t>Расчет оценки предпочтительности по частному критерию по методу «Математическая формула, задающая «функцию ценности»»:</w:t>
            </w:r>
          </w:p>
          <w:p>
            <w:pPr>
              <w:pStyle w:val="Style28"/>
              <w:widowControl w:val="false"/>
              <w:jc w:val="center"/>
              <w:rPr>
                <w:rFonts w:ascii="Times New Roman" w:hAnsi="Times New Roman"/>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ЦЕНА</m:t>
                        </m:r>
                      </m:e>
                      <m:sub>
                        <m:r>
                          <w:rPr>
                            <w:rFonts w:ascii="Cambria Math" w:hAnsi="Cambria Math"/>
                          </w:rPr>
                          <m:t xml:space="preserve">min</m:t>
                        </m:r>
                      </m:sub>
                    </m:sSub>
                  </m:num>
                  <m:den>
                    <m:sSub>
                      <m:e>
                        <m:r>
                          <w:rPr>
                            <w:rFonts w:ascii="Cambria Math" w:hAnsi="Cambria Math"/>
                          </w:rPr>
                          <m:t xml:space="preserve">ЦЕНА</m:t>
                        </m:r>
                      </m:e>
                      <m:sub>
                        <m:r>
                          <w:rPr>
                            <w:rFonts w:ascii="Cambria Math" w:hAnsi="Cambria Math"/>
                          </w:rPr>
                          <m:t xml:space="preserve">i</m:t>
                        </m:r>
                      </m:sub>
                    </m:sSub>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Style28"/>
              <w:widowControl w:val="false"/>
              <w:jc w:val="left"/>
              <w:rPr/>
            </w:pPr>
            <w:r>
              <w:rPr>
                <w:rStyle w:val="Style8"/>
                <w:rFonts w:eastAsia="Calibri"/>
                <w:sz w:val="18"/>
                <w:szCs w:val="18"/>
                <w:shd w:fill="auto" w:val="clear"/>
              </w:rPr>
              <w:t>где:</w:t>
            </w:r>
          </w:p>
          <w:p>
            <w:pPr>
              <w:pStyle w:val="Style28"/>
              <w:widowControl w:val="false"/>
              <w:jc w:val="left"/>
              <w:rPr/>
            </w:pPr>
            <w:r>
              <w:rPr/>
            </w:r>
            <m:oMath xmlns:m="http://schemas.openxmlformats.org/officeDocument/2006/math">
              <m:sSub>
                <m:e>
                  <m:r>
                    <w:rPr>
                      <w:rFonts w:ascii="Cambria Math" w:hAnsi="Cambria Math"/>
                    </w:rPr>
                    <m:t xml:space="preserve">Б</m:t>
                  </m:r>
                </m:e>
                <m:sub>
                  <m:r>
                    <w:rPr>
                      <w:rFonts w:ascii="Cambria Math" w:hAnsi="Cambria Math"/>
                    </w:rPr>
                    <m:t xml:space="preserve">1</m:t>
                  </m:r>
                </m:sub>
              </m:sSub>
            </m:oMath>
            <w:r>
              <w:rPr>
                <w:rStyle w:val="Style8"/>
                <w:rFonts w:eastAsia="Calibri"/>
                <w:sz w:val="18"/>
                <w:szCs w:val="18"/>
                <w:shd w:fill="auto" w:val="clear"/>
              </w:rPr>
              <w:t xml:space="preserve"> – </w:t>
            </w:r>
            <w:r>
              <w:rPr>
                <w:rStyle w:val="Style8"/>
                <w:rFonts w:eastAsia="Calibri"/>
                <w:sz w:val="18"/>
                <w:szCs w:val="18"/>
                <w:shd w:fill="auto" w:val="clear"/>
              </w:rPr>
              <w:t>рассчитанная оценка предпочтительности по данному частному критерию оценки в баллах;</w:t>
            </w:r>
          </w:p>
          <w:p>
            <w:pPr>
              <w:pStyle w:val="Style28"/>
              <w:widowControl w:val="false"/>
              <w:jc w:val="left"/>
              <w:rPr/>
            </w:pPr>
            <w:r>
              <w:rPr/>
            </w:r>
            <m:oMath xmlns:m="http://schemas.openxmlformats.org/officeDocument/2006/math">
              <m:sSub>
                <m:e>
                  <m:r>
                    <w:rPr>
                      <w:rFonts w:ascii="Cambria Math" w:hAnsi="Cambria Math"/>
                    </w:rPr>
                    <m:t xml:space="preserve">ЦЕНА</m:t>
                  </m:r>
                </m:e>
                <m:sub>
                  <m:r>
                    <w:rPr>
                      <w:rFonts w:ascii="Cambria Math" w:hAnsi="Cambria Math"/>
                    </w:rPr>
                    <m:t xml:space="preserve">i</m:t>
                  </m:r>
                </m:sub>
              </m:sSub>
            </m:oMath>
            <w:r>
              <w:rPr>
                <w:rStyle w:val="Style8"/>
                <w:rFonts w:eastAsia="Calibri"/>
                <w:sz w:val="18"/>
                <w:szCs w:val="18"/>
                <w:shd w:fill="auto" w:val="clear"/>
              </w:rPr>
              <w:t xml:space="preserve"> – </w:t>
            </w:r>
            <w:r>
              <w:rPr>
                <w:rStyle w:val="Style8"/>
                <w:rFonts w:eastAsia="Calibri"/>
                <w:sz w:val="18"/>
                <w:szCs w:val="18"/>
                <w:shd w:fill="auto" w:val="clear"/>
              </w:rPr>
              <w:t>цена договора (стоимость заявки), указанная в i-той заявке (в Коммерческом предложении по установленной в Документации о закупке форме);</w:t>
            </w:r>
          </w:p>
          <w:p>
            <w:pPr>
              <w:pStyle w:val="Style28"/>
              <w:widowControl w:val="false"/>
              <w:jc w:val="left"/>
              <w:rPr/>
            </w:pPr>
            <w:r>
              <w:rPr/>
            </w:r>
            <m:oMath xmlns:m="http://schemas.openxmlformats.org/officeDocument/2006/math">
              <m:sSub>
                <m:e>
                  <m:r>
                    <w:rPr>
                      <w:rFonts w:ascii="Cambria Math" w:hAnsi="Cambria Math"/>
                    </w:rPr>
                    <m:t xml:space="preserve">ЦЕНА</m:t>
                  </m:r>
                </m:e>
                <m:sub>
                  <m:r>
                    <w:rPr>
                      <w:rFonts w:ascii="Cambria Math" w:hAnsi="Cambria Math"/>
                    </w:rPr>
                    <m:t xml:space="preserve">min</m:t>
                  </m:r>
                </m:sub>
              </m:sSub>
            </m:oMath>
            <w:r>
              <w:rPr>
                <w:rStyle w:val="Style8"/>
                <w:rFonts w:eastAsia="Calibri"/>
                <w:sz w:val="18"/>
                <w:szCs w:val="18"/>
                <w:shd w:fill="auto" w:val="clear"/>
              </w:rPr>
              <w:t xml:space="preserve"> – </w:t>
            </w:r>
            <w:r>
              <w:rPr>
                <w:rStyle w:val="Style8"/>
                <w:rFonts w:eastAsia="Calibri"/>
                <w:sz w:val="18"/>
                <w:szCs w:val="18"/>
                <w:shd w:fill="auto" w:val="clear"/>
              </w:rPr>
              <w:t>минимальная цена договора (стоимость заявки) среди всех допущенных заявок участников, руб. без учета НДС;</w:t>
            </w:r>
          </w:p>
          <w:p>
            <w:pPr>
              <w:pStyle w:val="Style28"/>
              <w:widowControl w:val="false"/>
              <w:jc w:val="left"/>
              <w:rPr/>
            </w:pPr>
            <w:r>
              <w:rPr/>
            </w:r>
            <m:oMath xmlns:m="http://schemas.openxmlformats.org/officeDocument/2006/math">
              <m:r>
                <w:rPr>
                  <w:rFonts w:ascii="Cambria Math" w:hAnsi="Cambria Math"/>
                </w:rPr>
                <m:t xml:space="preserve">Ш</m:t>
              </m:r>
            </m:oMath>
            <w:r>
              <w:rPr>
                <w:rStyle w:val="Style8"/>
                <w:rFonts w:eastAsia="Calibri"/>
                <w:sz w:val="18"/>
                <w:szCs w:val="18"/>
                <w:shd w:fill="auto" w:val="clear"/>
              </w:rPr>
              <w:t xml:space="preserve"> – </w:t>
            </w:r>
            <w:r>
              <w:rPr>
                <w:rStyle w:val="Style8"/>
                <w:rFonts w:eastAsia="Calibri"/>
                <w:sz w:val="18"/>
                <w:szCs w:val="18"/>
                <w:shd w:fill="auto" w:val="clear"/>
              </w:rPr>
              <w:t>максимально возможный балл (максимальная возможная оценка предпочтительности) по шкале оценок(</w:t>
            </w:r>
            <w:r>
              <w:rPr/>
            </w:r>
            <m:oMath xmlns:m="http://schemas.openxmlformats.org/officeDocument/2006/math">
              <m:r>
                <w:rPr>
                  <w:rFonts w:ascii="Cambria Math" w:hAnsi="Cambria Math"/>
                </w:rPr>
                <m:t xml:space="preserve">Ш</m:t>
              </m:r>
              <m:r>
                <w:rPr>
                  <w:rFonts w:ascii="Cambria Math" w:hAnsi="Cambria Math"/>
                </w:rPr>
                <m:t xml:space="preserve">=</m:t>
              </m:r>
              <m:r>
                <w:rPr>
                  <w:rFonts w:ascii="Cambria Math" w:hAnsi="Cambria Math"/>
                </w:rPr>
                <m:t xml:space="preserve">5</m:t>
              </m:r>
            </m:oMath>
            <w:r>
              <w:rPr>
                <w:rStyle w:val="Style8"/>
                <w:rFonts w:eastAsia="Calibri"/>
                <w:sz w:val="18"/>
                <w:szCs w:val="18"/>
                <w:shd w:fill="auto" w:val="clear"/>
              </w:rPr>
              <w:t>)</w:t>
            </w:r>
            <w:r>
              <w:rPr>
                <w:rFonts w:eastAsia="Calibri"/>
                <w:sz w:val="18"/>
                <w:szCs w:val="18"/>
              </w:rPr>
              <w:t>.</w:t>
            </w:r>
          </w:p>
          <w:p>
            <w:pPr>
              <w:pStyle w:val="Style28"/>
              <w:widowControl w:val="false"/>
              <w:jc w:val="left"/>
              <w:rPr/>
            </w:pPr>
            <w:r>
              <w:rPr>
                <w:rStyle w:val="Style8"/>
                <w:rFonts w:eastAsia="Calibri"/>
                <w:sz w:val="18"/>
                <w:szCs w:val="18"/>
                <w:shd w:fill="auto" w:val="clear"/>
              </w:rPr>
              <w:t>Оценка предпочтительности заявок осуществляется в едином базисе сопоставления ценовых (стоимостных) предложений,</w:t>
            </w:r>
            <w:r>
              <w:rPr>
                <w:sz w:val="18"/>
                <w:szCs w:val="18"/>
                <w:lang w:eastAsia="ru-RU"/>
              </w:rPr>
              <w:t xml:space="preserve"> </w:t>
            </w:r>
            <w:r>
              <w:rPr>
                <w:rStyle w:val="Style8"/>
                <w:rFonts w:eastAsia="Calibri"/>
                <w:sz w:val="18"/>
                <w:szCs w:val="18"/>
                <w:shd w:fill="auto" w:val="clear"/>
              </w:rPr>
              <w:t>установленном в документации о закупке: без учета НДС.</w:t>
            </w:r>
          </w:p>
          <w:p>
            <w:pPr>
              <w:pStyle w:val="Style28"/>
              <w:widowControl w:val="false"/>
              <w:jc w:val="left"/>
              <w:rPr>
                <w:rFonts w:ascii="Times New Roman" w:hAnsi="Times New Roman"/>
                <w:sz w:val="18"/>
                <w:szCs w:val="18"/>
              </w:rPr>
            </w:pPr>
            <w:r>
              <w:rPr>
                <w:rFonts w:eastAsia="Calibri"/>
                <w:sz w:val="18"/>
                <w:szCs w:val="18"/>
              </w:rPr>
              <w:t>Шкала оценок от 0 до 5 баллов.</w:t>
            </w:r>
          </w:p>
        </w:tc>
      </w:tr>
      <w:tr>
        <w:trPr/>
        <w:tc>
          <w:tcPr>
            <w:tcW w:w="739" w:type="dxa"/>
            <w:tcBorders>
              <w:top w:val="nil"/>
              <w:left w:val="single" w:sz="6" w:space="0" w:color="7F7F7F"/>
              <w:bottom w:val="single" w:sz="6" w:space="0" w:color="7F7F7F"/>
              <w:right w:val="nil"/>
            </w:tcBorders>
          </w:tcPr>
          <w:p>
            <w:pPr>
              <w:pStyle w:val="Style28"/>
              <w:widowControl w:val="false"/>
              <w:spacing w:before="120" w:after="0"/>
              <w:jc w:val="center"/>
              <w:rPr>
                <w:rFonts w:ascii="Times New Roman" w:hAnsi="Times New Roman"/>
                <w:sz w:val="18"/>
                <w:szCs w:val="18"/>
              </w:rPr>
            </w:pPr>
            <w:r>
              <w:rPr>
                <w:rFonts w:eastAsia="Calibri"/>
                <w:sz w:val="18"/>
                <w:szCs w:val="18"/>
              </w:rPr>
              <w:t>2.</w:t>
            </w:r>
          </w:p>
        </w:tc>
        <w:tc>
          <w:tcPr>
            <w:tcW w:w="2062" w:type="dxa"/>
            <w:tcBorders>
              <w:top w:val="nil"/>
              <w:left w:val="single" w:sz="6" w:space="0" w:color="7F7F7F"/>
              <w:bottom w:val="single" w:sz="6" w:space="0" w:color="7F7F7F"/>
              <w:right w:val="nil"/>
            </w:tcBorders>
          </w:tcPr>
          <w:p>
            <w:pPr>
              <w:pStyle w:val="Normal"/>
              <w:widowControl w:val="false"/>
              <w:spacing w:before="120" w:after="0"/>
              <w:jc w:val="center"/>
              <w:rPr>
                <w:rFonts w:ascii="Times New Roman" w:hAnsi="Times New Roman"/>
                <w:sz w:val="18"/>
                <w:szCs w:val="18"/>
              </w:rPr>
            </w:pPr>
            <w:r>
              <w:rPr>
                <w:rFonts w:eastAsia="Calibri"/>
                <w:i/>
                <w:iCs/>
                <w:sz w:val="18"/>
                <w:szCs w:val="18"/>
              </w:rPr>
              <w:t>«Неценовой критерий оценки первого уровня;</w:t>
              <w:br/>
              <w:t>Тех</w:t>
            </w:r>
          </w:p>
        </w:tc>
        <w:tc>
          <w:tcPr>
            <w:tcW w:w="1594" w:type="dxa"/>
            <w:tcBorders>
              <w:top w:val="nil"/>
              <w:left w:val="single" w:sz="6" w:space="0" w:color="7F7F7F"/>
              <w:bottom w:val="single" w:sz="6" w:space="0" w:color="7F7F7F"/>
              <w:right w:val="nil"/>
            </w:tcBorders>
          </w:tcPr>
          <w:p>
            <w:pPr>
              <w:pStyle w:val="Normal"/>
              <w:widowControl w:val="false"/>
              <w:spacing w:before="120" w:after="0"/>
              <w:jc w:val="center"/>
              <w:rPr>
                <w:rFonts w:ascii="Times New Roman" w:hAnsi="Times New Roman"/>
                <w:sz w:val="18"/>
                <w:szCs w:val="18"/>
              </w:rPr>
            </w:pPr>
            <w:r>
              <w:rPr>
                <w:rFonts w:eastAsia="Calibri"/>
                <w:i/>
                <w:sz w:val="18"/>
                <w:szCs w:val="18"/>
              </w:rPr>
              <w:t>Квалификация (предпочтительность) Участника</w:t>
            </w:r>
          </w:p>
        </w:tc>
        <w:tc>
          <w:tcPr>
            <w:tcW w:w="1701" w:type="dxa"/>
            <w:tcBorders>
              <w:top w:val="nil"/>
              <w:left w:val="single" w:sz="6" w:space="0" w:color="7F7F7F"/>
              <w:bottom w:val="single" w:sz="6" w:space="0" w:color="7F7F7F"/>
              <w:right w:val="nil"/>
            </w:tcBorders>
          </w:tcPr>
          <w:p>
            <w:pPr>
              <w:pStyle w:val="Style28"/>
              <w:widowControl w:val="false"/>
              <w:spacing w:before="120" w:after="0"/>
              <w:jc w:val="center"/>
              <w:rPr>
                <w:rFonts w:ascii="Times New Roman" w:hAnsi="Times New Roman"/>
                <w:sz w:val="18"/>
                <w:szCs w:val="18"/>
              </w:rPr>
            </w:pPr>
            <w:r>
              <w:rPr>
                <w:rFonts w:eastAsia="Calibri"/>
                <w:i/>
                <w:sz w:val="18"/>
                <w:szCs w:val="18"/>
              </w:rPr>
              <w:t>отсутствует</w:t>
            </w:r>
          </w:p>
        </w:tc>
        <w:tc>
          <w:tcPr>
            <w:tcW w:w="1841" w:type="dxa"/>
            <w:tcBorders>
              <w:top w:val="nil"/>
              <w:left w:val="single" w:sz="6" w:space="0" w:color="7F7F7F"/>
              <w:bottom w:val="single" w:sz="6" w:space="0" w:color="7F7F7F"/>
              <w:right w:val="nil"/>
            </w:tcBorders>
          </w:tcPr>
          <w:p>
            <w:pPr>
              <w:pStyle w:val="Normal"/>
              <w:widowControl w:val="false"/>
              <w:spacing w:before="40" w:after="40"/>
              <w:jc w:val="center"/>
              <w:rPr>
                <w:rFonts w:ascii="Times New Roman" w:hAnsi="Times New Roman"/>
                <w:sz w:val="18"/>
                <w:szCs w:val="18"/>
              </w:rPr>
            </w:pPr>
            <w:r>
              <w:rPr>
                <w:sz w:val="18"/>
                <w:szCs w:val="18"/>
              </w:rPr>
              <w:t>0,5%</w:t>
              <w:br/>
              <w:t>(В</w:t>
            </w:r>
            <w:r>
              <w:rPr>
                <w:sz w:val="18"/>
                <w:szCs w:val="18"/>
                <w:vertAlign w:val="subscript"/>
              </w:rPr>
              <w:t>2</w:t>
            </w:r>
            <w:r>
              <w:rPr>
                <w:sz w:val="18"/>
                <w:szCs w:val="18"/>
              </w:rPr>
              <w:t xml:space="preserve"> = 0,05)</w:t>
            </w:r>
          </w:p>
        </w:tc>
        <w:tc>
          <w:tcPr>
            <w:tcW w:w="1986" w:type="dxa"/>
            <w:tcBorders>
              <w:top w:val="nil"/>
              <w:left w:val="single" w:sz="6" w:space="0" w:color="7F7F7F"/>
              <w:bottom w:val="single" w:sz="6" w:space="0" w:color="7F7F7F"/>
              <w:right w:val="nil"/>
            </w:tcBorders>
          </w:tcPr>
          <w:p>
            <w:pPr>
              <w:pStyle w:val="Normal"/>
              <w:widowControl w:val="false"/>
              <w:spacing w:before="120" w:after="0"/>
              <w:jc w:val="center"/>
              <w:rPr>
                <w:rFonts w:ascii="Times New Roman" w:hAnsi="Times New Roman"/>
                <w:sz w:val="18"/>
                <w:szCs w:val="18"/>
              </w:rPr>
            </w:pPr>
            <w:r>
              <w:rPr>
                <w:rFonts w:eastAsia="Calibri"/>
                <w:i/>
                <w:sz w:val="18"/>
                <w:szCs w:val="18"/>
              </w:rPr>
              <w:t xml:space="preserve"> </w:t>
            </w:r>
            <w:r>
              <w:rPr>
                <w:rFonts w:eastAsia="Calibri"/>
                <w:i/>
                <w:sz w:val="18"/>
                <w:szCs w:val="18"/>
              </w:rPr>
              <w:t>Чем выше квалификация Участника, тем выше предпочтительность</w:t>
            </w:r>
          </w:p>
        </w:tc>
        <w:tc>
          <w:tcPr>
            <w:tcW w:w="4110" w:type="dxa"/>
            <w:tcBorders>
              <w:top w:val="nil"/>
              <w:left w:val="single" w:sz="6" w:space="0" w:color="7F7F7F"/>
              <w:bottom w:val="single" w:sz="6" w:space="0" w:color="7F7F7F"/>
              <w:right w:val="single" w:sz="6" w:space="0" w:color="7F7F7F"/>
            </w:tcBorders>
          </w:tcPr>
          <w:p>
            <w:pPr>
              <w:pStyle w:val="Normal"/>
              <w:widowControl w:val="false"/>
              <w:spacing w:before="120" w:after="0"/>
              <w:ind w:left="57" w:right="57" w:hanging="0"/>
              <w:jc w:val="both"/>
              <w:rPr>
                <w:rFonts w:ascii="Times New Roman" w:hAnsi="Times New Roman"/>
                <w:sz w:val="18"/>
                <w:szCs w:val="18"/>
              </w:rPr>
            </w:pPr>
            <w:r>
              <w:rPr>
                <w:rFonts w:eastAsia="Calibri"/>
                <w:spacing w:val="-2"/>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ind w:left="57" w:right="57" w:hanging="0"/>
              <w:jc w:val="both"/>
              <w:rPr>
                <w:rFonts w:ascii="Times New Roman" w:hAnsi="Times New Roman"/>
                <w:sz w:val="18"/>
                <w:szCs w:val="18"/>
              </w:rPr>
            </w:pPr>
            <w:r>
              <w:rPr>
                <w:rFonts w:eastAsia="Calibri"/>
                <w:spacing w:val="-2"/>
                <w:sz w:val="18"/>
                <w:szCs w:val="18"/>
              </w:rPr>
              <w:t xml:space="preserve"> </w:t>
            </w:r>
            <w:r>
              <w:rPr>
                <w:rFonts w:eastAsia="Calibri"/>
                <w:spacing w:val="-2"/>
                <w:sz w:val="18"/>
                <w:szCs w:val="18"/>
              </w:rPr>
              <w:t>Порядок осуществления оценки (значение оцениваемого параметра), в зависимости от предоставленных в i-ой заявке сведений о ранее выполненных договорах в рамках одного или нескольких договоров по форме «Справка об опыте участника», приведенной в Документации о закупке с обязательным предоставлением подтверждающих наличие требуемого опыта п</w:t>
            </w:r>
            <w:r>
              <w:rPr>
                <w:rFonts w:eastAsia="Calibri"/>
                <w:b/>
                <w:bCs/>
                <w:i/>
                <w:iCs/>
                <w:spacing w:val="-2"/>
                <w:sz w:val="18"/>
                <w:szCs w:val="18"/>
              </w:rPr>
              <w:t>о выполнению проектных, строительно-монтажных работ   по строительству (реконструкции) ПС, ЛЭП 35 кВ и выше  за последние 5 (пять) лет</w:t>
            </w:r>
            <w:r>
              <w:rPr>
                <w:rFonts w:eastAsia="Calibri"/>
                <w:spacing w:val="-2"/>
                <w:sz w:val="18"/>
                <w:szCs w:val="18"/>
              </w:rPr>
              <w:t xml:space="preserve"> документов, а именно::</w:t>
            </w:r>
          </w:p>
          <w:p>
            <w:pPr>
              <w:pStyle w:val="Normal"/>
              <w:widowControl w:val="false"/>
              <w:ind w:left="57" w:right="57" w:hanging="0"/>
              <w:jc w:val="both"/>
              <w:rPr>
                <w:rFonts w:ascii="Times New Roman" w:hAnsi="Times New Roman"/>
                <w:sz w:val="18"/>
                <w:szCs w:val="18"/>
              </w:rPr>
            </w:pPr>
            <w:r>
              <w:rPr>
                <w:rFonts w:eastAsia="Calibri"/>
                <w:spacing w:val="-2"/>
                <w:sz w:val="18"/>
                <w:szCs w:val="18"/>
              </w:rPr>
              <w:t xml:space="preserve"> </w:t>
            </w:r>
            <w:r>
              <w:rPr>
                <w:rFonts w:eastAsia="Calibri"/>
                <w:spacing w:val="-2"/>
                <w:sz w:val="18"/>
                <w:szCs w:val="18"/>
              </w:rPr>
              <w:t>- копии договоров, подписанных с обеих сторон с указанием стоимости и наименования выполненных работ/ услуг;</w:t>
            </w:r>
          </w:p>
          <w:p>
            <w:pPr>
              <w:pStyle w:val="Normal"/>
              <w:widowControl w:val="false"/>
              <w:ind w:left="57" w:right="57" w:hanging="0"/>
              <w:jc w:val="both"/>
              <w:rPr>
                <w:rFonts w:ascii="Times New Roman" w:hAnsi="Times New Roman"/>
                <w:sz w:val="18"/>
                <w:szCs w:val="18"/>
              </w:rPr>
            </w:pPr>
            <w:r>
              <w:rPr>
                <w:rFonts w:eastAsia="Calibri"/>
                <w:spacing w:val="-2"/>
                <w:sz w:val="18"/>
                <w:szCs w:val="18"/>
              </w:rPr>
              <w:t>- копии актов выполненных работ по форме КС-2 подписанных с обеих сторон с указанием стоимости и наименования выполненных работ/ услуг и/или копии справок о стоимости выполненных работ и затрат по форме КС-3 подписанных с обеих сторон с указанием стоимости и наименования выполненных работ/ услуг свидетельствующих о выполнении работ/услуг, подтверждающих опыт на общую сумму:</w:t>
            </w:r>
          </w:p>
          <w:tbl>
            <w:tblPr>
              <w:tblW w:w="4951" w:type="dxa"/>
              <w:jc w:val="left"/>
              <w:tblInd w:w="124" w:type="dxa"/>
              <w:tblLayout w:type="fixed"/>
              <w:tblCellMar>
                <w:top w:w="0" w:type="dxa"/>
                <w:left w:w="108" w:type="dxa"/>
                <w:bottom w:w="0" w:type="dxa"/>
                <w:right w:w="108" w:type="dxa"/>
              </w:tblCellMar>
              <w:tblLook w:val="04a0" w:noVBand="1" w:noHBand="0" w:lastColumn="0" w:firstColumn="1" w:lastRow="0" w:firstRow="1"/>
            </w:tblPr>
            <w:tblGrid>
              <w:gridCol w:w="1226"/>
              <w:gridCol w:w="3724"/>
            </w:tblGrid>
            <w:tr>
              <w:trPr>
                <w:trHeight w:val="675" w:hRule="atLeast"/>
                <w:cantSplit w:val="true"/>
              </w:trPr>
              <w:tc>
                <w:tcPr>
                  <w:tcW w:w="122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ascii="Times New Roman" w:hAnsi="Times New Roman"/>
                      <w:sz w:val="18"/>
                      <w:szCs w:val="18"/>
                    </w:rPr>
                  </w:pPr>
                  <w:r>
                    <w:rPr>
                      <w:sz w:val="18"/>
                      <w:szCs w:val="18"/>
                    </w:rPr>
                    <w:t xml:space="preserve">                              </w:t>
                  </w:r>
                  <w:r>
                    <w:rPr>
                      <w:sz w:val="18"/>
                      <w:szCs w:val="18"/>
                    </w:rPr>
                    <w:t>Б</w:t>
                  </w:r>
                  <w:r>
                    <w:rPr>
                      <w:position w:val="-1"/>
                      <w:sz w:val="18"/>
                      <w:szCs w:val="18"/>
                    </w:rPr>
                    <w:t xml:space="preserve">2. </w:t>
                  </w:r>
                  <w:r>
                    <w:rPr>
                      <w:sz w:val="18"/>
                      <w:szCs w:val="18"/>
                    </w:rPr>
                    <w:t>= 0</w:t>
                  </w:r>
                </w:p>
              </w:tc>
              <w:tc>
                <w:tcPr>
                  <w:tcW w:w="3724" w:type="dxa"/>
                  <w:tcBorders>
                    <w:top w:val="single" w:sz="4" w:space="0" w:color="000000"/>
                    <w:left w:val="single" w:sz="4" w:space="0" w:color="000000"/>
                    <w:bottom w:val="single" w:sz="4" w:space="0" w:color="000000"/>
                    <w:right w:val="single" w:sz="4" w:space="0" w:color="000000"/>
                  </w:tcBorders>
                </w:tcPr>
                <w:p>
                  <w:pPr>
                    <w:pStyle w:val="-2"/>
                    <w:widowControl w:val="false"/>
                    <w:numPr>
                      <w:ilvl w:val="4"/>
                    </w:numPr>
                    <w:spacing w:lineRule="auto" w:line="240"/>
                    <w:ind w:left="113" w:right="964" w:hanging="0"/>
                    <w:jc w:val="left"/>
                    <w:rPr>
                      <w:rFonts w:ascii="Times New Roman" w:hAnsi="Times New Roman"/>
                      <w:sz w:val="18"/>
                      <w:szCs w:val="18"/>
                    </w:rPr>
                  </w:pPr>
                  <w:r>
                    <w:rPr>
                      <w:rFonts w:cs="Times New Roman" w:ascii="Times New Roman" w:hAnsi="Times New Roman"/>
                      <w:sz w:val="18"/>
                      <w:szCs w:val="18"/>
                    </w:rPr>
                    <w:t>от 0 %(опыт отсутствует, либо не подтвержден) от НМЦ, без учета НДС, до 30% НМЦ без учета НДС (включительно);</w:t>
                  </w:r>
                </w:p>
              </w:tc>
            </w:tr>
            <w:tr>
              <w:trPr>
                <w:trHeight w:val="684" w:hRule="atLeast"/>
                <w:cantSplit w:val="true"/>
              </w:trPr>
              <w:tc>
                <w:tcPr>
                  <w:tcW w:w="122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ascii="Times New Roman" w:hAnsi="Times New Roman"/>
                      <w:sz w:val="18"/>
                      <w:szCs w:val="18"/>
                    </w:rPr>
                  </w:pPr>
                  <w:r>
                    <w:rPr>
                      <w:sz w:val="18"/>
                      <w:szCs w:val="18"/>
                    </w:rPr>
                    <w:t xml:space="preserve">                                   </w:t>
                  </w:r>
                  <w:r>
                    <w:rPr>
                      <w:sz w:val="18"/>
                      <w:szCs w:val="18"/>
                    </w:rPr>
                    <w:t>Б</w:t>
                  </w:r>
                  <w:r>
                    <w:rPr>
                      <w:position w:val="-1"/>
                      <w:sz w:val="18"/>
                      <w:szCs w:val="18"/>
                    </w:rPr>
                    <w:t>2.</w:t>
                  </w:r>
                  <w:r>
                    <w:rPr>
                      <w:sz w:val="18"/>
                      <w:szCs w:val="18"/>
                    </w:rPr>
                    <w:t xml:space="preserve"> = 1</w:t>
                  </w:r>
                </w:p>
              </w:tc>
              <w:tc>
                <w:tcPr>
                  <w:tcW w:w="3724" w:type="dxa"/>
                  <w:tcBorders>
                    <w:top w:val="single" w:sz="4" w:space="0" w:color="000000"/>
                    <w:left w:val="single" w:sz="4" w:space="0" w:color="000000"/>
                    <w:bottom w:val="single" w:sz="4" w:space="0" w:color="000000"/>
                    <w:right w:val="single" w:sz="4" w:space="0" w:color="000000"/>
                  </w:tcBorders>
                </w:tcPr>
                <w:p>
                  <w:pPr>
                    <w:pStyle w:val="-2"/>
                    <w:widowControl w:val="false"/>
                    <w:numPr>
                      <w:ilvl w:val="4"/>
                    </w:numPr>
                    <w:spacing w:lineRule="auto" w:line="240"/>
                    <w:ind w:left="113" w:right="1020" w:hanging="0"/>
                    <w:jc w:val="left"/>
                    <w:rPr>
                      <w:rFonts w:ascii="Times New Roman" w:hAnsi="Times New Roman"/>
                      <w:sz w:val="18"/>
                      <w:szCs w:val="18"/>
                    </w:rPr>
                  </w:pPr>
                  <w:r>
                    <w:rPr>
                      <w:rFonts w:cs="Times New Roman" w:ascii="Times New Roman" w:hAnsi="Times New Roman"/>
                      <w:sz w:val="18"/>
                      <w:szCs w:val="18"/>
                    </w:rPr>
                    <w:t>более 30% НМЦ «без учета НДС», до 40% НМЦ  без учета НДС (включительно);</w:t>
                  </w:r>
                </w:p>
              </w:tc>
            </w:tr>
            <w:tr>
              <w:trPr>
                <w:cantSplit w:val="true"/>
              </w:trPr>
              <w:tc>
                <w:tcPr>
                  <w:tcW w:w="122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ascii="Times New Roman" w:hAnsi="Times New Roman"/>
                      <w:sz w:val="18"/>
                      <w:szCs w:val="18"/>
                    </w:rPr>
                  </w:pPr>
                  <w:r>
                    <w:rPr>
                      <w:sz w:val="18"/>
                      <w:szCs w:val="18"/>
                    </w:rPr>
                    <w:t xml:space="preserve">                                   </w:t>
                  </w:r>
                  <w:r>
                    <w:rPr>
                      <w:sz w:val="18"/>
                      <w:szCs w:val="18"/>
                    </w:rPr>
                    <w:t>Б</w:t>
                  </w:r>
                  <w:r>
                    <w:rPr>
                      <w:position w:val="-1"/>
                      <w:sz w:val="18"/>
                      <w:szCs w:val="18"/>
                    </w:rPr>
                    <w:t>2.</w:t>
                  </w:r>
                  <w:r>
                    <w:rPr>
                      <w:sz w:val="18"/>
                      <w:szCs w:val="18"/>
                    </w:rPr>
                    <w:t xml:space="preserve"> = 2</w:t>
                  </w:r>
                </w:p>
              </w:tc>
              <w:tc>
                <w:tcPr>
                  <w:tcW w:w="3724" w:type="dxa"/>
                  <w:tcBorders>
                    <w:top w:val="single" w:sz="4" w:space="0" w:color="000000"/>
                    <w:left w:val="single" w:sz="4" w:space="0" w:color="000000"/>
                    <w:bottom w:val="single" w:sz="4" w:space="0" w:color="000000"/>
                    <w:right w:val="single" w:sz="4" w:space="0" w:color="000000"/>
                  </w:tcBorders>
                </w:tcPr>
                <w:p>
                  <w:pPr>
                    <w:pStyle w:val="-2"/>
                    <w:widowControl w:val="false"/>
                    <w:numPr>
                      <w:ilvl w:val="4"/>
                    </w:numPr>
                    <w:spacing w:lineRule="auto" w:line="240"/>
                    <w:ind w:left="113" w:right="1020" w:hanging="0"/>
                    <w:jc w:val="left"/>
                    <w:rPr>
                      <w:rFonts w:ascii="Times New Roman" w:hAnsi="Times New Roman"/>
                      <w:sz w:val="18"/>
                      <w:szCs w:val="18"/>
                    </w:rPr>
                  </w:pPr>
                  <w:r>
                    <w:rPr>
                      <w:rFonts w:cs="Times New Roman" w:ascii="Times New Roman" w:hAnsi="Times New Roman"/>
                      <w:sz w:val="18"/>
                      <w:szCs w:val="18"/>
                    </w:rPr>
                    <w:t>более 40% НМЦ «без учета НДС», до 50% НМЦ  без учета НДС (включительно);</w:t>
                  </w:r>
                </w:p>
              </w:tc>
            </w:tr>
            <w:tr>
              <w:trPr>
                <w:cantSplit w:val="true"/>
              </w:trPr>
              <w:tc>
                <w:tcPr>
                  <w:tcW w:w="122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ascii="Times New Roman" w:hAnsi="Times New Roman"/>
                      <w:sz w:val="18"/>
                      <w:szCs w:val="18"/>
                    </w:rPr>
                  </w:pPr>
                  <w:r>
                    <w:rPr>
                      <w:sz w:val="18"/>
                      <w:szCs w:val="18"/>
                    </w:rPr>
                    <w:t xml:space="preserve">                                   </w:t>
                  </w:r>
                  <w:r>
                    <w:rPr>
                      <w:sz w:val="18"/>
                      <w:szCs w:val="18"/>
                    </w:rPr>
                    <w:t>Б</w:t>
                  </w:r>
                  <w:r>
                    <w:rPr>
                      <w:position w:val="-1"/>
                      <w:sz w:val="18"/>
                      <w:szCs w:val="18"/>
                    </w:rPr>
                    <w:t>2.</w:t>
                  </w:r>
                  <w:r>
                    <w:rPr>
                      <w:sz w:val="18"/>
                      <w:szCs w:val="18"/>
                    </w:rPr>
                    <w:t>  = 3</w:t>
                  </w:r>
                </w:p>
              </w:tc>
              <w:tc>
                <w:tcPr>
                  <w:tcW w:w="3724" w:type="dxa"/>
                  <w:tcBorders>
                    <w:top w:val="single" w:sz="4" w:space="0" w:color="000000"/>
                    <w:left w:val="single" w:sz="4" w:space="0" w:color="000000"/>
                    <w:bottom w:val="single" w:sz="4" w:space="0" w:color="000000"/>
                    <w:right w:val="single" w:sz="4" w:space="0" w:color="000000"/>
                  </w:tcBorders>
                </w:tcPr>
                <w:p>
                  <w:pPr>
                    <w:pStyle w:val="-2"/>
                    <w:widowControl w:val="false"/>
                    <w:numPr>
                      <w:ilvl w:val="4"/>
                    </w:numPr>
                    <w:spacing w:lineRule="auto" w:line="240"/>
                    <w:ind w:left="113" w:right="1077" w:hanging="0"/>
                    <w:jc w:val="left"/>
                    <w:rPr>
                      <w:rFonts w:ascii="Times New Roman" w:hAnsi="Times New Roman"/>
                      <w:sz w:val="18"/>
                      <w:szCs w:val="18"/>
                    </w:rPr>
                  </w:pPr>
                  <w:r>
                    <w:rPr>
                      <w:rFonts w:cs="Times New Roman" w:ascii="Times New Roman" w:hAnsi="Times New Roman"/>
                      <w:sz w:val="18"/>
                      <w:szCs w:val="18"/>
                    </w:rPr>
                    <w:t>более 50% НМЦ «без учета НДС», до 60% НМЦ  без учета НДС (включительно);</w:t>
                  </w:r>
                </w:p>
              </w:tc>
            </w:tr>
            <w:tr>
              <w:trPr>
                <w:cantSplit w:val="true"/>
              </w:trPr>
              <w:tc>
                <w:tcPr>
                  <w:tcW w:w="122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ascii="Times New Roman" w:hAnsi="Times New Roman"/>
                      <w:sz w:val="18"/>
                      <w:szCs w:val="18"/>
                    </w:rPr>
                  </w:pPr>
                  <w:r>
                    <w:rPr>
                      <w:sz w:val="18"/>
                      <w:szCs w:val="18"/>
                    </w:rPr>
                    <w:t>Б</w:t>
                  </w:r>
                  <w:r>
                    <w:rPr>
                      <w:position w:val="-1"/>
                      <w:sz w:val="18"/>
                      <w:szCs w:val="18"/>
                    </w:rPr>
                    <w:t>2.</w:t>
                  </w:r>
                  <w:r>
                    <w:rPr>
                      <w:sz w:val="18"/>
                      <w:szCs w:val="18"/>
                    </w:rPr>
                    <w:t xml:space="preserve"> = 4</w:t>
                  </w:r>
                </w:p>
              </w:tc>
              <w:tc>
                <w:tcPr>
                  <w:tcW w:w="3724" w:type="dxa"/>
                  <w:tcBorders>
                    <w:top w:val="single" w:sz="4" w:space="0" w:color="000000"/>
                    <w:left w:val="single" w:sz="4" w:space="0" w:color="000000"/>
                    <w:bottom w:val="single" w:sz="4" w:space="0" w:color="000000"/>
                    <w:right w:val="single" w:sz="4" w:space="0" w:color="000000"/>
                  </w:tcBorders>
                </w:tcPr>
                <w:p>
                  <w:pPr>
                    <w:pStyle w:val="-2"/>
                    <w:widowControl w:val="false"/>
                    <w:numPr>
                      <w:ilvl w:val="4"/>
                    </w:numPr>
                    <w:spacing w:lineRule="auto" w:line="240"/>
                    <w:ind w:left="113" w:right="964" w:hanging="0"/>
                    <w:jc w:val="left"/>
                    <w:rPr>
                      <w:rFonts w:ascii="Times New Roman" w:hAnsi="Times New Roman"/>
                      <w:sz w:val="18"/>
                      <w:szCs w:val="18"/>
                    </w:rPr>
                  </w:pPr>
                  <w:r>
                    <w:rPr>
                      <w:rFonts w:cs="Times New Roman" w:ascii="Times New Roman" w:hAnsi="Times New Roman"/>
                      <w:sz w:val="18"/>
                      <w:szCs w:val="18"/>
                    </w:rPr>
                    <w:t>более 60% НМЦ «без учета НДС», до 70% НМЦ  без учета НДС (включительно);</w:t>
                  </w:r>
                </w:p>
              </w:tc>
            </w:tr>
            <w:tr>
              <w:trPr>
                <w:cantSplit w:val="true"/>
              </w:trPr>
              <w:tc>
                <w:tcPr>
                  <w:tcW w:w="122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ascii="Times New Roman" w:hAnsi="Times New Roman"/>
                      <w:sz w:val="18"/>
                      <w:szCs w:val="18"/>
                    </w:rPr>
                  </w:pPr>
                  <w:r>
                    <w:rPr>
                      <w:sz w:val="18"/>
                      <w:szCs w:val="18"/>
                    </w:rPr>
                    <w:t xml:space="preserve"> </w:t>
                  </w:r>
                  <w:r>
                    <w:rPr>
                      <w:sz w:val="18"/>
                      <w:szCs w:val="18"/>
                    </w:rPr>
                    <w:t>Б</w:t>
                  </w:r>
                  <w:r>
                    <w:rPr>
                      <w:position w:val="-1"/>
                      <w:sz w:val="18"/>
                      <w:szCs w:val="18"/>
                    </w:rPr>
                    <w:t xml:space="preserve">2. </w:t>
                  </w:r>
                  <w:r>
                    <w:rPr>
                      <w:sz w:val="18"/>
                      <w:szCs w:val="18"/>
                    </w:rPr>
                    <w:t>= 5</w:t>
                  </w:r>
                </w:p>
              </w:tc>
              <w:tc>
                <w:tcPr>
                  <w:tcW w:w="3724" w:type="dxa"/>
                  <w:tcBorders>
                    <w:top w:val="single" w:sz="4" w:space="0" w:color="000000"/>
                    <w:left w:val="single" w:sz="4" w:space="0" w:color="000000"/>
                    <w:bottom w:val="single" w:sz="4" w:space="0" w:color="000000"/>
                    <w:right w:val="single" w:sz="4" w:space="0" w:color="000000"/>
                  </w:tcBorders>
                </w:tcPr>
                <w:p>
                  <w:pPr>
                    <w:pStyle w:val="-2"/>
                    <w:widowControl w:val="false"/>
                    <w:numPr>
                      <w:ilvl w:val="4"/>
                    </w:numPr>
                    <w:spacing w:lineRule="auto" w:line="240"/>
                    <w:ind w:left="113" w:right="1020" w:hanging="0"/>
                    <w:jc w:val="left"/>
                    <w:rPr/>
                  </w:pPr>
                  <w:r>
                    <w:rPr>
                      <w:rFonts w:eastAsia="Arial Unicode MS" w:cs="Times New Roman" w:ascii="Times New Roman" w:hAnsi="Times New Roman"/>
                      <w:sz w:val="18"/>
                      <w:szCs w:val="18"/>
                    </w:rPr>
                    <w:t>более</w:t>
                  </w:r>
                  <w:r>
                    <w:rPr>
                      <w:rStyle w:val="Annotationreference"/>
                      <w:rFonts w:eastAsia="Arial Unicode MS" w:cs="Times New Roman" w:ascii="Times New Roman" w:hAnsi="Times New Roman"/>
                      <w:sz w:val="18"/>
                      <w:szCs w:val="18"/>
                    </w:rPr>
                    <w:t xml:space="preserve"> 70% НМЦ без учета НДС;</w:t>
                  </w:r>
                </w:p>
              </w:tc>
            </w:tr>
          </w:tbl>
          <w:p>
            <w:pPr>
              <w:pStyle w:val="22"/>
              <w:keepNext w:val="true"/>
              <w:widowControl w:val="false"/>
              <w:spacing w:lineRule="auto" w:line="240"/>
              <w:jc w:val="left"/>
              <w:rPr>
                <w:rFonts w:ascii="Times New Roman" w:hAnsi="Times New Roman"/>
                <w:sz w:val="18"/>
                <w:szCs w:val="18"/>
              </w:rPr>
            </w:pPr>
            <w:r>
              <w:rPr>
                <w:rFonts w:cs="Times New Roman" w:ascii="Times New Roman" w:hAnsi="Times New Roman"/>
                <w:sz w:val="18"/>
                <w:szCs w:val="18"/>
              </w:rPr>
              <w:t>где:</w:t>
            </w:r>
          </w:p>
          <w:p>
            <w:pPr>
              <w:pStyle w:val="BodyText"/>
              <w:widowControl w:val="false"/>
              <w:spacing w:lineRule="auto" w:line="240" w:before="0" w:after="0"/>
              <w:ind w:left="57" w:right="57" w:hanging="0"/>
              <w:jc w:val="both"/>
              <w:rPr>
                <w:rFonts w:ascii="Times New Roman" w:hAnsi="Times New Roman"/>
                <w:sz w:val="18"/>
                <w:szCs w:val="18"/>
              </w:rPr>
            </w:pPr>
            <w:r>
              <w:rPr>
                <w:rFonts w:eastAsia="Calibri" w:cs="Times New Roman"/>
                <w:spacing w:val="-2"/>
                <w:sz w:val="18"/>
                <w:szCs w:val="18"/>
              </w:rPr>
              <w:t>Б</w:t>
            </w:r>
            <w:r>
              <w:rPr>
                <w:rFonts w:eastAsia="Calibri" w:cs="Times New Roman"/>
                <w:spacing w:val="-2"/>
                <w:position w:val="-1"/>
                <w:sz w:val="18"/>
                <w:szCs w:val="18"/>
              </w:rPr>
              <w:t>2</w:t>
            </w:r>
            <w:r>
              <w:rPr>
                <w:rFonts w:eastAsia="Calibri" w:cs="Times New Roman"/>
                <w:spacing w:val="-2"/>
                <w:sz w:val="18"/>
                <w:szCs w:val="18"/>
              </w:rPr>
              <w:t>  - рассчитанная оценка предпочтительности по данному частному критерию оценки в баллах.</w:t>
            </w:r>
          </w:p>
          <w:p>
            <w:pPr>
              <w:pStyle w:val="BodyText"/>
              <w:widowControl w:val="false"/>
              <w:spacing w:lineRule="auto" w:line="240" w:before="0" w:after="0"/>
              <w:ind w:left="57" w:right="57" w:hanging="0"/>
              <w:jc w:val="both"/>
              <w:rPr>
                <w:rFonts w:ascii="Times New Roman" w:hAnsi="Times New Roman"/>
                <w:sz w:val="18"/>
                <w:szCs w:val="18"/>
              </w:rPr>
            </w:pPr>
            <w:r>
              <w:rPr>
                <w:rFonts w:eastAsia="Calibri" w:cs="Times New Roman"/>
                <w:spacing w:val="-2"/>
                <w:sz w:val="18"/>
                <w:szCs w:val="18"/>
              </w:rPr>
              <w:t>К оценке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pPr>
              <w:pStyle w:val="22"/>
              <w:widowControl w:val="false"/>
              <w:spacing w:lineRule="auto" w:line="240"/>
              <w:ind w:left="0" w:hanging="0"/>
              <w:rPr>
                <w:rFonts w:ascii="Times New Roman" w:hAnsi="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Опыт, несоответствующий установленным выше требованиям не оценивается.</w:t>
            </w:r>
          </w:p>
          <w:p>
            <w:pPr>
              <w:pStyle w:val="22"/>
              <w:widowControl w:val="false"/>
              <w:spacing w:lineRule="auto" w:line="240"/>
              <w:ind w:left="0" w:hanging="0"/>
              <w:rPr>
                <w:rFonts w:ascii="Times New Roman" w:hAnsi="Times New Roman"/>
                <w:sz w:val="18"/>
                <w:szCs w:val="18"/>
              </w:rPr>
            </w:pPr>
            <w:r>
              <w:rPr>
                <w:rFonts w:cs="Times New Roman" w:ascii="Times New Roman" w:hAnsi="Times New Roman"/>
                <w:sz w:val="18"/>
                <w:szCs w:val="18"/>
              </w:rPr>
              <w:t>Шкала оценок от 0 до 5 баллов.</w:t>
            </w:r>
          </w:p>
        </w:tc>
      </w:tr>
      <w:tr>
        <w:trPr/>
        <w:tc>
          <w:tcPr>
            <w:tcW w:w="739" w:type="dxa"/>
            <w:tcBorders>
              <w:top w:val="nil"/>
              <w:left w:val="single" w:sz="6" w:space="0" w:color="7F7F7F"/>
              <w:bottom w:val="single" w:sz="6" w:space="0" w:color="7F7F7F"/>
              <w:right w:val="nil"/>
            </w:tcBorders>
          </w:tcPr>
          <w:p>
            <w:pPr>
              <w:pStyle w:val="Style28"/>
              <w:widowControl w:val="false"/>
              <w:spacing w:before="120" w:after="0"/>
              <w:jc w:val="center"/>
              <w:rPr>
                <w:rFonts w:ascii="Times New Roman" w:hAnsi="Times New Roman"/>
                <w:sz w:val="18"/>
                <w:szCs w:val="18"/>
              </w:rPr>
            </w:pPr>
            <w:r>
              <w:rPr>
                <w:rFonts w:eastAsia="Calibri"/>
                <w:sz w:val="18"/>
                <w:szCs w:val="18"/>
              </w:rPr>
              <w:t>3.</w:t>
            </w:r>
          </w:p>
        </w:tc>
        <w:tc>
          <w:tcPr>
            <w:tcW w:w="2062" w:type="dxa"/>
            <w:tcBorders>
              <w:top w:val="nil"/>
              <w:left w:val="single" w:sz="6" w:space="0" w:color="7F7F7F"/>
              <w:bottom w:val="single" w:sz="6" w:space="0" w:color="7F7F7F"/>
              <w:right w:val="nil"/>
            </w:tcBorders>
          </w:tcPr>
          <w:p>
            <w:pPr>
              <w:pStyle w:val="Style28"/>
              <w:widowControl w:val="false"/>
              <w:spacing w:before="120" w:after="0"/>
              <w:jc w:val="center"/>
              <w:rPr>
                <w:rFonts w:ascii="Times New Roman" w:hAnsi="Times New Roman"/>
                <w:sz w:val="18"/>
                <w:szCs w:val="18"/>
              </w:rPr>
            </w:pPr>
            <w:r>
              <w:rPr>
                <w:rFonts w:eastAsia="Calibri"/>
                <w:i/>
                <w:iCs/>
                <w:sz w:val="18"/>
                <w:szCs w:val="18"/>
              </w:rPr>
              <w:t>«Неценовой критерий оценки первого уровня;</w:t>
              <w:br/>
              <w:t>Орг»</w:t>
            </w:r>
          </w:p>
        </w:tc>
        <w:tc>
          <w:tcPr>
            <w:tcW w:w="1594" w:type="dxa"/>
            <w:tcBorders>
              <w:top w:val="nil"/>
              <w:left w:val="single" w:sz="6" w:space="0" w:color="7F7F7F"/>
              <w:bottom w:val="single" w:sz="6" w:space="0" w:color="7F7F7F"/>
              <w:right w:val="nil"/>
            </w:tcBorders>
          </w:tcPr>
          <w:p>
            <w:pPr>
              <w:pStyle w:val="Style28"/>
              <w:widowControl w:val="false"/>
              <w:spacing w:before="120" w:after="0"/>
              <w:jc w:val="center"/>
              <w:rPr>
                <w:rFonts w:ascii="Times New Roman" w:hAnsi="Times New Roman"/>
                <w:sz w:val="18"/>
                <w:szCs w:val="18"/>
              </w:rPr>
            </w:pPr>
            <w:r>
              <w:rPr>
                <w:rFonts w:eastAsia="Calibri"/>
                <w:sz w:val="18"/>
                <w:szCs w:val="18"/>
              </w:rPr>
              <w:t>Финансовое состояние (устойчивость) Участника</w:t>
            </w:r>
          </w:p>
        </w:tc>
        <w:tc>
          <w:tcPr>
            <w:tcW w:w="1701" w:type="dxa"/>
            <w:tcBorders>
              <w:top w:val="nil"/>
              <w:left w:val="single" w:sz="6" w:space="0" w:color="7F7F7F"/>
              <w:bottom w:val="single" w:sz="6" w:space="0" w:color="7F7F7F"/>
              <w:right w:val="nil"/>
            </w:tcBorders>
          </w:tcPr>
          <w:p>
            <w:pPr>
              <w:pStyle w:val="Style28"/>
              <w:widowControl w:val="false"/>
              <w:spacing w:before="120" w:after="0"/>
              <w:jc w:val="center"/>
              <w:rPr>
                <w:rFonts w:ascii="Times New Roman" w:hAnsi="Times New Roman"/>
                <w:sz w:val="18"/>
                <w:szCs w:val="18"/>
              </w:rPr>
            </w:pPr>
            <w:r>
              <w:rPr>
                <w:rFonts w:eastAsia="Calibri"/>
                <w:i/>
                <w:iCs/>
                <w:sz w:val="18"/>
                <w:szCs w:val="18"/>
              </w:rPr>
              <w:t>отсутствует</w:t>
            </w:r>
          </w:p>
        </w:tc>
        <w:tc>
          <w:tcPr>
            <w:tcW w:w="1841" w:type="dxa"/>
            <w:tcBorders>
              <w:top w:val="nil"/>
              <w:left w:val="single" w:sz="6" w:space="0" w:color="7F7F7F"/>
              <w:bottom w:val="single" w:sz="6" w:space="0" w:color="7F7F7F"/>
              <w:right w:val="nil"/>
            </w:tcBorders>
          </w:tcPr>
          <w:p>
            <w:pPr>
              <w:pStyle w:val="Normal"/>
              <w:widowControl w:val="false"/>
              <w:spacing w:before="40" w:after="40"/>
              <w:jc w:val="center"/>
              <w:rPr>
                <w:rFonts w:ascii="Times New Roman" w:hAnsi="Times New Roman"/>
                <w:sz w:val="18"/>
                <w:szCs w:val="18"/>
              </w:rPr>
            </w:pPr>
            <w:r>
              <w:rPr>
                <w:rFonts w:eastAsia="Calibri"/>
                <w:sz w:val="18"/>
                <w:szCs w:val="18"/>
              </w:rPr>
              <w:t>5%</w:t>
              <w:br/>
              <w:t>(В</w:t>
            </w:r>
            <w:r>
              <w:rPr>
                <w:rFonts w:eastAsia="Calibri"/>
                <w:sz w:val="18"/>
                <w:szCs w:val="18"/>
                <w:vertAlign w:val="subscript"/>
              </w:rPr>
              <w:t>3</w:t>
            </w:r>
            <w:r>
              <w:rPr>
                <w:rFonts w:eastAsia="Calibri"/>
                <w:sz w:val="18"/>
                <w:szCs w:val="18"/>
              </w:rPr>
              <w:t xml:space="preserve"> = 0,05)</w:t>
            </w:r>
          </w:p>
        </w:tc>
        <w:tc>
          <w:tcPr>
            <w:tcW w:w="1986" w:type="dxa"/>
            <w:tcBorders>
              <w:top w:val="nil"/>
              <w:left w:val="single" w:sz="6" w:space="0" w:color="7F7F7F"/>
              <w:bottom w:val="single" w:sz="6" w:space="0" w:color="7F7F7F"/>
              <w:right w:val="nil"/>
            </w:tcBorders>
          </w:tcPr>
          <w:p>
            <w:pPr>
              <w:pStyle w:val="Normal"/>
              <w:widowControl w:val="false"/>
              <w:spacing w:before="120" w:after="0"/>
              <w:jc w:val="center"/>
              <w:rPr>
                <w:rFonts w:ascii="Times New Roman" w:hAnsi="Times New Roman"/>
                <w:sz w:val="18"/>
                <w:szCs w:val="18"/>
              </w:rPr>
            </w:pPr>
            <w:r>
              <w:rPr>
                <w:rFonts w:cs="Times New Roman"/>
                <w:color w:val="000000"/>
                <w:sz w:val="18"/>
                <w:szCs w:val="18"/>
                <w:lang w:eastAsia="ru-RU"/>
              </w:rPr>
              <w:t>Чем выше результат оценки финансового состояния (устойчивости) Участника, тем выше предпочтительность</w:t>
            </w:r>
          </w:p>
        </w:tc>
        <w:tc>
          <w:tcPr>
            <w:tcW w:w="4110" w:type="dxa"/>
            <w:tcBorders>
              <w:top w:val="nil"/>
              <w:left w:val="single" w:sz="6" w:space="0" w:color="7F7F7F"/>
              <w:bottom w:val="single" w:sz="6" w:space="0" w:color="7F7F7F"/>
              <w:right w:val="single" w:sz="6" w:space="0" w:color="7F7F7F"/>
            </w:tcBorders>
          </w:tcPr>
          <w:p>
            <w:pPr>
              <w:pStyle w:val="Style28"/>
              <w:widowControl w:val="false"/>
              <w:suppressAutoHyphens w:val="true"/>
              <w:spacing w:before="40" w:after="40"/>
              <w:jc w:val="left"/>
              <w:rPr>
                <w:rFonts w:ascii="Times New Roman" w:hAnsi="Times New Roman"/>
                <w:sz w:val="18"/>
                <w:szCs w:val="18"/>
              </w:rPr>
            </w:pPr>
            <w:r>
              <w:rPr>
                <w:rFonts w:eastAsia="Calibri" w:cs=""/>
                <w:kern w:val="0"/>
                <w:sz w:val="18"/>
                <w:szCs w:val="18"/>
                <w:lang w:val="ru-RU"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Style28"/>
              <w:widowControl w:val="false"/>
              <w:suppressAutoHyphens w:val="true"/>
              <w:spacing w:before="40" w:after="40"/>
              <w:jc w:val="left"/>
              <w:rPr>
                <w:rFonts w:ascii="Times New Roman" w:hAnsi="Times New Roman"/>
                <w:sz w:val="18"/>
                <w:szCs w:val="18"/>
              </w:rPr>
            </w:pPr>
            <w:r>
              <w:rPr>
                <w:rFonts w:eastAsia="Calibri" w:cs=""/>
                <w:kern w:val="0"/>
                <w:sz w:val="18"/>
                <w:szCs w:val="18"/>
                <w:lang w:val="ru-RU" w:eastAsia="en-US" w:bidi="ar-SA"/>
              </w:rPr>
              <w:t xml:space="preserve">Порядок осуществления оценки (значение оцениваемого параметра), в зависимости от полученного Участником (с </w:t>
            </w:r>
            <w:r>
              <w:rPr/>
            </w:r>
            <m:oMath xmlns:m="http://schemas.openxmlformats.org/officeDocument/2006/math">
              <m:r>
                <w:rPr>
                  <w:rFonts w:ascii="Cambria Math" w:hAnsi="Cambria Math"/>
                </w:rPr>
                <m:t xml:space="preserve">i</m:t>
              </m:r>
            </m:oMath>
            <w:r>
              <w:rPr>
                <w:rFonts w:eastAsia="Calibri" w:cs=""/>
                <w:kern w:val="0"/>
                <w:sz w:val="18"/>
                <w:szCs w:val="18"/>
                <w:lang w:val="ru-RU" w:eastAsia="en-US" w:bidi="ar-SA"/>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Style28"/>
              <w:keepNext w:val="true"/>
              <w:widowControl w:val="false"/>
              <w:numPr>
                <w:ilvl w:val="0"/>
                <w:numId w:val="15"/>
              </w:numPr>
              <w:suppressAutoHyphens w:val="true"/>
              <w:spacing w:before="40" w:after="40"/>
              <w:ind w:left="142" w:hanging="142"/>
              <w:jc w:val="left"/>
              <w:rPr>
                <w:rFonts w:ascii="Times New Roman" w:hAnsi="Times New Roman"/>
                <w:sz w:val="18"/>
                <w:szCs w:val="18"/>
              </w:rPr>
            </w:pPr>
            <w:r>
              <w:rPr>
                <w:rFonts w:eastAsia="Calibri" w:cs=""/>
                <w:kern w:val="0"/>
                <w:sz w:val="18"/>
                <w:szCs w:val="18"/>
                <w:lang w:val="ru-RU" w:eastAsia="en-US" w:bidi="ar-SA"/>
              </w:rPr>
              <w:t>порядок проведения оценки финансового состояния (устойчивости) Участника установлен в Приложении 4 к Положению об аккредитации</w:t>
            </w:r>
            <w:r>
              <w:rPr>
                <w:rStyle w:val="FootnoteReference"/>
                <w:rFonts w:eastAsia="Calibri" w:cs=""/>
                <w:kern w:val="0"/>
                <w:sz w:val="18"/>
                <w:szCs w:val="18"/>
                <w:lang w:val="ru-RU" w:eastAsia="en-US" w:bidi="ar-SA"/>
              </w:rPr>
              <w:footnoteReference w:id="13"/>
            </w:r>
            <w:r>
              <w:rPr>
                <w:rFonts w:eastAsia="Calibri" w:cs=""/>
                <w:kern w:val="0"/>
                <w:sz w:val="18"/>
                <w:szCs w:val="18"/>
                <w:lang w:val="ru-RU" w:eastAsia="en-US" w:bidi="ar-SA"/>
              </w:rPr>
              <w:t>;</w:t>
            </w:r>
          </w:p>
          <w:p>
            <w:pPr>
              <w:pStyle w:val="Style28"/>
              <w:keepNext w:val="true"/>
              <w:widowControl w:val="false"/>
              <w:numPr>
                <w:ilvl w:val="0"/>
                <w:numId w:val="15"/>
              </w:numPr>
              <w:suppressAutoHyphens w:val="true"/>
              <w:spacing w:before="40" w:after="40"/>
              <w:ind w:left="142" w:hanging="142"/>
              <w:jc w:val="left"/>
              <w:rPr>
                <w:rFonts w:ascii="Times New Roman" w:hAnsi="Times New Roman"/>
                <w:sz w:val="18"/>
                <w:szCs w:val="18"/>
              </w:rPr>
            </w:pPr>
            <w:r>
              <w:rPr>
                <w:rFonts w:eastAsia="Calibri" w:cs=""/>
                <w:kern w:val="0"/>
                <w:sz w:val="18"/>
                <w:szCs w:val="18"/>
                <w:lang w:val="ru-RU" w:eastAsia="en-US" w:bidi="ar-SA"/>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(https://bo.nalog.ru) за предыдущий отчетный период (год) по состоянию на дату окончания срока подачи заявок.</w:t>
            </w:r>
          </w:p>
          <w:p>
            <w:pPr>
              <w:pStyle w:val="Style28"/>
              <w:keepNext w:val="true"/>
              <w:widowControl w:val="false"/>
              <w:suppressAutoHyphens w:val="true"/>
              <w:spacing w:before="40" w:after="40"/>
              <w:ind w:left="142" w:hanging="0"/>
              <w:jc w:val="left"/>
              <w:rPr>
                <w:rFonts w:ascii="Times New Roman" w:hAnsi="Times New Roman"/>
                <w:sz w:val="18"/>
                <w:szCs w:val="18"/>
              </w:rPr>
            </w:pPr>
            <w:r>
              <w:rPr>
                <w:rFonts w:eastAsia="Calibri" w:cs=""/>
                <w:kern w:val="0"/>
                <w:sz w:val="18"/>
                <w:szCs w:val="18"/>
                <w:lang w:val="ru-RU" w:eastAsia="en-US" w:bidi="ar-SA"/>
              </w:rPr>
              <w:t>Если Участник в соответствии с законодательством не размещает сведения о своей бухгалтерской (финансовой) отчетности (по формам ОКУД 0710001, 0710002) в упомянутом государственном информационном ресурсе –оценка его финансового состояния производится на основании 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Style28"/>
              <w:keepNext w:val="true"/>
              <w:widowControl w:val="false"/>
              <w:suppressAutoHyphens w:val="true"/>
              <w:spacing w:before="40" w:after="40"/>
              <w:ind w:left="142" w:hanging="0"/>
              <w:jc w:val="left"/>
              <w:rPr>
                <w:rFonts w:ascii="Times New Roman" w:hAnsi="Times New Roman"/>
                <w:sz w:val="18"/>
                <w:szCs w:val="18"/>
              </w:rPr>
            </w:pPr>
            <w:r>
              <w:rPr>
                <w:rFonts w:eastAsia="Calibri" w:cs=""/>
                <w:kern w:val="0"/>
                <w:sz w:val="18"/>
                <w:szCs w:val="18"/>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Style28"/>
              <w:keepNext w:val="true"/>
              <w:widowControl w:val="false"/>
              <w:numPr>
                <w:ilvl w:val="0"/>
                <w:numId w:val="15"/>
              </w:numPr>
              <w:suppressAutoHyphens w:val="true"/>
              <w:spacing w:before="40" w:after="40"/>
              <w:ind w:left="284" w:hanging="142"/>
              <w:jc w:val="left"/>
              <w:rPr>
                <w:rFonts w:ascii="Times New Roman" w:hAnsi="Times New Roman"/>
                <w:sz w:val="18"/>
                <w:szCs w:val="18"/>
              </w:rPr>
            </w:pPr>
            <w:r>
              <w:rPr>
                <w:rFonts w:eastAsia="Calibri" w:cs=""/>
                <w:kern w:val="0"/>
                <w:sz w:val="18"/>
                <w:szCs w:val="18"/>
                <w:lang w:val="ru-RU" w:eastAsia="en-US" w:bidi="ar-SA"/>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8"/>
              <w:keepNext w:val="true"/>
              <w:widowControl w:val="false"/>
              <w:suppressAutoHyphens w:val="true"/>
              <w:spacing w:before="40" w:after="40"/>
              <w:jc w:val="left"/>
              <w:rPr/>
            </w:pPr>
            <w:r>
              <w:rPr>
                <w:rFonts w:eastAsia="Calibri" w:cs=""/>
                <w:kern w:val="0"/>
                <w:sz w:val="18"/>
                <w:szCs w:val="18"/>
                <w:lang w:val="ru-RU" w:eastAsia="en-US" w:bidi="ar-SA"/>
              </w:rPr>
              <w:t>дополнительных сведений о размере всех требуемых показателей согласно данным бухгалтерской (финансовой) отчетности по установленной форме (</w:t>
            </w:r>
            <w:hyperlink w:anchor="Прил11_Данные_бухотчетность">
              <w:r>
                <w:rPr>
                  <w:rStyle w:val="Hyperlink"/>
                  <w:rFonts w:eastAsia="Calibri" w:cs=""/>
                  <w:kern w:val="0"/>
                  <w:sz w:val="18"/>
                  <w:szCs w:val="18"/>
                  <w:lang w:val="ru-RU" w:eastAsia="en-US" w:bidi="ar-SA"/>
                </w:rPr>
                <w:t>Приложение № 11</w:t>
              </w:r>
            </w:hyperlink>
            <w:r>
              <w:rPr>
                <w:rFonts w:eastAsia="Calibri" w:cs=""/>
                <w:kern w:val="0"/>
                <w:sz w:val="18"/>
                <w:szCs w:val="18"/>
                <w:lang w:val="ru-RU" w:eastAsia="en-US" w:bidi="ar-SA"/>
              </w:rPr>
              <w:t>).Оценка предпочтительности по частному критерию осуществляется в соответствии со следующей шкалой:</w:t>
            </w:r>
          </w:p>
          <w:tbl>
            <w:tblPr>
              <w:tblStyle w:val="af9"/>
              <w:tblW w:w="3914"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789"/>
              <w:gridCol w:w="3124"/>
            </w:tblGrid>
            <w:tr>
              <w:trPr>
                <w:cnfStyle w:val="100000000000" w:firstRow="1" w:lastRow="0" w:firstColumn="0" w:lastColumn="0" w:oddVBand="0" w:evenVBand="0" w:oddHBand="0" w:evenHBand="0" w:firstRowFirstColumn="0" w:firstRowLastColumn="0" w:lastRowFirstColumn="0" w:lastRowLastColumn="0"/>
              </w:trPr>
              <w:tc>
                <w:tcPr>
                  <w:tcW w:w="789" w:type="dxa"/>
                  <w:tcBorders>
                    <w:top w:val="nil"/>
                    <w:left w:val="nil"/>
                  </w:tcBorders>
                </w:tcPr>
                <w:p>
                  <w:pPr>
                    <w:pStyle w:val="Style28"/>
                    <w:keepNext w:val="false"/>
                    <w:keepLines w:val="false"/>
                    <w:widowControl w:val="false"/>
                    <w:suppressAutoHyphens w:val="true"/>
                    <w:spacing w:before="40" w:after="40"/>
                    <w:jc w:val="left"/>
                    <w:rPr>
                      <w:rFonts w:ascii="Times New Roman" w:hAnsi="Times New Roman"/>
                      <w:sz w:val="18"/>
                      <w:szCs w:val="18"/>
                    </w:rPr>
                  </w:pPr>
                  <w:r>
                    <w:rPr>
                      <w:b/>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i</m:t>
                          </m:r>
                        </m:sub>
                      </m:sSub>
                      <m:r>
                        <w:rPr>
                          <w:rFonts w:ascii="Cambria Math" w:hAnsi="Cambria Math"/>
                        </w:rPr>
                        <m:t xml:space="preserve">=</m:t>
                      </m:r>
                      <m:r>
                        <w:rPr>
                          <w:rFonts w:ascii="Cambria Math" w:hAnsi="Cambria Math"/>
                        </w:rPr>
                        <m:t xml:space="preserve">0</m:t>
                      </m:r>
                    </m:oMath>
                  </m:oMathPara>
                </w:p>
              </w:tc>
              <w:tc>
                <w:tcPr>
                  <w:tcW w:w="3124" w:type="dxa"/>
                  <w:tcBorders>
                    <w:top w:val="nil"/>
                    <w:right w:val="nil"/>
                  </w:tcBorders>
                </w:tcPr>
                <w:p>
                  <w:pPr>
                    <w:pStyle w:val="Style28"/>
                    <w:keepNext w:val="true"/>
                    <w:keepLines w:val="false"/>
                    <w:widowControl w:val="false"/>
                    <w:suppressAutoHyphens w:val="true"/>
                    <w:spacing w:before="40" w:after="40"/>
                    <w:jc w:val="left"/>
                    <w:rPr>
                      <w:rFonts w:ascii="Times New Roman" w:hAnsi="Times New Roman"/>
                      <w:sz w:val="18"/>
                      <w:szCs w:val="18"/>
                    </w:rPr>
                  </w:pPr>
                  <w:r>
                    <w:rPr>
                      <w:rFonts w:eastAsia="Calibri" w:cs=""/>
                      <w:b w:val="false"/>
                      <w:kern w:val="0"/>
                      <w:sz w:val="18"/>
                      <w:szCs w:val="18"/>
                      <w:lang w:val="ru-RU" w:eastAsia="en-US" w:bidi="ar-SA"/>
                    </w:rPr>
                    <w:t>результат оценки финансового состояния (устойчивости): менее 0,45 баллов – Кризисное финансовое состояние</w:t>
                  </w:r>
                </w:p>
                <w:p>
                  <w:pPr>
                    <w:pStyle w:val="Style28"/>
                    <w:keepNext w:val="true"/>
                    <w:keepLines w:val="false"/>
                    <w:widowControl w:val="false"/>
                    <w:suppressAutoHyphens w:val="true"/>
                    <w:spacing w:before="40" w:after="40"/>
                    <w:jc w:val="left"/>
                    <w:rPr>
                      <w:rFonts w:ascii="Times New Roman" w:hAnsi="Times New Roman"/>
                      <w:sz w:val="18"/>
                      <w:szCs w:val="18"/>
                    </w:rPr>
                  </w:pPr>
                  <w:r>
                    <w:rPr>
                      <w:rFonts w:eastAsia="Calibri" w:cs=""/>
                      <w:b w:val="false"/>
                      <w:i/>
                      <w:iCs/>
                      <w:kern w:val="0"/>
                      <w:sz w:val="18"/>
                      <w:szCs w:val="18"/>
                      <w:lang w:val="ru-RU" w:eastAsia="en-US" w:bidi="ar-SA"/>
                    </w:rPr>
                    <w:t>или</w:t>
                  </w:r>
                </w:p>
                <w:p>
                  <w:pPr>
                    <w:pStyle w:val="Style28"/>
                    <w:keepNext w:val="true"/>
                    <w:keepLines w:val="false"/>
                    <w:widowControl w:val="false"/>
                    <w:suppressAutoHyphens w:val="true"/>
                    <w:spacing w:before="40" w:after="40"/>
                    <w:jc w:val="left"/>
                    <w:rPr>
                      <w:rFonts w:ascii="Times New Roman" w:hAnsi="Times New Roman"/>
                      <w:sz w:val="18"/>
                      <w:szCs w:val="18"/>
                    </w:rPr>
                  </w:pPr>
                  <w:r>
                    <w:rPr>
                      <w:rFonts w:eastAsia="Calibri" w:cs=""/>
                      <w:b w:val="false"/>
                      <w:kern w:val="0"/>
                      <w:sz w:val="18"/>
                      <w:szCs w:val="18"/>
                      <w:lang w:val="ru-RU" w:eastAsia="en-US" w:bidi="ar-SA"/>
                    </w:rPr>
                    <w:t>в случае отсутствия исходных данных для оценки финансового состояния Участника, в том числе если он является:</w:t>
                  </w:r>
                </w:p>
                <w:p>
                  <w:pPr>
                    <w:pStyle w:val="Style28"/>
                    <w:keepNext w:val="true"/>
                    <w:keepLines w:val="false"/>
                    <w:widowControl w:val="false"/>
                    <w:numPr>
                      <w:ilvl w:val="0"/>
                      <w:numId w:val="15"/>
                    </w:numPr>
                    <w:suppressAutoHyphens w:val="true"/>
                    <w:spacing w:before="40" w:after="40"/>
                    <w:ind w:left="142" w:hanging="142"/>
                    <w:jc w:val="left"/>
                    <w:rPr>
                      <w:rFonts w:ascii="Times New Roman" w:hAnsi="Times New Roman"/>
                      <w:sz w:val="18"/>
                      <w:szCs w:val="18"/>
                    </w:rPr>
                  </w:pPr>
                  <w:r>
                    <w:rPr>
                      <w:rFonts w:eastAsia="Calibri" w:cs=""/>
                      <w:b w:val="false"/>
                      <w:kern w:val="0"/>
                      <w:sz w:val="18"/>
                      <w:szCs w:val="18"/>
                      <w:lang w:val="ru-RU" w:eastAsia="en-US" w:bidi="ar-SA"/>
                    </w:rPr>
                    <w:t>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pPr>
                    <w:pStyle w:val="Style28"/>
                    <w:keepNext w:val="false"/>
                    <w:keepLines w:val="false"/>
                    <w:widowControl w:val="false"/>
                    <w:numPr>
                      <w:ilvl w:val="0"/>
                      <w:numId w:val="15"/>
                    </w:numPr>
                    <w:suppressAutoHyphens w:val="true"/>
                    <w:spacing w:before="40" w:after="40"/>
                    <w:ind w:left="142" w:hanging="142"/>
                    <w:jc w:val="left"/>
                    <w:rPr>
                      <w:rFonts w:ascii="Times New Roman" w:hAnsi="Times New Roman"/>
                      <w:sz w:val="18"/>
                      <w:szCs w:val="18"/>
                    </w:rPr>
                  </w:pPr>
                  <w:r>
                    <w:rPr>
                      <w:rFonts w:eastAsia="Calibri" w:cs=""/>
                      <w:b w:val="false"/>
                      <w:kern w:val="0"/>
                      <w:sz w:val="18"/>
                      <w:szCs w:val="18"/>
                      <w:lang w:val="ru-RU" w:eastAsia="en-US" w:bidi="ar-SA"/>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trPr/>
              <w:tc>
                <w:tcPr>
                  <w:tcW w:w="789" w:type="dxa"/>
                  <w:tcBorders>
                    <w:left w:val="nil"/>
                  </w:tcBorders>
                </w:tcPr>
                <w:p>
                  <w:pPr>
                    <w:pStyle w:val="Style28"/>
                    <w:widowControl w:val="false"/>
                    <w:suppressAutoHyphens w:val="true"/>
                    <w:spacing w:before="40" w:after="40"/>
                    <w:jc w:val="left"/>
                    <w:rPr>
                      <w:rFonts w:ascii="Times New Roman" w:hAnsi="Times New Roman"/>
                      <w:sz w:val="18"/>
                      <w:szCs w:val="18"/>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i</m:t>
                          </m:r>
                        </m:sub>
                      </m:sSub>
                      <m:r>
                        <w:rPr>
                          <w:rFonts w:ascii="Cambria Math" w:hAnsi="Cambria Math"/>
                        </w:rPr>
                        <m:t xml:space="preserve">=</m:t>
                      </m:r>
                      <m:r>
                        <w:rPr>
                          <w:rFonts w:ascii="Cambria Math" w:hAnsi="Cambria Math"/>
                        </w:rPr>
                        <m:t xml:space="preserve">3</m:t>
                      </m:r>
                    </m:oMath>
                  </m:oMathPara>
                </w:p>
              </w:tc>
              <w:tc>
                <w:tcPr>
                  <w:tcW w:w="3124" w:type="dxa"/>
                  <w:tcBorders>
                    <w:right w:val="nil"/>
                  </w:tcBorders>
                </w:tcPr>
                <w:p>
                  <w:pPr>
                    <w:pStyle w:val="Style28"/>
                    <w:widowControl w:val="false"/>
                    <w:suppressAutoHyphens w:val="true"/>
                    <w:spacing w:before="40" w:after="40"/>
                    <w:jc w:val="left"/>
                    <w:rPr>
                      <w:rFonts w:ascii="Times New Roman" w:hAnsi="Times New Roman"/>
                      <w:sz w:val="18"/>
                      <w:szCs w:val="18"/>
                    </w:rPr>
                  </w:pPr>
                  <w:r>
                    <w:rPr>
                      <w:rFonts w:eastAsia="Calibri" w:cs=""/>
                      <w:kern w:val="0"/>
                      <w:sz w:val="18"/>
                      <w:szCs w:val="18"/>
                      <w:lang w:val="ru-RU" w:eastAsia="en-US" w:bidi="ar-SA"/>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trPr/>
              <w:tc>
                <w:tcPr>
                  <w:tcW w:w="789" w:type="dxa"/>
                  <w:tcBorders>
                    <w:left w:val="nil"/>
                    <w:bottom w:val="nil"/>
                  </w:tcBorders>
                </w:tcPr>
                <w:p>
                  <w:pPr>
                    <w:pStyle w:val="Style28"/>
                    <w:widowControl w:val="false"/>
                    <w:suppressAutoHyphens w:val="true"/>
                    <w:spacing w:before="40" w:after="40"/>
                    <w:jc w:val="left"/>
                    <w:rPr>
                      <w:rFonts w:ascii="Times New Roman" w:hAnsi="Times New Roman"/>
                      <w:sz w:val="18"/>
                      <w:szCs w:val="18"/>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i</m:t>
                          </m:r>
                        </m:sub>
                      </m:sSub>
                      <m:r>
                        <w:rPr>
                          <w:rFonts w:ascii="Cambria Math" w:hAnsi="Cambria Math"/>
                        </w:rPr>
                        <m:t xml:space="preserve">=</m:t>
                      </m:r>
                      <m:r>
                        <w:rPr>
                          <w:rFonts w:ascii="Cambria Math" w:hAnsi="Cambria Math"/>
                        </w:rPr>
                        <m:t xml:space="preserve">5</m:t>
                      </m:r>
                    </m:oMath>
                  </m:oMathPara>
                </w:p>
              </w:tc>
              <w:tc>
                <w:tcPr>
                  <w:tcW w:w="3124" w:type="dxa"/>
                  <w:tcBorders>
                    <w:bottom w:val="nil"/>
                    <w:right w:val="nil"/>
                  </w:tcBorders>
                </w:tcPr>
                <w:p>
                  <w:pPr>
                    <w:pStyle w:val="Style28"/>
                    <w:widowControl w:val="false"/>
                    <w:suppressAutoHyphens w:val="true"/>
                    <w:spacing w:before="40" w:after="40"/>
                    <w:jc w:val="left"/>
                    <w:rPr>
                      <w:rFonts w:ascii="Times New Roman" w:hAnsi="Times New Roman"/>
                      <w:sz w:val="18"/>
                      <w:szCs w:val="18"/>
                    </w:rPr>
                  </w:pPr>
                  <w:r>
                    <w:rPr>
                      <w:rFonts w:eastAsia="Calibri" w:cs=""/>
                      <w:kern w:val="0"/>
                      <w:sz w:val="18"/>
                      <w:szCs w:val="18"/>
                      <w:lang w:val="ru-RU" w:eastAsia="en-US" w:bidi="ar-SA"/>
                    </w:rPr>
                    <w:t>результат оценки финансового состояния (устойчивости): более 0,90 баллов – Удовлетворительное финансовое состояние,</w:t>
                  </w:r>
                </w:p>
              </w:tc>
            </w:tr>
          </w:tbl>
          <w:p>
            <w:pPr>
              <w:pStyle w:val="Style28"/>
              <w:widowControl w:val="false"/>
              <w:suppressAutoHyphens w:val="true"/>
              <w:spacing w:before="40" w:after="40"/>
              <w:jc w:val="left"/>
              <w:rPr>
                <w:rFonts w:ascii="Times New Roman" w:hAnsi="Times New Roman"/>
                <w:sz w:val="18"/>
                <w:szCs w:val="18"/>
              </w:rPr>
            </w:pPr>
            <w:r>
              <w:rPr>
                <w:rFonts w:eastAsia="Calibri" w:cs=""/>
                <w:kern w:val="0"/>
                <w:sz w:val="18"/>
                <w:szCs w:val="18"/>
                <w:lang w:val="ru-RU" w:eastAsia="en-US" w:bidi="ar-SA"/>
              </w:rPr>
              <w:t>где:</w:t>
            </w:r>
          </w:p>
          <w:p>
            <w:pPr>
              <w:pStyle w:val="Style28"/>
              <w:widowControl w:val="false"/>
              <w:suppressAutoHyphens w:val="true"/>
              <w:spacing w:before="40" w:after="40"/>
              <w:jc w:val="left"/>
              <w:rPr>
                <w:rFonts w:ascii="Times New Roman" w:hAnsi="Times New Roman"/>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i</m:t>
                  </m:r>
                </m:sub>
              </m:sSub>
            </m:oMath>
            <w:r>
              <w:rPr>
                <w:rFonts w:eastAsia="Calibri" w:cs=""/>
                <w:kern w:val="0"/>
                <w:sz w:val="18"/>
                <w:szCs w:val="18"/>
                <w:lang w:val="ru-RU" w:eastAsia="en-US" w:bidi="ar-SA"/>
              </w:rPr>
              <w:t xml:space="preserve"> – </w:t>
            </w:r>
            <w:r>
              <w:rPr>
                <w:rFonts w:eastAsia="Calibri" w:cs=""/>
                <w:kern w:val="0"/>
                <w:sz w:val="18"/>
                <w:szCs w:val="18"/>
                <w:lang w:val="ru-RU" w:eastAsia="en-US" w:bidi="ar-SA"/>
              </w:rPr>
              <w:t>рассчитанная оценка предпочтительности по частному критерию оценки в баллах.</w:t>
            </w:r>
          </w:p>
          <w:p>
            <w:pPr>
              <w:pStyle w:val="Style28"/>
              <w:widowControl w:val="false"/>
              <w:suppressAutoHyphens w:val="true"/>
              <w:spacing w:before="40" w:after="40"/>
              <w:jc w:val="left"/>
              <w:rPr>
                <w:rFonts w:ascii="Times New Roman" w:hAnsi="Times New Roman"/>
                <w:sz w:val="18"/>
                <w:szCs w:val="18"/>
              </w:rPr>
            </w:pPr>
            <w:r>
              <w:rPr>
                <w:rFonts w:eastAsia="Calibri" w:cs=""/>
                <w:kern w:val="0"/>
                <w:sz w:val="18"/>
                <w:szCs w:val="18"/>
                <w:lang w:val="ru-RU" w:eastAsia="en-US" w:bidi="ar-SA"/>
              </w:rPr>
              <w:t>Шкала оценок от 0 до 5 баллов.</w:t>
            </w:r>
          </w:p>
          <w:p>
            <w:pPr>
              <w:pStyle w:val="Style28"/>
              <w:widowControl w:val="false"/>
              <w:suppressAutoHyphens w:val="true"/>
              <w:spacing w:before="40" w:after="40"/>
              <w:jc w:val="left"/>
              <w:rPr>
                <w:rFonts w:ascii="Times New Roman" w:hAnsi="Times New Roman"/>
                <w:sz w:val="18"/>
                <w:szCs w:val="18"/>
              </w:rPr>
            </w:pPr>
            <w:r>
              <w:rPr>
                <w:rFonts w:eastAsia="Calibri" w:cs=""/>
                <w:i/>
                <w:iCs/>
                <w:kern w:val="0"/>
                <w:sz w:val="18"/>
                <w:szCs w:val="18"/>
                <w:lang w:val="ru-RU" w:eastAsia="en-US" w:bidi="ar-SA"/>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Style28"/>
              <w:widowControl w:val="false"/>
              <w:suppressAutoHyphens w:val="true"/>
              <w:spacing w:before="40" w:after="40"/>
              <w:jc w:val="left"/>
              <w:rPr>
                <w:rFonts w:ascii="Times New Roman" w:hAnsi="Times New Roman"/>
                <w:sz w:val="18"/>
                <w:szCs w:val="18"/>
              </w:rPr>
            </w:pPr>
            <w:r>
              <w:rPr>
                <w:sz w:val="18"/>
                <w:szCs w:val="18"/>
              </w:rPr>
            </w:r>
          </w:p>
        </w:tc>
      </w:tr>
      <w:tr>
        <w:trPr/>
        <w:tc>
          <w:tcPr>
            <w:tcW w:w="6096" w:type="dxa"/>
            <w:gridSpan w:val="4"/>
            <w:tcBorders>
              <w:top w:val="nil"/>
              <w:left w:val="single" w:sz="6" w:space="0" w:color="7F7F7F"/>
              <w:bottom w:val="single" w:sz="6" w:space="0" w:color="7F7F7F"/>
              <w:right w:val="nil"/>
            </w:tcBorders>
          </w:tcPr>
          <w:p>
            <w:pPr>
              <w:pStyle w:val="Style28"/>
              <w:widowControl w:val="false"/>
              <w:suppressAutoHyphens w:val="true"/>
              <w:spacing w:before="40" w:after="40"/>
              <w:jc w:val="left"/>
              <w:rPr>
                <w:sz w:val="18"/>
                <w:szCs w:val="18"/>
              </w:rPr>
            </w:pPr>
            <w:r>
              <w:rPr>
                <w:rFonts w:eastAsia="Calibri" w:cs=""/>
                <w:kern w:val="0"/>
                <w:sz w:val="18"/>
                <w:szCs w:val="18"/>
                <w:lang w:val="ru-RU" w:eastAsia="en-US" w:bidi="ar-SA"/>
              </w:rPr>
              <w:t>Итоговая оценка предпочтительности заявки:</w:t>
            </w:r>
          </w:p>
        </w:tc>
        <w:tc>
          <w:tcPr>
            <w:tcW w:w="7937" w:type="dxa"/>
            <w:gridSpan w:val="3"/>
            <w:tcBorders>
              <w:top w:val="nil"/>
              <w:left w:val="single" w:sz="6" w:space="0" w:color="7F7F7F"/>
              <w:bottom w:val="single" w:sz="6" w:space="0" w:color="7F7F7F"/>
              <w:right w:val="single" w:sz="6" w:space="0" w:color="7F7F7F"/>
            </w:tcBorders>
          </w:tcPr>
          <w:p>
            <w:pPr>
              <w:pStyle w:val="Style28"/>
              <w:widowControl w:val="false"/>
              <w:suppressAutoHyphens w:val="true"/>
              <w:spacing w:before="40" w:after="40"/>
              <w:jc w:val="left"/>
              <w:rPr>
                <w:sz w:val="18"/>
                <w:szCs w:val="18"/>
              </w:rPr>
            </w:pPr>
            <w:r>
              <w:rPr>
                <w:rFonts w:eastAsia="Calibri" w:cs=""/>
                <w:kern w:val="0"/>
                <w:sz w:val="18"/>
                <w:szCs w:val="18"/>
                <w:lang w:val="ru-RU" w:eastAsia="en-US" w:bidi="ar-SA"/>
              </w:rPr>
              <w:t xml:space="preserve">Расчет итоговой оценки предпочтительности </w:t>
            </w:r>
            <w:r>
              <w:rPr/>
            </w:r>
            <m:oMath xmlns:m="http://schemas.openxmlformats.org/officeDocument/2006/math">
              <m:r>
                <w:rPr>
                  <w:rFonts w:ascii="Cambria Math" w:hAnsi="Cambria Math"/>
                </w:rPr>
                <m:t xml:space="preserve">i</m:t>
              </m:r>
            </m:oMath>
            <w:r>
              <w:rPr>
                <w:rFonts w:eastAsia="Calibri" w:cs=""/>
                <w:kern w:val="0"/>
                <w:sz w:val="18"/>
                <w:szCs w:val="18"/>
                <w:lang w:val="ru-RU" w:eastAsia="en-US" w:bidi="ar-SA"/>
              </w:rPr>
              <w:t>-ой заявки:</w:t>
            </w:r>
          </w:p>
          <w:p>
            <w:pPr>
              <w:pStyle w:val="Style28"/>
              <w:widowControl w:val="false"/>
              <w:suppressAutoHyphens w:val="true"/>
              <w:spacing w:before="40" w:after="40"/>
              <w:jc w:val="center"/>
              <w:rPr>
                <w:i/>
                <w:i/>
                <w:sz w:val="18"/>
                <w:szCs w:val="18"/>
                <w:lang w:val="en-US"/>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r>
                          <w:rPr>
                            <w:rFonts w:ascii="Cambria Math" w:hAnsi="Cambria Math"/>
                          </w:rPr>
                          <m:t xml:space="preserve">×</m:t>
                        </m:r>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e>
                    </m:d>
                  </m:e>
                </m:nary>
                <m:r>
                  <w:rPr>
                    <w:rFonts w:ascii="Cambria Math" w:hAnsi="Cambria Math"/>
                  </w:rPr>
                  <m:t xml:space="preserve">,</m:t>
                </m:r>
              </m:oMath>
            </m:oMathPara>
          </w:p>
          <w:p>
            <w:pPr>
              <w:pStyle w:val="Style28"/>
              <w:widowControl w:val="false"/>
              <w:suppressAutoHyphens w:val="true"/>
              <w:spacing w:before="40" w:after="40"/>
              <w:jc w:val="left"/>
              <w:rPr>
                <w:sz w:val="18"/>
                <w:szCs w:val="18"/>
              </w:rPr>
            </w:pPr>
            <w:r>
              <w:rPr>
                <w:rFonts w:eastAsia="Calibri" w:cs=""/>
                <w:kern w:val="0"/>
                <w:sz w:val="18"/>
                <w:szCs w:val="18"/>
                <w:lang w:val="ru-RU" w:eastAsia="en-US" w:bidi="ar-SA"/>
              </w:rPr>
              <w:t>где:</w:t>
            </w:r>
          </w:p>
          <w:p>
            <w:pPr>
              <w:pStyle w:val="Style28"/>
              <w:widowControl w:val="false"/>
              <w:suppressAutoHyphens w:val="true"/>
              <w:spacing w:before="40" w:after="40"/>
              <w:jc w:val="left"/>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ИТОГ</m:t>
                  </m:r>
                </m:sub>
              </m:sSub>
            </m:oMath>
            <w:r>
              <w:rPr>
                <w:rFonts w:eastAsia="Calibri" w:cs=""/>
                <w:kern w:val="0"/>
                <w:sz w:val="18"/>
                <w:szCs w:val="18"/>
                <w:lang w:val="ru-RU" w:eastAsia="en-US" w:bidi="ar-SA"/>
              </w:rPr>
              <w:t xml:space="preserve"> – </w:t>
            </w:r>
            <w:r>
              <w:rPr>
                <w:rFonts w:eastAsia="Calibri" w:cs=""/>
                <w:kern w:val="0"/>
                <w:sz w:val="18"/>
                <w:szCs w:val="18"/>
                <w:lang w:val="ru-RU" w:eastAsia="en-US" w:bidi="ar-SA"/>
              </w:rPr>
              <w:t>рассчитанная итоговая оценка предпочтительности в баллах;</w:t>
            </w:r>
          </w:p>
          <w:p>
            <w:pPr>
              <w:pStyle w:val="Style28"/>
              <w:widowControl w:val="false"/>
              <w:suppressAutoHyphens w:val="true"/>
              <w:spacing w:before="40" w:after="40"/>
              <w:jc w:val="left"/>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cs=""/>
                <w:kern w:val="0"/>
                <w:sz w:val="18"/>
                <w:szCs w:val="18"/>
                <w:lang w:val="ru-RU" w:eastAsia="en-US" w:bidi="ar-SA"/>
              </w:rPr>
              <w:t xml:space="preserve"> – </w:t>
            </w:r>
            <w:r>
              <w:rPr>
                <w:rFonts w:eastAsia="Calibri" w:cs=""/>
                <w:kern w:val="0"/>
                <w:sz w:val="18"/>
                <w:szCs w:val="18"/>
                <w:lang w:val="ru-RU" w:eastAsia="en-US" w:bidi="ar-SA"/>
              </w:rPr>
              <w:t xml:space="preserve">оценка предпочтительности по </w:t>
            </w:r>
            <w:r>
              <w:rPr/>
            </w:r>
            <m:oMath xmlns:m="http://schemas.openxmlformats.org/officeDocument/2006/math">
              <m:r>
                <w:rPr>
                  <w:rFonts w:ascii="Cambria Math" w:hAnsi="Cambria Math"/>
                </w:rPr>
                <m:t xml:space="preserve">k</m:t>
              </m:r>
            </m:oMath>
            <w:r>
              <w:rPr>
                <w:rFonts w:eastAsia="Calibri" w:cs=""/>
                <w:kern w:val="0"/>
                <w:sz w:val="18"/>
                <w:szCs w:val="18"/>
                <w:lang w:val="ru-RU" w:eastAsia="en-US" w:bidi="ar-SA"/>
              </w:rPr>
              <w:t>-тому критерию оценки первого уровня в баллах;</w:t>
            </w:r>
          </w:p>
          <w:p>
            <w:pPr>
              <w:pStyle w:val="Style28"/>
              <w:widowControl w:val="false"/>
              <w:suppressAutoHyphens w:val="true"/>
              <w:spacing w:before="40" w:after="40"/>
              <w:jc w:val="left"/>
              <w:rPr>
                <w:sz w:val="18"/>
                <w:szCs w:val="18"/>
              </w:rPr>
            </w:pPr>
            <w:r>
              <w:rPr/>
            </w:r>
            <m:oMath xmlns:m="http://schemas.openxmlformats.org/officeDocument/2006/math">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cs=""/>
                <w:kern w:val="0"/>
                <w:sz w:val="18"/>
                <w:szCs w:val="18"/>
                <w:lang w:val="ru-RU" w:eastAsia="en-US" w:bidi="ar-SA"/>
              </w:rPr>
              <w:t xml:space="preserve"> – </w:t>
            </w:r>
            <w:r>
              <w:rPr>
                <w:rFonts w:eastAsia="Calibri" w:cs=""/>
                <w:kern w:val="0"/>
                <w:sz w:val="18"/>
                <w:szCs w:val="18"/>
                <w:lang w:val="ru-RU" w:eastAsia="en-US" w:bidi="ar-SA"/>
              </w:rPr>
              <w:t xml:space="preserve">значимость </w:t>
            </w:r>
            <w:r>
              <w:rPr/>
            </w:r>
            <m:oMath xmlns:m="http://schemas.openxmlformats.org/officeDocument/2006/math">
              <m:r>
                <w:rPr>
                  <w:rFonts w:ascii="Cambria Math" w:hAnsi="Cambria Math"/>
                </w:rPr>
                <m:t xml:space="preserve">k</m:t>
              </m:r>
            </m:oMath>
            <w:r>
              <w:rPr>
                <w:rFonts w:eastAsia="Calibri" w:cs=""/>
                <w:kern w:val="0"/>
                <w:sz w:val="18"/>
                <w:szCs w:val="18"/>
                <w:lang w:val="ru-RU" w:eastAsia="en-US" w:bidi="ar-SA"/>
              </w:rPr>
              <w:t xml:space="preserve">-ого критерия оценки первого уровня, выраженная в диапазоне от 1% до 100% (или от 0,01 до 1,00) – вес </w:t>
            </w:r>
            <w:r>
              <w:rPr/>
            </w:r>
            <m:oMath xmlns:m="http://schemas.openxmlformats.org/officeDocument/2006/math">
              <m:r>
                <w:rPr>
                  <w:rFonts w:ascii="Cambria Math" w:hAnsi="Cambria Math"/>
                </w:rPr>
                <m:t xml:space="preserve">k</m:t>
              </m:r>
            </m:oMath>
            <w:r>
              <w:rPr>
                <w:rFonts w:eastAsia="Calibri" w:cs=""/>
                <w:kern w:val="0"/>
                <w:sz w:val="18"/>
                <w:szCs w:val="18"/>
                <w:lang w:val="ru-RU" w:eastAsia="en-US" w:bidi="ar-SA"/>
              </w:rPr>
              <w:t>-ого критерия оценки первого уровня.</w:t>
            </w:r>
          </w:p>
          <w:p>
            <w:pPr>
              <w:pStyle w:val="Style28"/>
              <w:widowControl w:val="false"/>
              <w:suppressAutoHyphens w:val="true"/>
              <w:spacing w:before="40" w:after="40"/>
              <w:jc w:val="left"/>
              <w:rPr>
                <w:i/>
                <w:i/>
                <w:iCs/>
                <w:sz w:val="18"/>
                <w:szCs w:val="18"/>
              </w:rPr>
            </w:pPr>
            <w:r>
              <w:rPr>
                <w:rFonts w:eastAsia="Calibri" w:cs=""/>
                <w:i/>
                <w:iCs/>
                <w:kern w:val="0"/>
                <w:sz w:val="18"/>
                <w:szCs w:val="18"/>
                <w:lang w:val="ru-RU" w:eastAsia="en-US" w:bidi="ar-SA"/>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24"/>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24"/>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_Ref132816300 \r \h </w:instrText>
      </w:r>
      <w:r>
        <w:rPr/>
        <w:fldChar w:fldCharType="separate"/>
      </w:r>
      <w:r>
        <w:rPr/>
        <w:t>4.17</w:t>
      </w:r>
      <w:r>
        <w:rPr/>
        <w:fldChar w:fldCharType="end"/>
      </w:r>
      <w:r>
        <w:rPr/>
        <w:t>.</w:t>
      </w:r>
    </w:p>
    <w:p>
      <w:pPr>
        <w:sectPr>
          <w:headerReference w:type="default" r:id="rId36"/>
          <w:headerReference w:type="first" r:id="rId37"/>
          <w:footerReference w:type="default" r:id="rId38"/>
          <w:footerReference w:type="first" r:id="rId39"/>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4"/>
        <w:rPr/>
      </w:pPr>
      <w:r>
        <w:rPr/>
        <w:t>Заявки участников (из числа успешно прошедших отборочную стадию рассмотрения вторых частей заявок и ценовых предложений (дополнительных ценовых предложений – если проводилась переторжка)) ранжируются по количеству набранных баллов (от наибольшего к наименьшему), присвоенных заявкам по результатам оценки.</w:t>
      </w:r>
    </w:p>
    <w:p>
      <w:pPr>
        <w:pStyle w:val="Style22"/>
        <w:rPr/>
      </w:pPr>
      <w:bookmarkStart w:id="383" w:name="_Toc228876904"/>
      <w:bookmarkStart w:id="384" w:name="_Ref125360420"/>
      <w:bookmarkStart w:id="385" w:name="Прил09_ОбоснованиеНМЦ"/>
      <w:bookmarkEnd w:id="385"/>
      <w:r>
        <w:rPr/>
        <w:t>Приложение № 9 – Обоснование НМЦ</w:t>
      </w:r>
      <w:bookmarkEnd w:id="383"/>
      <w:bookmarkEnd w:id="384"/>
    </w:p>
    <w:p>
      <w:pPr>
        <w:pStyle w:val="Style23"/>
        <w:rPr/>
      </w:pPr>
      <w:bookmarkStart w:id="386" w:name="_Toc228876905"/>
      <w:r>
        <w:rPr/>
        <w:t>Пояснения к Обоснованию НМЦ</w:t>
      </w:r>
      <w:bookmarkEnd w:id="386"/>
    </w:p>
    <w:p>
      <w:pPr>
        <w:pStyle w:val="Style24"/>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2"/>
        <w:rPr/>
      </w:pPr>
      <w:bookmarkStart w:id="387" w:name="_Toc228876906"/>
      <w:bookmarkStart w:id="388" w:name="Прил10_ФормаЗаявкиНаАккредитацию"/>
      <w:bookmarkEnd w:id="388"/>
      <w:r>
        <w:rPr/>
        <w:t>Приложение № 10 – Форма Заявки на аккредитацию</w:t>
      </w:r>
      <w:bookmarkEnd w:id="387"/>
    </w:p>
    <w:p>
      <w:pPr>
        <w:pStyle w:val="Style23"/>
        <w:rPr/>
      </w:pPr>
      <w:bookmarkStart w:id="389" w:name="_Toc228876907"/>
      <w:r>
        <w:rPr/>
        <w:t>Пояснения к форме Заявки на аккредитацию</w:t>
      </w:r>
      <w:bookmarkEnd w:id="389"/>
    </w:p>
    <w:p>
      <w:pPr>
        <w:pStyle w:val="Style24"/>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24"/>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390"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390"/>
      <w:r>
        <w:rPr/>
        <w:t>.</w:t>
      </w:r>
    </w:p>
    <w:p>
      <w:pPr>
        <w:pStyle w:val="Style28"/>
        <w:jc w:val="center"/>
        <w:rPr/>
      </w:pPr>
      <w:r>
        <w:rPr/>
        <w:object>
          <v:shapetype id="_x0000_tole_rId40" coordsize="21600,21600" o:spt="ole_rId4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0" type="_x0000_tole_rId40" style="width:72pt;height:50.8pt;mso-wrap-distance-right:0pt" filled="f" o:ole="">
            <v:imagedata r:id="rId41" o:title=""/>
          </v:shape>
          <o:OLEObject Type="Embed" ProgID="Excel.Sheet.12" ShapeID="ole_rId40" DrawAspect="Icon" ObjectID="_47958565" r:id="rId40"/>
        </w:object>
      </w:r>
    </w:p>
    <w:p>
      <w:pPr>
        <w:pStyle w:val="Normal"/>
        <w:rPr/>
      </w:pPr>
      <w:r>
        <w:rPr/>
      </w:r>
    </w:p>
    <w:p>
      <w:pPr>
        <w:pStyle w:val="Style22"/>
        <w:rPr/>
      </w:pPr>
      <w:bookmarkStart w:id="391" w:name="_Toc228876908"/>
      <w:bookmarkStart w:id="392" w:name="Прил11_Данные_бухотчетность"/>
      <w:r>
        <w:rPr/>
        <w:t xml:space="preserve">Приложение № 11 </w:t>
      </w:r>
      <w:bookmarkEnd w:id="392"/>
      <w:r>
        <w:rPr/>
        <w:t>– форма Данных бухгалтерской (финансовой) отчетности</w:t>
      </w:r>
      <w:bookmarkEnd w:id="391"/>
    </w:p>
    <w:p>
      <w:pPr>
        <w:pStyle w:val="Style23"/>
        <w:rPr/>
      </w:pPr>
      <w:bookmarkStart w:id="393" w:name="_Toc228876909"/>
      <w:r>
        <w:rPr/>
        <w:t>Пояснения к форме Данных бухгалтерской (финансовой) отчетности</w:t>
      </w:r>
      <w:bookmarkEnd w:id="393"/>
      <w:r>
        <w:rPr/>
        <w:t xml:space="preserve"> </w:t>
      </w:r>
    </w:p>
    <w:p>
      <w:pPr>
        <w:pStyle w:val="Style24"/>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bookmarkStart w:id="394" w:name="_MON_1821256687"/>
      <w:bookmarkStart w:id="395" w:name="_MON_1821256687"/>
      <w:bookmarkEnd w:id="395"/>
    </w:p>
    <w:p>
      <w:pPr>
        <w:pStyle w:val="Normal"/>
        <w:jc w:val="center"/>
        <w:rPr/>
      </w:pPr>
      <w:bookmarkStart w:id="396" w:name="_Hlk210644436"/>
      <w:bookmarkStart w:id="397" w:name="_MON_1821256687_Копия_1"/>
      <w:bookmarkEnd w:id="397"/>
      <w:r>
        <w:rPr/>
        <w:object>
          <v:shapetype id="_x0000_tole_rId42" coordsize="21600,21600" o:spt="ole_rId4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2" type="_x0000_tole_rId42" style="width:78.65pt;height:50.8pt;mso-wrap-distance-right:0pt" filled="f" o:ole="">
            <v:imagedata r:id="rId43" o:title=""/>
          </v:shape>
          <o:OLEObject Type="Embed" ProgID="Word.Document.12" ShapeID="ole_rId42" DrawAspect="Icon" ObjectID="_1261603008" r:id="rId42"/>
        </w:object>
      </w:r>
      <w:bookmarkEnd w:id="396"/>
    </w:p>
    <w:p>
      <w:pPr>
        <w:pStyle w:val="Normal"/>
        <w:jc w:val="center"/>
        <w:rPr/>
      </w:pPr>
      <w:r>
        <w:rPr/>
      </w:r>
    </w:p>
    <w:sectPr>
      <w:headerReference w:type="default" r:id="rId44"/>
      <w:headerReference w:type="first" r:id="rId45"/>
      <w:footerReference w:type="default" r:id="rId46"/>
      <w:footerReference w:type="first" r:id="rId4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1429907"/>
    </w:sdtPr>
    <w:sdtContent>
      <w:p>
        <w:pPr>
          <w:pStyle w:val="Footer"/>
          <w:spacing w:before="120" w:after="0"/>
          <w:rPr/>
        </w:pPr>
        <w:r>
          <w:rPr/>
          <w:fldChar w:fldCharType="begin"/>
        </w:r>
        <w:r>
          <w:rPr/>
          <w:instrText xml:space="preserve"> PAGE </w:instrText>
        </w:r>
        <w:r>
          <w:rPr/>
          <w:fldChar w:fldCharType="separate"/>
        </w:r>
        <w:r>
          <w:rPr/>
          <w:t>23</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81663248"/>
    </w:sdtPr>
    <w:sdtContent>
      <w:p>
        <w:pPr>
          <w:pStyle w:val="Footer"/>
          <w:spacing w:before="120" w:after="0"/>
          <w:rPr/>
        </w:pPr>
        <w:r>
          <w:rPr/>
          <w:fldChar w:fldCharType="begin"/>
        </w:r>
        <w:r>
          <w:rPr/>
          <w:instrText xml:space="preserve"> PAGE </w:instrText>
        </w:r>
        <w:r>
          <w:rPr/>
          <w:fldChar w:fldCharType="separate"/>
        </w:r>
        <w:r>
          <w:rPr/>
          <w:t>75</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06471205"/>
    </w:sdtPr>
    <w:sdtContent>
      <w:p>
        <w:pPr>
          <w:pStyle w:val="Footer"/>
          <w:spacing w:before="120" w:after="0"/>
          <w:rPr/>
        </w:pPr>
        <w:r>
          <w:rPr/>
          <w:fldChar w:fldCharType="begin"/>
        </w:r>
        <w:r>
          <w:rPr/>
          <w:instrText xml:space="preserve"> PAGE </w:instrText>
        </w:r>
        <w:r>
          <w:rPr/>
          <w:fldChar w:fldCharType="separate"/>
        </w:r>
        <w:r>
          <w:rPr/>
          <w:t>81</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2323433"/>
    </w:sdtPr>
    <w:sdtContent>
      <w:p>
        <w:pPr>
          <w:pStyle w:val="Footer"/>
          <w:spacing w:before="120" w:after="0"/>
          <w:rPr/>
        </w:pPr>
        <w:r>
          <w:rPr/>
          <w:fldChar w:fldCharType="begin"/>
        </w:r>
        <w:r>
          <w:rPr/>
          <w:instrText xml:space="preserve"> PAGE </w:instrText>
        </w:r>
        <w:r>
          <w:rPr/>
          <w:fldChar w:fldCharType="separate"/>
        </w:r>
        <w:r>
          <w:rPr/>
          <w:t>84</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146523869"/>
    </w:sdtPr>
    <w:sdtContent>
      <w:p>
        <w:pPr>
          <w:pStyle w:val="Footer"/>
          <w:spacing w:before="120" w:after="0"/>
          <w:rPr/>
        </w:pPr>
        <w:r>
          <w:rPr/>
          <w:fldChar w:fldCharType="begin"/>
        </w:r>
        <w:r>
          <w:rPr/>
          <w:instrText xml:space="preserve"> PAGE </w:instrText>
        </w:r>
        <w:r>
          <w:rPr/>
          <w:fldChar w:fldCharType="separate"/>
        </w:r>
        <w:r>
          <w:rPr/>
          <w:t>25</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29405365"/>
    </w:sdtPr>
    <w:sdtContent>
      <w:p>
        <w:pPr>
          <w:pStyle w:val="Footer"/>
          <w:spacing w:before="120" w:after="0"/>
          <w:rPr/>
        </w:pPr>
        <w:r>
          <w:rPr/>
          <w:fldChar w:fldCharType="begin"/>
        </w:r>
        <w:r>
          <w:rPr/>
          <w:instrText xml:space="preserve"> PAGE </w:instrText>
        </w:r>
        <w:r>
          <w:rPr/>
          <w:fldChar w:fldCharType="separate"/>
        </w:r>
        <w:r>
          <w:rPr/>
          <w:t>54</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82908609"/>
    </w:sdtPr>
    <w:sdtContent>
      <w:p>
        <w:pPr>
          <w:pStyle w:val="Footer"/>
          <w:spacing w:before="120" w:after="0"/>
          <w:rPr/>
        </w:pPr>
        <w:r>
          <w:rPr/>
          <w:fldChar w:fldCharType="begin"/>
        </w:r>
        <w:r>
          <w:rPr/>
          <w:instrText xml:space="preserve"> PAGE </w:instrText>
        </w:r>
        <w:r>
          <w:rPr/>
          <w:fldChar w:fldCharType="separate"/>
        </w:r>
        <w:r>
          <w:rPr/>
          <w:t>61</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79535165"/>
    </w:sdtPr>
    <w:sdtContent>
      <w:p>
        <w:pPr>
          <w:pStyle w:val="Footer"/>
          <w:spacing w:before="120" w:after="0"/>
          <w:rPr/>
        </w:pPr>
        <w:r>
          <w:rPr/>
          <w:fldChar w:fldCharType="begin"/>
        </w:r>
        <w:r>
          <w:rPr/>
          <w:instrText xml:space="preserve"> PAGE </w:instrText>
        </w:r>
        <w:r>
          <w:rPr/>
          <w:fldChar w:fldCharType="separate"/>
        </w:r>
        <w:r>
          <w:rPr/>
          <w:t>67</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0"/>
        <w:spacing w:before="80" w:after="0"/>
        <w:ind w:left="567" w:hanging="567"/>
        <w:jc w:val="both"/>
        <w:rPr/>
      </w:pPr>
      <w:r>
        <w:rPr>
          <w:rStyle w:val="Style10"/>
        </w:rPr>
        <w:footnoteRef/>
      </w:r>
      <w:r>
        <w:rPr/>
        <w:tab/>
        <w:t>Определенные в соответствии с Законом 422-ФЗ.</w:t>
      </w:r>
    </w:p>
  </w:footnote>
  <w:footnote w:id="3">
    <w:p>
      <w:pPr>
        <w:pStyle w:val="Style30"/>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4.16</w:t>
      </w:r>
      <w:r>
        <w:rPr/>
        <w:fldChar w:fldCharType="end"/>
      </w:r>
      <w:r>
        <w:rPr/>
        <w:t>), не допускается.</w:t>
      </w:r>
    </w:p>
  </w:footnote>
  <w:footnote w:id="4">
    <w:p>
      <w:pPr>
        <w:pStyle w:val="Style30"/>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30"/>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4.16</w:t>
      </w:r>
      <w:r>
        <w:rPr/>
        <w:fldChar w:fldCharType="end"/>
      </w:r>
      <w:r>
        <w:rPr/>
        <w:t>), не допускается.</w:t>
      </w:r>
    </w:p>
  </w:footnote>
  <w:footnote w:id="6">
    <w:p>
      <w:pPr>
        <w:pStyle w:val="Style30"/>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7">
    <w:p>
      <w:pPr>
        <w:pStyle w:val="FootnoteText"/>
        <w:ind w:left="567" w:hanging="567"/>
        <w:jc w:val="both"/>
        <w:rPr>
          <w:sz w:val="22"/>
        </w:rPr>
      </w:pPr>
      <w:r>
        <w:rPr>
          <w:rStyle w:val="Style10"/>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8">
    <w:p>
      <w:pPr>
        <w:pStyle w:val="Style30"/>
        <w:spacing w:before="80" w:after="0"/>
        <w:ind w:left="567" w:hanging="567"/>
        <w:jc w:val="both"/>
        <w:rPr/>
      </w:pPr>
      <w:r>
        <w:rPr>
          <w:rStyle w:val="Style10"/>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pPr>
        <w:pStyle w:val="Style30"/>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0">
    <w:p>
      <w:pPr>
        <w:pStyle w:val="Style30"/>
        <w:spacing w:before="80" w:after="0"/>
        <w:ind w:left="567" w:hanging="567"/>
        <w:jc w:val="both"/>
        <w:rPr/>
      </w:pPr>
      <w:r>
        <w:rPr>
          <w:rStyle w:val="Style10"/>
        </w:rPr>
        <w:footnoteRef/>
      </w:r>
      <w:r>
        <w:rPr/>
        <w:tab/>
        <w:t>https://minfin.gov.ru/ru/perfomance/tax_relations/policy/bankwarranty/</w:t>
      </w:r>
    </w:p>
  </w:footnote>
  <w:footnote w:id="11">
    <w:p>
      <w:pPr>
        <w:pStyle w:val="Style30"/>
        <w:spacing w:before="80" w:after="0"/>
        <w:ind w:left="567" w:hanging="567"/>
        <w:jc w:val="both"/>
        <w:rPr/>
      </w:pPr>
      <w:r>
        <w:rPr>
          <w:rStyle w:val="Style10"/>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2">
    <w:p>
      <w:pPr>
        <w:pStyle w:val="Style30"/>
        <w:spacing w:before="80" w:after="0"/>
        <w:ind w:left="567" w:hanging="567"/>
        <w:jc w:val="both"/>
        <w:rPr/>
      </w:pPr>
      <w:r>
        <w:rPr>
          <w:rStyle w:val="Style10"/>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3">
    <w:p>
      <w:pPr>
        <w:pStyle w:val="Style30"/>
        <w:spacing w:before="80" w:after="0"/>
        <w:ind w:left="567" w:hanging="567"/>
        <w:jc w:val="both"/>
        <w:rPr/>
      </w:pPr>
      <w:r>
        <w:rPr>
          <w:rStyle w:val="Style10"/>
        </w:rPr>
        <w:footnoteRef/>
      </w:r>
      <w:r>
        <w:rPr/>
        <w:tab/>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2"/>
      <w:numFmt w:val="decimal"/>
      <w:lvlText w:val="%1."/>
      <w:lvlJc w:val="left"/>
      <w:pPr>
        <w:tabs>
          <w:tab w:val="num" w:pos="1134"/>
        </w:tabs>
        <w:ind w:left="1134" w:hanging="1134"/>
      </w:pPr>
      <w:rPr/>
    </w:lvl>
    <w:lvl w:ilvl="1">
      <w:start w:val="1"/>
      <w:pStyle w:val="Style23"/>
      <w:numFmt w:val="decimal"/>
      <w:lvlText w:val="%1.%2"/>
      <w:lvlJc w:val="left"/>
      <w:pPr>
        <w:tabs>
          <w:tab w:val="num" w:pos="1134"/>
        </w:tabs>
        <w:ind w:left="1134" w:hanging="1134"/>
      </w:pPr>
      <w:rPr/>
    </w:lvl>
    <w:lvl w:ilvl="2">
      <w:start w:val="1"/>
      <w:pStyle w:val="Style24"/>
      <w:numFmt w:val="decimal"/>
      <w:lvlText w:val="%1.%2.%3"/>
      <w:lvlJc w:val="left"/>
      <w:pPr>
        <w:tabs>
          <w:tab w:val="num" w:pos="1134"/>
        </w:tabs>
        <w:ind w:left="1134" w:hanging="1134"/>
      </w:pPr>
      <w:rPr/>
    </w:lvl>
    <w:lvl w:ilvl="3">
      <w:start w:val="1"/>
      <w:pStyle w:val="Style25"/>
      <w:numFmt w:val="russianLower"/>
      <w:lvlText w:val="%4)"/>
      <w:lvlJc w:val="left"/>
      <w:pPr>
        <w:tabs>
          <w:tab w:val="num" w:pos="1701"/>
        </w:tabs>
        <w:ind w:left="1701" w:hanging="567"/>
      </w:pPr>
      <w:rPr/>
    </w:lvl>
    <w:lvl w:ilvl="4">
      <w:start w:val="1"/>
      <w:pStyle w:val="Style26"/>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russianLower"/>
      <w:lvlText w:val="%1)"/>
      <w:lvlJc w:val="left"/>
      <w:pPr>
        <w:tabs>
          <w:tab w:val="num" w:pos="0"/>
        </w:tabs>
        <w:ind w:left="720" w:hanging="360"/>
      </w:pPr>
      <w:rPr>
        <w:sz w:val="26"/>
        <w:szCs w:val="26"/>
        <w:rFonts w:ascii="Times New Roman" w:hAnsi="Times New Roman"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kern w:val="0"/>
        <w:effect w:val="none"/>
        <w:szCs w:val="28"/>
        <w:iCs w:val="false"/>
        <w:bCs/>
        <w:em w:val="none"/>
        <w:vanish w:val="false"/>
        <w:rFonts w:ascii="Times New Roman" w:hAnsi="Times New Roman" w:cs="Times New Roman"/>
        <w:color w:val="000000"/>
        <w:lang w:bidi="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kern w:val="0"/>
        <w:effect w:val="none"/>
        <w:szCs w:val="28"/>
        <w:iCs w:val="false"/>
        <w:bCs/>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outline w:val="false"/>
        <w:dstrike w:val="false"/>
        <w:strike w:val="false"/>
        <w:vertAlign w:val="baseline"/>
        <w:position w:val="0"/>
        <w:sz w:val="26"/>
        <w:sz w:val="26"/>
        <w:spacing w:val="0"/>
        <w:i w:val="false"/>
        <w:shadow w:val="false"/>
        <w:u w:val="none"/>
        <w:b w:val="false"/>
        <w:kern w:val="0"/>
        <w:effect w:val="none"/>
        <w:iCs w:val="false"/>
        <w:bCs w:val="false"/>
        <w:em w:val="none"/>
        <w:emboss w:val="false"/>
        <w:imprint w:val="false"/>
        <w:vanish w:val="false"/>
        <w:rFonts w:ascii="Times New Roman" w:hAnsi="Times New Roman" w:cs="Times New Roman"/>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20">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54"/>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0"/>
    <w:lsdException w:name="heading 2" w:locked="0" w:uiPriority="0" w:semiHidden="1" w:unhideWhenUsed="1"/>
    <w:lsdException w:name="heading 3" w:locked="0" w:uiPriority="0" w:semiHidden="1" w:unhideWhenUsed="1"/>
    <w:lsdException w:name="heading 4" w:locked="0" w:uiPriority="0"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uiPriority="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uiPriority="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Heading1">
    <w:name w:val="Heading 1"/>
    <w:basedOn w:val="Normal"/>
    <w:next w:val="Normal"/>
    <w:link w:val="1"/>
    <w:qFormat/>
    <w:rsid w:val="00565d50"/>
    <w:pPr>
      <w:keepNext w:val="true"/>
      <w:keepLines/>
      <w:pageBreakBefore/>
      <w:tabs>
        <w:tab w:val="clear" w:pos="708"/>
        <w:tab w:val="left" w:pos="1134" w:leader="none"/>
      </w:tabs>
      <w:suppressAutoHyphens w:val="true"/>
      <w:spacing w:before="480" w:after="240"/>
      <w:ind w:left="1134" w:hanging="1134"/>
      <w:outlineLvl w:val="0"/>
    </w:pPr>
    <w:rPr>
      <w:rFonts w:ascii="Arial" w:hAnsi="Arial" w:eastAsia="Times New Roman" w:cs="Times New Roman"/>
      <w:b/>
      <w:kern w:val="2"/>
      <w:sz w:val="40"/>
      <w:szCs w:val="26"/>
      <w:lang w:eastAsia="ru-RU"/>
    </w:rPr>
  </w:style>
  <w:style w:type="paragraph" w:styleId="Heading2">
    <w:name w:val="Heading 2"/>
    <w:basedOn w:val="Normal"/>
    <w:next w:val="Normal"/>
    <w:link w:val="21"/>
    <w:qFormat/>
    <w:rsid w:val="00565d50"/>
    <w:pPr>
      <w:keepNext w:val="true"/>
      <w:tabs>
        <w:tab w:val="clear" w:pos="708"/>
        <w:tab w:val="left" w:pos="2694" w:leader="none"/>
      </w:tabs>
      <w:suppressAutoHyphens w:val="true"/>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rsid w:val="00a74fa4"/>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character" w:styleId="DefaultParagraphFont" w:default="1">
    <w:name w:val="Default Paragraph Font"/>
    <w:uiPriority w:val="1"/>
    <w:semiHidden/>
    <w:unhideWhenUsed/>
    <w:qFormat/>
    <w:rPr/>
  </w:style>
  <w:style w:type="character" w:styleId="Style6" w:customStyle="1">
    <w:name w:val="Верхний колонтитул Знак"/>
    <w:basedOn w:val="DefaultParagraphFont"/>
    <w:uiPriority w:val="99"/>
    <w:qFormat/>
    <w:rsid w:val="00c95e18"/>
    <w:rPr/>
  </w:style>
  <w:style w:type="character" w:styleId="Style7" w:customStyle="1">
    <w:name w:val="Нижний колонтитул Знак"/>
    <w:basedOn w:val="DefaultParagraphFont"/>
    <w:uiPriority w:val="99"/>
    <w:qFormat/>
    <w:rsid w:val="008364e8"/>
    <w:rPr/>
  </w:style>
  <w:style w:type="character" w:styleId="Style8" w:customStyle="1">
    <w:name w:val="[РГ] Инструкция для организатора"/>
    <w:basedOn w:val="DefaultParagraphFont"/>
    <w:uiPriority w:val="1"/>
    <w:qFormat/>
    <w:rsid w:val="00277346"/>
    <w:rPr>
      <w:i/>
      <w:iCs/>
      <w:shd w:fill="FFFF99" w:val="clear"/>
      <w:lang w:val="ru-RU"/>
    </w:rPr>
  </w:style>
  <w:style w:type="character" w:styleId="Style9" w:customStyle="1">
    <w:name w:val="Текст сноски Знак"/>
    <w:basedOn w:val="DefaultParagraphFont"/>
    <w:uiPriority w:val="99"/>
    <w:semiHidden/>
    <w:qFormat/>
    <w:rsid w:val="006608d1"/>
    <w:rPr>
      <w:sz w:val="20"/>
      <w:szCs w:val="20"/>
    </w:rPr>
  </w:style>
  <w:style w:type="character" w:styleId="Style10">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1"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nhideWhenUsed/>
    <w:qFormat/>
    <w:rsid w:val="007e365e"/>
    <w:rPr>
      <w:sz w:val="16"/>
      <w:szCs w:val="16"/>
    </w:rPr>
  </w:style>
  <w:style w:type="character" w:styleId="Style12" w:customStyle="1">
    <w:name w:val="Текст примечания Знак"/>
    <w:basedOn w:val="DefaultParagraphFont"/>
    <w:link w:val="Annotationtext"/>
    <w:uiPriority w:val="99"/>
    <w:qFormat/>
    <w:rsid w:val="007e365e"/>
    <w:rPr>
      <w:sz w:val="20"/>
      <w:szCs w:val="20"/>
    </w:rPr>
  </w:style>
  <w:style w:type="character" w:styleId="Style13" w:customStyle="1">
    <w:name w:val="Тема примечания Знак"/>
    <w:basedOn w:val="Style12"/>
    <w:link w:val="Annotationsubject"/>
    <w:uiPriority w:val="99"/>
    <w:semiHidden/>
    <w:qFormat/>
    <w:rsid w:val="007e365e"/>
    <w:rPr>
      <w:b/>
      <w:bCs/>
      <w:sz w:val="20"/>
      <w:szCs w:val="20"/>
    </w:rPr>
  </w:style>
  <w:style w:type="character" w:styleId="Style14"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2" w:customStyle="1">
    <w:name w:val="Пункт Знак2"/>
    <w:link w:val="Style32"/>
    <w:qFormat/>
    <w:rsid w:val="00493761"/>
    <w:rPr>
      <w:rFonts w:eastAsia="Times New Roman" w:cs="Times New Roman"/>
      <w:szCs w:val="26"/>
      <w:lang w:eastAsia="ru-RU"/>
    </w:rPr>
  </w:style>
  <w:style w:type="character" w:styleId="1" w:customStyle="1">
    <w:name w:val="Заголовок 1 Знак"/>
    <w:basedOn w:val="DefaultParagraphFont"/>
    <w:qFormat/>
    <w:rsid w:val="00565d50"/>
    <w:rPr>
      <w:rFonts w:ascii="Arial" w:hAnsi="Arial" w:eastAsia="Times New Roman" w:cs="Times New Roman"/>
      <w:b/>
      <w:kern w:val="2"/>
      <w:sz w:val="40"/>
      <w:szCs w:val="26"/>
      <w:lang w:eastAsia="ru-RU"/>
    </w:rPr>
  </w:style>
  <w:style w:type="character" w:styleId="21" w:customStyle="1">
    <w:name w:val="Заголовок 2 Знак"/>
    <w:basedOn w:val="DefaultParagraphFont"/>
    <w:qFormat/>
    <w:rsid w:val="00565d50"/>
    <w:rPr>
      <w:rFonts w:eastAsia="Times New Roman" w:cs="Times New Roman"/>
      <w:b/>
      <w:sz w:val="32"/>
      <w:szCs w:val="26"/>
      <w:lang w:eastAsia="ru-RU"/>
    </w:rPr>
  </w:style>
  <w:style w:type="character" w:styleId="3" w:customStyle="1">
    <w:name w:val="Заголовок 3 Знак"/>
    <w:basedOn w:val="DefaultParagraphFont"/>
    <w:semiHidden/>
    <w:qFormat/>
    <w:rsid w:val="00a74fa4"/>
    <w:rPr>
      <w:rFonts w:ascii="Calibri Light" w:hAnsi="Calibri Light" w:eastAsia="" w:cs="" w:asciiTheme="majorHAnsi" w:cstheme="majorBidi" w:eastAsiaTheme="majorEastAsia" w:hAnsiTheme="majorHAnsi"/>
      <w:color w:val="1F3763" w:themeColor="accent1" w:themeShade="7f"/>
      <w:sz w:val="24"/>
      <w:szCs w:val="24"/>
    </w:rPr>
  </w:style>
  <w:style w:type="character" w:styleId="Style15" w:customStyle="1">
    <w:name w:val="Текст выноски Знак"/>
    <w:basedOn w:val="DefaultParagraphFont"/>
    <w:link w:val="BalloonText"/>
    <w:uiPriority w:val="99"/>
    <w:semiHidden/>
    <w:qFormat/>
    <w:rsid w:val="001a4817"/>
    <w:rPr>
      <w:rFonts w:ascii="Segoe UI" w:hAnsi="Segoe UI" w:cs="Segoe UI"/>
      <w:sz w:val="18"/>
      <w:szCs w:val="18"/>
    </w:rPr>
  </w:style>
  <w:style w:type="character" w:styleId="Style16" w:customStyle="1">
    <w:name w:val="РГ_ЕПоЗ_а) Знак"/>
    <w:basedOn w:val="DefaultParagraphFont"/>
    <w:link w:val="Style35"/>
    <w:qFormat/>
    <w:rsid w:val="00661d24"/>
    <w:rPr>
      <w:rFonts w:eastAsia="Calibri" w:cs="Times New Roman"/>
      <w:sz w:val="28"/>
      <w:szCs w:val="28"/>
    </w:rPr>
  </w:style>
  <w:style w:type="character" w:styleId="-" w:customStyle="1">
    <w:name w:val="РГ_ЕПоЗ_- Знак"/>
    <w:basedOn w:val="DefaultParagraphFont"/>
    <w:link w:val="-1"/>
    <w:qFormat/>
    <w:rsid w:val="00661d24"/>
    <w:rPr>
      <w:rFonts w:eastAsia="Times New Roman" w:cs="Times New Roman"/>
      <w:sz w:val="28"/>
      <w:szCs w:val="20"/>
      <w:lang w:eastAsia="ru-RU"/>
    </w:rPr>
  </w:style>
  <w:style w:type="character" w:styleId="Style17">
    <w:name w:val="Ссылка указателя"/>
    <w:qForma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Style19">
    <w:name w:val="комментарий"/>
    <w:qFormat/>
    <w:rPr>
      <w:b/>
      <w:i/>
      <w:shd w:fill="FFFF99" w:val="clear"/>
    </w:rPr>
  </w:style>
  <w:style w:type="paragraph" w:styleId="Style20">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Style22" w:customStyle="1">
    <w:name w:val="[РГ] Раздел"/>
    <w:basedOn w:val="Normal"/>
    <w:next w:val="Style23"/>
    <w:qFormat/>
    <w:rsid w:val="00c95e18"/>
    <w:pPr>
      <w:keepNext w:val="true"/>
      <w:pageBreakBefore/>
      <w:numPr>
        <w:ilvl w:val="0"/>
        <w:numId w:val="1"/>
      </w:numPr>
      <w:spacing w:before="0" w:after="360"/>
      <w:jc w:val="both"/>
      <w:outlineLvl w:val="0"/>
    </w:pPr>
    <w:rPr>
      <w:b/>
      <w:bCs/>
      <w:caps/>
    </w:rPr>
  </w:style>
  <w:style w:type="paragraph" w:styleId="Style23" w:customStyle="1">
    <w:name w:val="[РГ] Подраздел"/>
    <w:basedOn w:val="Normal"/>
    <w:next w:val="Style24"/>
    <w:qFormat/>
    <w:rsid w:val="00891546"/>
    <w:pPr>
      <w:keepNext w:val="true"/>
      <w:numPr>
        <w:ilvl w:val="1"/>
        <w:numId w:val="1"/>
      </w:numPr>
      <w:spacing w:before="360" w:after="0"/>
      <w:jc w:val="both"/>
      <w:outlineLvl w:val="1"/>
    </w:pPr>
    <w:rPr>
      <w:b/>
      <w:bCs/>
    </w:rPr>
  </w:style>
  <w:style w:type="paragraph" w:styleId="Style24" w:customStyle="1">
    <w:name w:val="[РГ] Пункт"/>
    <w:basedOn w:val="Normal"/>
    <w:qFormat/>
    <w:rsid w:val="00891546"/>
    <w:pPr>
      <w:numPr>
        <w:ilvl w:val="2"/>
        <w:numId w:val="1"/>
      </w:numPr>
      <w:jc w:val="both"/>
      <w:outlineLvl w:val="2"/>
    </w:pPr>
    <w:rPr/>
  </w:style>
  <w:style w:type="paragraph" w:styleId="Style25" w:customStyle="1">
    <w:name w:val="[РГ] Подпункт"/>
    <w:basedOn w:val="Normal"/>
    <w:qFormat/>
    <w:rsid w:val="00891546"/>
    <w:pPr>
      <w:numPr>
        <w:ilvl w:val="3"/>
        <w:numId w:val="1"/>
      </w:numPr>
      <w:jc w:val="both"/>
      <w:outlineLvl w:val="3"/>
    </w:pPr>
    <w:rPr/>
  </w:style>
  <w:style w:type="paragraph" w:styleId="Style26" w:customStyle="1">
    <w:name w:val="[РГ] Перечисление"/>
    <w:basedOn w:val="Normal"/>
    <w:qFormat/>
    <w:rsid w:val="00891546"/>
    <w:pPr>
      <w:numPr>
        <w:ilvl w:val="4"/>
        <w:numId w:val="1"/>
      </w:numPr>
      <w:jc w:val="both"/>
      <w:outlineLvl w:val="4"/>
    </w:pPr>
    <w:rPr/>
  </w:style>
  <w:style w:type="paragraph" w:styleId="Style27" w:customStyle="1">
    <w:name w:val="[РГ] Заголовок"/>
    <w:basedOn w:val="Normal"/>
    <w:next w:val="Style28"/>
    <w:qFormat/>
    <w:rsid w:val="00f87384"/>
    <w:pPr>
      <w:keepNext w:val="true"/>
      <w:pageBreakBefore/>
      <w:spacing w:before="0" w:after="360"/>
      <w:jc w:val="both"/>
    </w:pPr>
    <w:rPr>
      <w:b/>
      <w:bCs/>
      <w:caps/>
    </w:rPr>
  </w:style>
  <w:style w:type="paragraph" w:styleId="Style28" w:customStyle="1">
    <w:name w:val="[РГ] Текст"/>
    <w:basedOn w:val="Normal"/>
    <w:qFormat/>
    <w:rsid w:val="00891546"/>
    <w:pPr>
      <w:jc w:val="both"/>
    </w:pPr>
    <w:rPr/>
  </w:style>
  <w:style w:type="paragraph" w:styleId="Style29">
    <w:name w:val="Колонтитул"/>
    <w:basedOn w:val="Normal"/>
    <w:qFormat/>
    <w:pPr/>
    <w:rPr/>
  </w:style>
  <w:style w:type="paragraph" w:styleId="Header">
    <w:name w:val="Header"/>
    <w:basedOn w:val="Normal"/>
    <w:link w:val="Style6"/>
    <w:uiPriority w:val="99"/>
    <w:unhideWhenUsed/>
    <w:rsid w:val="00c95e18"/>
    <w:pPr>
      <w:spacing w:before="0" w:after="120"/>
      <w:jc w:val="center"/>
    </w:pPr>
    <w:rPr/>
  </w:style>
  <w:style w:type="paragraph" w:styleId="Footer">
    <w:name w:val="Footer"/>
    <w:basedOn w:val="Normal"/>
    <w:link w:val="Style7"/>
    <w:unhideWhenUsed/>
    <w:rsid w:val="008364e8"/>
    <w:pPr>
      <w:jc w:val="right"/>
    </w:pPr>
    <w:rPr/>
  </w:style>
  <w:style w:type="paragraph" w:styleId="FootnoteText">
    <w:name w:val="Footnote Text"/>
    <w:basedOn w:val="Normal"/>
    <w:link w:val="Style9"/>
    <w:uiPriority w:val="99"/>
    <w:semiHidden/>
    <w:unhideWhenUsed/>
    <w:rsid w:val="006608d1"/>
    <w:pPr>
      <w:spacing w:before="0" w:after="0"/>
    </w:pPr>
    <w:rPr>
      <w:sz w:val="20"/>
      <w:szCs w:val="20"/>
    </w:rPr>
  </w:style>
  <w:style w:type="paragraph" w:styleId="Style30"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2"/>
    <w:uiPriority w:val="99"/>
    <w:unhideWhenUsed/>
    <w:qFormat/>
    <w:rsid w:val="007e365e"/>
    <w:pPr/>
    <w:rPr>
      <w:sz w:val="20"/>
      <w:szCs w:val="20"/>
    </w:rPr>
  </w:style>
  <w:style w:type="paragraph" w:styleId="Annotationsubject">
    <w:name w:val="annotation subject"/>
    <w:basedOn w:val="Annotationtext"/>
    <w:next w:val="Annotationtext"/>
    <w:link w:val="Style13"/>
    <w:uiPriority w:val="99"/>
    <w:semiHidden/>
    <w:unhideWhenUsed/>
    <w:qFormat/>
    <w:rsid w:val="007e365e"/>
    <w:pPr/>
    <w:rPr>
      <w:b/>
      <w:bCs/>
    </w:rPr>
  </w:style>
  <w:style w:type="paragraph" w:styleId="Style31" w:customStyle="1">
    <w:name w:val="[РГ] Альтернатива / Дополнение"/>
    <w:basedOn w:val="Style28"/>
    <w:next w:val="Style28"/>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Style32" w:customStyle="1">
    <w:name w:val="Пункт"/>
    <w:basedOn w:val="Normal"/>
    <w:link w:val="2"/>
    <w:qFormat/>
    <w:rsid w:val="00493761"/>
    <w:pPr>
      <w:numPr>
        <w:ilvl w:val="2"/>
        <w:numId w:val="11"/>
      </w:numPr>
      <w:jc w:val="both"/>
    </w:pPr>
    <w:rPr>
      <w:rFonts w:eastAsia="Times New Roman" w:cs="Times New Roman"/>
      <w:szCs w:val="26"/>
      <w:lang w:eastAsia="ru-RU"/>
    </w:rPr>
  </w:style>
  <w:style w:type="paragraph" w:styleId="Style33" w:customStyle="1">
    <w:name w:val="Подпункт"/>
    <w:basedOn w:val="Style32"/>
    <w:qFormat/>
    <w:rsid w:val="00493761"/>
    <w:pPr>
      <w:numPr>
        <w:ilvl w:val="3"/>
      </w:numPr>
      <w:tabs>
        <w:tab w:val="clear" w:pos="708"/>
      </w:tabs>
      <w:ind w:left="2880" w:hanging="360"/>
    </w:pPr>
    <w:rPr/>
  </w:style>
  <w:style w:type="paragraph" w:styleId="Style34" w:customStyle="1">
    <w:name w:val="Подподпункт"/>
    <w:basedOn w:val="Style33"/>
    <w:qFormat/>
    <w:rsid w:val="00493761"/>
    <w:pPr>
      <w:numPr>
        <w:ilvl w:val="4"/>
      </w:numPr>
      <w:ind w:left="3600" w:hanging="360"/>
    </w:pPr>
    <w:rPr/>
  </w:style>
  <w:style w:type="paragraph" w:styleId="BalloonText">
    <w:name w:val="Balloon Text"/>
    <w:basedOn w:val="Normal"/>
    <w:link w:val="Style15"/>
    <w:uiPriority w:val="99"/>
    <w:semiHidden/>
    <w:unhideWhenUsed/>
    <w:qFormat/>
    <w:rsid w:val="001a4817"/>
    <w:pPr>
      <w:spacing w:before="0" w:after="0"/>
    </w:pPr>
    <w:rPr>
      <w:rFonts w:ascii="Segoe UI" w:hAnsi="Segoe UI" w:cs="Segoe UI"/>
      <w:sz w:val="18"/>
      <w:szCs w:val="18"/>
    </w:rPr>
  </w:style>
  <w:style w:type="paragraph" w:styleId="11" w:customStyle="1">
    <w:name w:val="РГ_ЕПоЗ_1."/>
    <w:basedOn w:val="Normal"/>
    <w:qFormat/>
    <w:rsid w:val="00661d24"/>
    <w:pPr>
      <w:keepNext w:val="true"/>
      <w:numPr>
        <w:ilvl w:val="0"/>
        <w:numId w:val="18"/>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1" w:customStyle="1">
    <w:name w:val="РГ_ЕПоЗ_1.1"/>
    <w:basedOn w:val="Normal"/>
    <w:qFormat/>
    <w:rsid w:val="00661d24"/>
    <w:pPr>
      <w:keepNext w:val="true"/>
      <w:numPr>
        <w:ilvl w:val="1"/>
        <w:numId w:val="18"/>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35" w:customStyle="1">
    <w:name w:val="РГ_ЕПоЗ_а)"/>
    <w:basedOn w:val="ListParagraph"/>
    <w:link w:val="Style16"/>
    <w:qFormat/>
    <w:rsid w:val="00661d24"/>
    <w:pPr>
      <w:numPr>
        <w:ilvl w:val="4"/>
        <w:numId w:val="18"/>
      </w:numPr>
      <w:spacing w:before="120" w:after="0"/>
      <w:contextualSpacing w:val="false"/>
      <w:jc w:val="both"/>
    </w:pPr>
    <w:rPr>
      <w:rFonts w:eastAsia="Calibri" w:cs="Times New Roman"/>
      <w:sz w:val="28"/>
      <w:szCs w:val="28"/>
    </w:rPr>
  </w:style>
  <w:style w:type="paragraph" w:styleId="1111" w:customStyle="1">
    <w:name w:val="РГ_ЕПоЗ_1.1.1.1"/>
    <w:basedOn w:val="Normal"/>
    <w:qFormat/>
    <w:rsid w:val="00661d24"/>
    <w:pPr>
      <w:numPr>
        <w:ilvl w:val="3"/>
        <w:numId w:val="18"/>
      </w:numPr>
      <w:tabs>
        <w:tab w:val="clear" w:pos="708"/>
        <w:tab w:val="left" w:pos="1843" w:leader="none"/>
      </w:tabs>
      <w:jc w:val="both"/>
    </w:pPr>
    <w:rPr>
      <w:rFonts w:eastAsia="Times New Roman" w:cs="Times New Roman"/>
      <w:sz w:val="28"/>
      <w:szCs w:val="28"/>
      <w:lang w:eastAsia="ru-RU"/>
    </w:rPr>
  </w:style>
  <w:style w:type="paragraph" w:styleId="-1" w:customStyle="1">
    <w:name w:val="РГ_ЕПоЗ_-"/>
    <w:basedOn w:val="Normal"/>
    <w:link w:val="-"/>
    <w:qFormat/>
    <w:rsid w:val="00661d24"/>
    <w:pPr>
      <w:numPr>
        <w:ilvl w:val="5"/>
        <w:numId w:val="18"/>
      </w:numPr>
      <w:tabs>
        <w:tab w:val="clear" w:pos="708"/>
        <w:tab w:val="left" w:pos="2552" w:leader="none"/>
      </w:tabs>
      <w:spacing w:before="0" w:after="0"/>
      <w:jc w:val="both"/>
    </w:pPr>
    <w:rPr>
      <w:rFonts w:eastAsia="Times New Roman" w:cs="Times New Roman"/>
      <w:sz w:val="28"/>
      <w:szCs w:val="20"/>
      <w:lang w:eastAsia="ru-RU"/>
    </w:rPr>
  </w:style>
  <w:style w:type="paragraph" w:styleId="1112" w:customStyle="1">
    <w:name w:val="РГ_ЕПоЗ_1.1.1"/>
    <w:basedOn w:val="Normal"/>
    <w:qFormat/>
    <w:rsid w:val="00661d24"/>
    <w:pPr>
      <w:numPr>
        <w:ilvl w:val="2"/>
        <w:numId w:val="18"/>
      </w:numPr>
      <w:tabs>
        <w:tab w:val="clear" w:pos="708"/>
        <w:tab w:val="left" w:pos="1134" w:leader="none"/>
      </w:tabs>
      <w:jc w:val="both"/>
    </w:pPr>
    <w:rPr>
      <w:rFonts w:eastAsia="Times New Roman" w:cs="Times New Roman"/>
      <w:sz w:val="28"/>
      <w:szCs w:val="28"/>
      <w:lang w:eastAsia="ru-RU"/>
    </w:rPr>
  </w:style>
  <w:style w:type="paragraph" w:styleId="Tableheader">
    <w:name w:val="Table_header"/>
    <w:basedOn w:val="Normal"/>
    <w:qFormat/>
    <w:pPr/>
    <w:rPr>
      <w:b/>
      <w:sz w:val="20"/>
      <w:szCs w:val="24"/>
    </w:rPr>
  </w:style>
  <w:style w:type="paragraph" w:styleId="Style36">
    <w:name w:val="Содержимое таблицы"/>
    <w:basedOn w:val="Normal"/>
    <w:qFormat/>
    <w:pPr>
      <w:widowControl w:val="false"/>
      <w:suppressLineNumbers/>
    </w:pPr>
    <w:rPr/>
  </w:style>
  <w:style w:type="paragraph" w:styleId="Style37">
    <w:name w:val="Заголовок таблицы"/>
    <w:basedOn w:val="Style36"/>
    <w:qFormat/>
    <w:pPr>
      <w:suppressLineNumbers/>
      <w:jc w:val="center"/>
    </w:pPr>
    <w:rPr>
      <w:b/>
      <w:bCs/>
    </w:rPr>
  </w:style>
  <w:style w:type="paragraph" w:styleId="-2">
    <w:name w:val="УРОВЕНЬ_-"/>
    <w:qFormat/>
    <w:pPr>
      <w:widowControl/>
      <w:numPr>
        <w:ilvl w:val="4"/>
      </w:numPr>
      <w:suppressAutoHyphens w:val="true"/>
      <w:bidi w:val="0"/>
      <w:spacing w:lineRule="exact" w:line="360" w:before="0" w:after="0"/>
      <w:ind w:left="720" w:hanging="0"/>
      <w:jc w:val="both"/>
      <w:outlineLvl w:val="4"/>
    </w:pPr>
    <w:rPr>
      <w:rFonts w:ascii="Calibri" w:hAnsi="Calibri" w:eastAsia="Calibri" w:cs="Calibri" w:eastAsiaTheme="minorHAnsi"/>
      <w:color w:val="auto"/>
      <w:kern w:val="0"/>
      <w:sz w:val="26"/>
      <w:szCs w:val="28"/>
      <w:lang w:val="ru-RU" w:eastAsia="en-US" w:bidi="ar-SA"/>
    </w:rPr>
  </w:style>
  <w:style w:type="paragraph" w:styleId="22">
    <w:name w:val="УРОВЕНЬ_Абзац_тип2"/>
    <w:qFormat/>
    <w:pPr>
      <w:widowControl/>
      <w:suppressAutoHyphens w:val="true"/>
      <w:bidi w:val="0"/>
      <w:spacing w:lineRule="exact" w:line="360" w:before="0" w:after="0"/>
      <w:ind w:left="720" w:hanging="0"/>
      <w:jc w:val="both"/>
    </w:pPr>
    <w:rPr>
      <w:rFonts w:ascii="Calibri" w:hAnsi="Calibri" w:eastAsia="Calibri" w:cs="Calibri" w:eastAsiaTheme="minorHAnsi"/>
      <w:color w:val="auto"/>
      <w:kern w:val="0"/>
      <w:sz w:val="26"/>
      <w:szCs w:val="28"/>
      <w:lang w:val="ru-RU" w:eastAsia="en-US" w:bidi="ar-SA"/>
    </w:rPr>
  </w:style>
  <w:style w:type="numbering" w:styleId="NoList" w:default="1">
    <w:name w:val="No List"/>
    <w:uiPriority w:val="99"/>
    <w:semiHidden/>
    <w:unhideWhenUsed/>
    <w:qFormat/>
  </w:style>
  <w:style w:type="table" w:default="1" w:styleId="aa">
    <w:name w:val="Normal Table"/>
    <w:uiPriority w:val="99"/>
    <w:semiHidden/>
    <w:unhideWhenUsed/>
    <w:tblPr>
      <w:tblCellMar>
        <w:top w:w="0" w:type="dxa"/>
        <w:left w:w="108" w:type="dxa"/>
        <w:bottom w:w="0" w:type="dxa"/>
        <w:right w:w="108" w:type="dxa"/>
      </w:tblCellMar>
    </w:tblPr>
  </w:style>
  <w:style w:type="table" w:customStyle="1" w:styleId="af9">
    <w:name w:val="[РГ] Таблица"/>
    <w:basedOn w:val="aa"/>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a">
    <w:name w:val="Table Grid"/>
    <w:basedOn w:val="aa"/>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nder.lot-online.ru/" TargetMode="External"/><Relationship Id="rId3" Type="http://schemas.openxmlformats.org/officeDocument/2006/relationships/hyperlink" Target="https://tender.lot-online.ru/app/EtpDocList/page" TargetMode="External"/><Relationship Id="rId4" Type="http://schemas.openxmlformats.org/officeDocument/2006/relationships/hyperlink" Target="mailto:okzt5@drsk.ru" TargetMode="External"/><Relationship Id="rId5" Type="http://schemas.openxmlformats.org/officeDocument/2006/relationships/hyperlink" Target="mailto:okzt5@drsk.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package" Target="embeddings/oleObject1.docx"/><Relationship Id="rId13" Type="http://schemas.openxmlformats.org/officeDocument/2006/relationships/image" Target="media/image1.wmf"/><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yperlink" Target="https://reestr.nostroy.ru/sro/all/member/list)" TargetMode="External"/><Relationship Id="rId19" Type="http://schemas.openxmlformats.org/officeDocument/2006/relationships/hyperlink" Target="http://nopriz.ru/nreesters/elektronnyy-reestr/" TargetMode="External"/><Relationship Id="rId20" Type="http://schemas.openxmlformats.org/officeDocument/2006/relationships/header" Target="header6.xml"/><Relationship Id="rId21" Type="http://schemas.openxmlformats.org/officeDocument/2006/relationships/header" Target="header7.xml"/><Relationship Id="rId22" Type="http://schemas.openxmlformats.org/officeDocument/2006/relationships/footer" Target="footer6.xml"/><Relationship Id="rId23" Type="http://schemas.openxmlformats.org/officeDocument/2006/relationships/footer" Target="footer7.xml"/><Relationship Id="rId24" Type="http://schemas.openxmlformats.org/officeDocument/2006/relationships/package" Target="embeddings/oleObject2.docx"/><Relationship Id="rId25" Type="http://schemas.openxmlformats.org/officeDocument/2006/relationships/image" Target="media/image2.wmf"/><Relationship Id="rId26" Type="http://schemas.openxmlformats.org/officeDocument/2006/relationships/package" Target="embeddings/oleObject3.docx"/><Relationship Id="rId27" Type="http://schemas.openxmlformats.org/officeDocument/2006/relationships/image" Target="media/image3.wmf"/><Relationship Id="rId28" Type="http://schemas.openxmlformats.org/officeDocument/2006/relationships/header" Target="header8.xml"/><Relationship Id="rId29" Type="http://schemas.openxmlformats.org/officeDocument/2006/relationships/header" Target="header9.xml"/><Relationship Id="rId30" Type="http://schemas.openxmlformats.org/officeDocument/2006/relationships/footer" Target="footer8.xml"/><Relationship Id="rId31" Type="http://schemas.openxmlformats.org/officeDocument/2006/relationships/footer" Target="footer9.xml"/><Relationship Id="rId32" Type="http://schemas.openxmlformats.org/officeDocument/2006/relationships/header" Target="header10.xml"/><Relationship Id="rId33" Type="http://schemas.openxmlformats.org/officeDocument/2006/relationships/header" Target="header11.xml"/><Relationship Id="rId34" Type="http://schemas.openxmlformats.org/officeDocument/2006/relationships/footer" Target="footer10.xml"/><Relationship Id="rId35" Type="http://schemas.openxmlformats.org/officeDocument/2006/relationships/footer" Target="footer11.xml"/><Relationship Id="rId36" Type="http://schemas.openxmlformats.org/officeDocument/2006/relationships/header" Target="header12.xml"/><Relationship Id="rId37" Type="http://schemas.openxmlformats.org/officeDocument/2006/relationships/header" Target="header13.xml"/><Relationship Id="rId38" Type="http://schemas.openxmlformats.org/officeDocument/2006/relationships/footer" Target="footer12.xml"/><Relationship Id="rId39" Type="http://schemas.openxmlformats.org/officeDocument/2006/relationships/footer" Target="footer13.xml"/><Relationship Id="rId40" Type="http://schemas.openxmlformats.org/officeDocument/2006/relationships/package" Target="embeddings/oleObject4.xlsx"/><Relationship Id="rId41" Type="http://schemas.openxmlformats.org/officeDocument/2006/relationships/image" Target="media/image4.wmf"/><Relationship Id="rId42" Type="http://schemas.openxmlformats.org/officeDocument/2006/relationships/package" Target="embeddings/oleObject5.docx"/><Relationship Id="rId43" Type="http://schemas.openxmlformats.org/officeDocument/2006/relationships/image" Target="media/image5.wmf"/><Relationship Id="rId44" Type="http://schemas.openxmlformats.org/officeDocument/2006/relationships/header" Target="header14.xml"/><Relationship Id="rId45" Type="http://schemas.openxmlformats.org/officeDocument/2006/relationships/header" Target="header15.xml"/><Relationship Id="rId46" Type="http://schemas.openxmlformats.org/officeDocument/2006/relationships/footer" Target="footer14.xml"/><Relationship Id="rId47" Type="http://schemas.openxmlformats.org/officeDocument/2006/relationships/footer" Target="footer15.xml"/><Relationship Id="rId48" Type="http://schemas.openxmlformats.org/officeDocument/2006/relationships/footnotes" Target="footnotes.xml"/><Relationship Id="rId49" Type="http://schemas.openxmlformats.org/officeDocument/2006/relationships/numbering" Target="numbering.xml"/><Relationship Id="rId50" Type="http://schemas.openxmlformats.org/officeDocument/2006/relationships/fontTable" Target="fontTable.xml"/><Relationship Id="rId51" Type="http://schemas.openxmlformats.org/officeDocument/2006/relationships/settings" Target="settings.xml"/><Relationship Id="rId52" Type="http://schemas.openxmlformats.org/officeDocument/2006/relationships/theme" Target="theme/theme1.xml"/><Relationship Id="rId5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EC1AF-64FD-491F-9134-B438E4BEA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TotalTime>
  <Application>AlterOffice/3.3.1.3$Linux_X86_64 LibreOffice_project/90d829a0d92d6015ad4fa014ce4f460a7fe6c0ba</Application>
  <AppVersion>15.0000</AppVersion>
  <Pages>33</Pages>
  <Words>32873</Words>
  <Characters>187377</Characters>
  <CharactersWithSpaces>219811</CharactersWithSpaces>
  <Paragraphs>439</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chuyasova_eg</cp:lastModifiedBy>
  <cp:lastPrinted>2026-07-24T14:21:15Z</cp:lastPrinted>
  <dcterms:modified xsi:type="dcterms:W3CDTF">2026-07-24T14:25:09Z</dcterms:modified>
  <cp:revision>198</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