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r>
        <w:rPr>
          <w:b/>
          <w:bCs/>
          <w:sz w:val="24"/>
          <w:szCs w:val="24"/>
        </w:rPr>
        <w:t>Договор поставки №_________________</w:t>
      </w:r>
    </w:p>
    <w:p>
      <w:pPr>
        <w:pStyle w:val="Normal"/>
        <w:shd w:val="clear" w:color="auto" w:fill="FFFFFF"/>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ab/>
        <w:t xml:space="preserve">   «___» _________ 2026 г.</w:t>
      </w:r>
    </w:p>
    <w:p>
      <w:pPr>
        <w:pStyle w:val="Normal"/>
        <w:shd w:val="clear" w:color="auto" w:fill="FFFFFF"/>
        <w:tabs>
          <w:tab w:val="clear" w:pos="708"/>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«Покупатель»), в лице директора    филиала  ПАО «РусГидро» - «Зейская ГЭС» Сухомесова Михаила Андреевича, ддействующего на основании доверенности </w:t>
      </w:r>
      <w:r>
        <w:rPr>
          <w:color w:val="000000"/>
          <w:spacing w:val="2"/>
          <w:sz w:val="24"/>
          <w:szCs w:val="24"/>
        </w:rPr>
        <w:t>№ e2f6c6b3-a30f-47ab-9bda-6374a168150f от 19.08.2024 , с одной стороны, и (далее – «Поставщик»), действующий на основании ,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hd w:val="clear" w:color="auto" w:fill="FFFFFF"/>
        <w:rPr>
          <w:bCs/>
          <w:sz w:val="24"/>
          <w:szCs w:val="24"/>
        </w:rPr>
      </w:pPr>
      <w:r>
        <w:rPr>
          <w:bCs/>
          <w:sz w:val="24"/>
          <w:szCs w:val="24"/>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ind w:left="0" w:firstLine="708"/>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Предмет Договора</w:t>
      </w:r>
    </w:p>
    <w:p>
      <w:pPr>
        <w:pStyle w:val="Normal"/>
        <w:numPr>
          <w:ilvl w:val="0"/>
          <w:numId w:val="2"/>
        </w:numPr>
        <w:shd w:val="clear" w:color="auto" w:fill="FFFFFF"/>
        <w:tabs>
          <w:tab w:val="clear" w:pos="708"/>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 подарочно-сувенирную продукцию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0" w:leader="none"/>
          <w:tab w:val="left" w:pos="1134" w:leader="none"/>
          <w:tab w:val="left" w:pos="1566" w:leader="none"/>
        </w:tabs>
        <w:ind w:left="0" w:firstLine="709"/>
        <w:jc w:val="both"/>
        <w:rPr>
          <w:bCs/>
          <w:sz w:val="24"/>
          <w:szCs w:val="24"/>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8"/>
          <w:tab w:val="left" w:pos="0" w:leader="none"/>
          <w:tab w:val="left" w:pos="540" w:leader="none"/>
          <w:tab w:val="left" w:pos="1134" w:leader="none"/>
        </w:tabs>
        <w:ind w:left="0" w:firstLine="709"/>
        <w:jc w:val="both"/>
        <w:rPr>
          <w:bCs/>
          <w:sz w:val="24"/>
          <w:szCs w:val="24"/>
        </w:rPr>
      </w:pPr>
      <w:r>
        <w:rPr>
          <w:bCs/>
          <w:sz w:val="24"/>
          <w:szCs w:val="24"/>
        </w:rPr>
        <w:t xml:space="preserve">Место поставки Товара: 676244, Амурская область, г.Зея, </w:t>
      </w:r>
      <w:r>
        <w:rPr>
          <w:bCs/>
          <w:sz w:val="24"/>
          <w:szCs w:val="24"/>
        </w:rPr>
        <w:t xml:space="preserve">ул. Магистральная, соор. 1, </w:t>
      </w:r>
      <w:r>
        <w:rPr>
          <w:bCs/>
          <w:sz w:val="24"/>
          <w:szCs w:val="24"/>
        </w:rPr>
        <w:t>склад № 2 филиала ПАО «РусГидро» – «Зейская ГЭС» (далее – «Место поставки»).</w:t>
      </w:r>
    </w:p>
    <w:p>
      <w:pPr>
        <w:pStyle w:val="Normal"/>
        <w:numPr>
          <w:ilvl w:val="1"/>
          <w:numId w:val="2"/>
        </w:numPr>
        <w:shd w:val="clear" w:color="auto" w:fill="FFFFFF"/>
        <w:tabs>
          <w:tab w:val="clear" w:pos="708"/>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8"/>
          <w:tab w:val="left" w:pos="0" w:leader="none"/>
          <w:tab w:val="left" w:pos="1134" w:leader="none"/>
          <w:tab w:val="left" w:pos="1418" w:leader="none"/>
          <w:tab w:val="left" w:pos="2422" w:leader="none"/>
        </w:tabs>
        <w:ind w:left="0" w:firstLine="709"/>
        <w:jc w:val="both"/>
        <w:rPr>
          <w:bCs/>
          <w:sz w:val="24"/>
          <w:szCs w:val="24"/>
        </w:rPr>
      </w:pPr>
      <w:r>
        <w:rPr>
          <w:bCs/>
          <w:sz w:val="24"/>
          <w:szCs w:val="24"/>
        </w:rPr>
        <w:t>Начало – с даты подписания Договора;</w:t>
      </w:r>
    </w:p>
    <w:p>
      <w:pPr>
        <w:pStyle w:val="Normal"/>
        <w:numPr>
          <w:ilvl w:val="2"/>
          <w:numId w:val="2"/>
        </w:numPr>
        <w:shd w:val="clear" w:color="auto" w:fill="FFFFFF"/>
        <w:tabs>
          <w:tab w:val="clear" w:pos="708"/>
          <w:tab w:val="left" w:pos="0" w:leader="none"/>
          <w:tab w:val="left" w:pos="1134" w:leader="none"/>
          <w:tab w:val="left" w:pos="1418" w:leader="none"/>
          <w:tab w:val="left" w:pos="2422" w:leader="none"/>
        </w:tabs>
        <w:ind w:left="0" w:firstLine="709"/>
        <w:jc w:val="both"/>
        <w:rPr>
          <w:bCs/>
          <w:sz w:val="24"/>
          <w:szCs w:val="24"/>
        </w:rPr>
      </w:pPr>
      <w:r>
        <w:rPr>
          <w:bCs/>
          <w:sz w:val="24"/>
          <w:szCs w:val="24"/>
        </w:rPr>
        <w:t xml:space="preserve">Окончание – не позднее 31.10.2026. </w:t>
      </w:r>
    </w:p>
    <w:p>
      <w:pPr>
        <w:pStyle w:val="Normal"/>
        <w:shd w:val="clear" w:color="auto" w:fill="FFFFFF"/>
        <w:tabs>
          <w:tab w:val="clear" w:pos="708"/>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sz w:val="24"/>
          <w:szCs w:val="24"/>
        </w:rPr>
        <w:t xml:space="preserve">Цена </w:t>
      </w:r>
      <w:r>
        <w:rPr>
          <w:bCs/>
          <w:sz w:val="24"/>
          <w:szCs w:val="24"/>
        </w:rPr>
        <w:t>Договора в соответствии со Спецификацией (Приложение № 1 к Договору) является твердой и составляет рублей копеек без НДС, при этом НДС исчисляется дополнительно по ставке, установленной ст. 164 Налогового Кодекса РФ.</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0"/>
        </w:numPr>
        <w:shd w:val="clear" w:color="auto" w:fill="FFFFFF"/>
        <w:tabs>
          <w:tab w:val="clear" w:pos="708"/>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8"/>
          <w:tab w:val="left" w:pos="1418" w:leader="none"/>
        </w:tabs>
        <w:ind w:left="0" w:firstLine="709"/>
        <w:jc w:val="both"/>
        <w:rPr>
          <w:sz w:val="24"/>
          <w:szCs w:val="24"/>
        </w:rPr>
      </w:pPr>
      <w:r>
        <w:rPr>
          <w:sz w:val="24"/>
          <w:szCs w:val="24"/>
        </w:rPr>
        <w:t>Авансовый платеж в размере 30 (тридцати) процентов от Цены Договора выплачивается Поставщику в течение 30 (тридцати) календарных дней с даты получения Покупателем счета, выставленного Поставщиком, но не ранее 30 (тридцати) календарных дней до плановой даты поставки Товара, и с учетом пункта 2.4.3 Договора.</w:t>
      </w:r>
    </w:p>
    <w:p>
      <w:pPr>
        <w:pStyle w:val="ListParagraph"/>
        <w:widowControl/>
        <w:numPr>
          <w:ilvl w:val="2"/>
          <w:numId w:val="2"/>
        </w:numPr>
        <w:shd w:val="clear" w:color="auto" w:fill="FFFFFF"/>
        <w:tabs>
          <w:tab w:val="clear" w:pos="708"/>
          <w:tab w:val="left" w:pos="1418" w:leader="none"/>
        </w:tabs>
        <w:ind w:left="0" w:firstLine="709"/>
        <w:jc w:val="both"/>
        <w:rPr>
          <w:sz w:val="24"/>
          <w:szCs w:val="24"/>
        </w:rPr>
      </w:pPr>
      <w:r>
        <w:rPr>
          <w:sz w:val="24"/>
          <w:szCs w:val="24"/>
        </w:rPr>
        <w:t>Последующий платеж в размере 70 (семидесяти) процентов от Цены Договора выплачивается Поставщику в течение 7 (семи) рабочих дней с даты подписания Сторонами накладной ТОРГ-12, на основании счета, выставленного Поставщиком, и с учетом пункта 2.4.3. Договора.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8"/>
          <w:tab w:val="left" w:pos="1134" w:leader="none"/>
        </w:tabs>
        <w:ind w:left="0" w:firstLine="709"/>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8"/>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sz w:val="24"/>
          <w:szCs w:val="24"/>
        </w:rPr>
        <w:t>Поставка Товара осуществляется партиями в Место поставки, указанное в пункте 1.3 Договора.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left="0" w:firstLine="709"/>
        <w:jc w:val="both"/>
        <w:rPr>
          <w:sz w:val="24"/>
          <w:szCs w:val="24"/>
        </w:rPr>
      </w:pPr>
      <w:r>
        <w:rPr>
          <w:sz w:val="24"/>
          <w:szCs w:val="24"/>
        </w:rPr>
        <w:t>сертификат качества в 1 (одном) экз.;</w:t>
      </w:r>
    </w:p>
    <w:p>
      <w:pPr>
        <w:pStyle w:val="Normal"/>
        <w:numPr>
          <w:ilvl w:val="0"/>
          <w:numId w:val="4"/>
        </w:numPr>
        <w:tabs>
          <w:tab w:val="clear" w:pos="708"/>
          <w:tab w:val="left" w:pos="1418" w:leader="none"/>
        </w:tabs>
        <w:ind w:left="0" w:firstLine="709"/>
        <w:jc w:val="both"/>
        <w:rPr>
          <w:sz w:val="24"/>
          <w:szCs w:val="24"/>
        </w:rPr>
      </w:pPr>
      <w:r>
        <w:rPr>
          <w:sz w:val="24"/>
          <w:szCs w:val="24"/>
        </w:rPr>
        <w:t>технический паспорт на русском языке в 1 (одном) экз.;</w:t>
      </w:r>
    </w:p>
    <w:p>
      <w:pPr>
        <w:pStyle w:val="Normal"/>
        <w:numPr>
          <w:ilvl w:val="0"/>
          <w:numId w:val="4"/>
        </w:numPr>
        <w:tabs>
          <w:tab w:val="clear" w:pos="708"/>
          <w:tab w:val="left" w:pos="1418" w:leader="none"/>
        </w:tabs>
        <w:ind w:left="0" w:firstLine="709"/>
        <w:jc w:val="both"/>
        <w:rPr>
          <w:sz w:val="24"/>
          <w:szCs w:val="24"/>
        </w:rPr>
      </w:pPr>
      <w:r>
        <w:rPr>
          <w:sz w:val="24"/>
          <w:szCs w:val="24"/>
        </w:rPr>
        <w:t>инструкция по эксплуатации на русском языке в 1 (одном) экз.;</w:t>
      </w:r>
    </w:p>
    <w:p>
      <w:pPr>
        <w:pStyle w:val="Normal"/>
        <w:numPr>
          <w:ilvl w:val="0"/>
          <w:numId w:val="4"/>
        </w:numPr>
        <w:tabs>
          <w:tab w:val="clear" w:pos="708"/>
          <w:tab w:val="left" w:pos="1418" w:leader="none"/>
        </w:tabs>
        <w:ind w:left="0" w:firstLine="709"/>
        <w:jc w:val="both"/>
        <w:rPr>
          <w:sz w:val="24"/>
          <w:szCs w:val="24"/>
        </w:rPr>
      </w:pPr>
      <w:r>
        <w:rPr>
          <w:sz w:val="24"/>
          <w:szCs w:val="24"/>
        </w:rPr>
        <w:t>упаковочный лист в 1 (одном) экз.;</w:t>
      </w:r>
    </w:p>
    <w:p>
      <w:pPr>
        <w:pStyle w:val="Normal"/>
        <w:numPr>
          <w:ilvl w:val="0"/>
          <w:numId w:val="3"/>
        </w:numPr>
        <w:tabs>
          <w:tab w:val="clear" w:pos="708"/>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3(трёх) экз.;</w:t>
      </w:r>
    </w:p>
    <w:p>
      <w:pPr>
        <w:pStyle w:val="Normal"/>
        <w:numPr>
          <w:ilvl w:val="0"/>
          <w:numId w:val="3"/>
        </w:numPr>
        <w:shd w:val="clear" w:color="auto" w:fill="FFFFFF"/>
        <w:tabs>
          <w:tab w:val="clear" w:pos="708"/>
          <w:tab w:val="left" w:pos="1276" w:leader="none"/>
        </w:tabs>
        <w:ind w:left="0" w:firstLine="709"/>
        <w:jc w:val="both"/>
        <w:rPr>
          <w:sz w:val="24"/>
          <w:szCs w:val="24"/>
        </w:rPr>
      </w:pPr>
      <w:r>
        <w:rPr>
          <w:sz w:val="24"/>
          <w:szCs w:val="24"/>
        </w:rPr>
        <w:t>накладная ТОРГ-12 в 2 (двух) экз.</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8"/>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Погрузка, доставка </w:t>
      </w:r>
      <w:r>
        <w:rPr>
          <w:bCs/>
          <w:sz w:val="24"/>
          <w:szCs w:val="24"/>
        </w:rPr>
        <w:t>осуществляется</w:t>
      </w:r>
      <w:r>
        <w:rPr>
          <w:sz w:val="24"/>
          <w:szCs w:val="24"/>
        </w:rPr>
        <w:t xml:space="preserve"> Поставщиком. Стоимость погрузки, доставки включена в стоимость Товара.</w:t>
      </w:r>
    </w:p>
    <w:p>
      <w:pPr>
        <w:pStyle w:val="ListParagraph"/>
        <w:widowContro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bookmarkStart w:id="1" w:name="_Ref361396594"/>
      <w:r>
        <w:rPr>
          <w:sz w:val="24"/>
          <w:szCs w:val="24"/>
        </w:rPr>
        <w:t xml:space="preserve">Датой поставки партии Товара является дата подписания Сторонами накладной </w:t>
        <w:br/>
        <w:t>ТОРГ-12.</w:t>
      </w:r>
      <w:bookmarkEnd w:id="1"/>
      <w:r>
        <w:rPr>
          <w:sz w:val="24"/>
          <w:szCs w:val="24"/>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15 (пятнадцати)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8"/>
          <w:tab w:val="left" w:pos="1418" w:leader="none"/>
        </w:tabs>
        <w:ind w:left="0" w:firstLine="709"/>
        <w:jc w:val="both"/>
        <w:rPr>
          <w:sz w:val="24"/>
          <w:szCs w:val="24"/>
        </w:rPr>
      </w:pPr>
      <w:bookmarkStart w:id="2"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sz w:val="24"/>
          <w:szCs w:val="24"/>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8"/>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2"/>
        </w:numPr>
        <w:shd w:val="clear" w:color="auto" w:fill="FFFFFF"/>
        <w:tabs>
          <w:tab w:val="clear" w:pos="708"/>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numPr>
          <w:ilvl w:val="1"/>
          <w:numId w:val="2"/>
        </w:numPr>
        <w:tabs>
          <w:tab w:val="clear" w:pos="708"/>
          <w:tab w:val="left" w:pos="1000"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ListParagraph"/>
        <w:numPr>
          <w:ilvl w:val="0"/>
          <w:numId w:val="2"/>
        </w:numPr>
        <w:shd w:val="clear" w:color="auto" w:fill="FFFFFF"/>
        <w:tabs>
          <w:tab w:val="clear" w:pos="708"/>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clear" w:pos="708"/>
          <w:tab w:val="left" w:pos="709" w:leader="none"/>
          <w:tab w:val="left" w:pos="1134" w:leader="none"/>
        </w:tabs>
        <w:ind w:left="0" w:firstLine="709"/>
        <w:jc w:val="both"/>
        <w:rPr>
          <w:sz w:val="24"/>
          <w:szCs w:val="24"/>
        </w:rPr>
      </w:pPr>
      <w:r>
        <w:rPr>
          <w:sz w:val="24"/>
          <w:szCs w:val="24"/>
        </w:rPr>
        <w:t>Гарантийный срок на Товар, поставленный по Договору, составляет 12</w:t>
      </w:r>
      <w:r>
        <w:rPr>
          <w:sz w:val="24"/>
          <w:szCs w:val="24"/>
          <w:highlight w:val="lightGray"/>
        </w:rPr>
        <w:t xml:space="preserve"> </w:t>
      </w:r>
      <w:r>
        <w:rPr>
          <w:sz w:val="24"/>
          <w:szCs w:val="24"/>
        </w:rPr>
        <w:t xml:space="preserve">(двенадцать)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shd w:val="clear" w:color="auto" w:fill="FFFFFF"/>
        <w:tabs>
          <w:tab w:val="clear" w:pos="708"/>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709" w:leader="none"/>
          <w:tab w:val="left" w:pos="1419"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8"/>
          <w:tab w:val="left" w:pos="709"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ListParagraph"/>
        <w:numPr>
          <w:ilvl w:val="1"/>
          <w:numId w:val="2"/>
        </w:numPr>
        <w:tabs>
          <w:tab w:val="clear" w:pos="708"/>
          <w:tab w:val="left" w:pos="709" w:leader="none"/>
        </w:tabs>
        <w:ind w:left="0" w:firstLine="709"/>
        <w:jc w:val="both"/>
        <w:rPr>
          <w:bCs/>
          <w:sz w:val="24"/>
          <w:szCs w:val="24"/>
        </w:rPr>
      </w:pPr>
      <w:r>
        <w:rPr>
          <w:bCs/>
          <w:sz w:val="24"/>
          <w:szCs w:val="24"/>
        </w:rPr>
        <w:t xml:space="preserve">Ответственность Покупателя за причиненные Поставщику убытки ограничивается реальным ущербом, но не более Цены Договора. </w:t>
      </w:r>
    </w:p>
    <w:p>
      <w:pPr>
        <w:pStyle w:val="Normal"/>
        <w:widowControl/>
        <w:numPr>
          <w:ilvl w:val="1"/>
          <w:numId w:val="2"/>
        </w:numPr>
        <w:tabs>
          <w:tab w:val="clear" w:pos="708"/>
          <w:tab w:val="left" w:pos="709"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(нарушение срока поставки, недопоставка), а также в случае несвоевременного устранения выявленных недостатков Товара, Покупатель вправе требовать уплаты Поставщиком:</w:t>
      </w:r>
    </w:p>
    <w:p>
      <w:pPr>
        <w:pStyle w:val="ListParagraph"/>
        <w:widowControl/>
        <w:numPr>
          <w:ilvl w:val="2"/>
          <w:numId w:val="2"/>
        </w:numPr>
        <w:shd w:val="clear" w:color="auto" w:fill="FFFFFF"/>
        <w:tabs>
          <w:tab w:val="clear" w:pos="708"/>
          <w:tab w:val="left" w:pos="709" w:leader="none"/>
          <w:tab w:val="left" w:pos="1418" w:leader="none"/>
        </w:tabs>
        <w:ind w:left="0" w:firstLine="709"/>
        <w:jc w:val="both"/>
        <w:rPr>
          <w:bCs/>
          <w:sz w:val="24"/>
          <w:szCs w:val="24"/>
        </w:rPr>
      </w:pPr>
      <w:r>
        <w:rPr>
          <w:bCs/>
          <w:sz w:val="24"/>
          <w:szCs w:val="24"/>
        </w:rPr>
        <w:t>Штрафной неустойки</w:t>
      </w:r>
      <w:r>
        <w:rPr>
          <w:sz w:val="24"/>
          <w:szCs w:val="24"/>
        </w:rPr>
        <w:t xml:space="preserve"> в размере 0,1 (ноль целых и одна десятая) процента от Цены Договора за каждый день просрочки в случае, когда нарушение привело или неизбежно приведет к изменению срока поставки Товара в целом по Договору.</w:t>
      </w:r>
    </w:p>
    <w:p>
      <w:pPr>
        <w:pStyle w:val="ListParagraph"/>
        <w:widowControl/>
        <w:numPr>
          <w:ilvl w:val="2"/>
          <w:numId w:val="2"/>
        </w:numPr>
        <w:shd w:val="clear" w:color="auto" w:fill="FFFFFF"/>
        <w:tabs>
          <w:tab w:val="clear" w:pos="708"/>
          <w:tab w:val="left" w:pos="709" w:leader="none"/>
          <w:tab w:val="left" w:pos="1418" w:leader="none"/>
        </w:tabs>
        <w:ind w:left="0" w:firstLine="709"/>
        <w:jc w:val="both"/>
        <w:rPr>
          <w:bCs/>
          <w:sz w:val="24"/>
          <w:szCs w:val="24"/>
        </w:rPr>
      </w:pPr>
      <w:r>
        <w:rPr>
          <w:bCs/>
          <w:sz w:val="24"/>
          <w:szCs w:val="24"/>
        </w:rPr>
        <w:t xml:space="preserve">Штрафной неустойки в </w:t>
      </w:r>
      <w:r>
        <w:rPr>
          <w:sz w:val="24"/>
          <w:szCs w:val="24"/>
        </w:rPr>
        <w:t>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ListParagraph"/>
        <w:widowControl/>
        <w:numPr>
          <w:ilvl w:val="2"/>
          <w:numId w:val="2"/>
        </w:numPr>
        <w:shd w:val="clear" w:color="auto" w:fill="FFFFFF"/>
        <w:tabs>
          <w:tab w:val="clear" w:pos="708"/>
          <w:tab w:val="left" w:pos="709" w:leader="none"/>
          <w:tab w:val="left" w:pos="1418" w:leader="none"/>
        </w:tabs>
        <w:ind w:left="0" w:firstLine="709"/>
        <w:jc w:val="both"/>
        <w:rPr>
          <w:bCs/>
          <w:sz w:val="24"/>
          <w:szCs w:val="24"/>
        </w:rPr>
      </w:pPr>
      <w:r>
        <w:rPr>
          <w:sz w:val="24"/>
          <w:szCs w:val="24"/>
        </w:rPr>
        <w:t>штрафной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numPr>
          <w:ilvl w:val="1"/>
          <w:numId w:val="2"/>
        </w:numPr>
        <w:shd w:val="clear" w:color="auto" w:fill="FFFFFF"/>
        <w:tabs>
          <w:tab w:val="clear" w:pos="708"/>
          <w:tab w:val="left" w:pos="709" w:leader="none"/>
        </w:tabs>
        <w:ind w:left="0" w:firstLine="709"/>
        <w:jc w:val="both"/>
        <w:rPr>
          <w:bCs/>
          <w:sz w:val="24"/>
          <w:szCs w:val="24"/>
        </w:rPr>
      </w:pPr>
      <w:r>
        <w:rPr>
          <w:bCs/>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ListParagraph"/>
        <w:numPr>
          <w:ilvl w:val="1"/>
          <w:numId w:val="2"/>
        </w:numPr>
        <w:shd w:val="clear" w:color="auto" w:fill="FFFFFF"/>
        <w:tabs>
          <w:tab w:val="clear" w:pos="708"/>
          <w:tab w:val="left" w:pos="709" w:leader="none"/>
        </w:tabs>
        <w:ind w:left="0" w:firstLine="709"/>
        <w:jc w:val="both"/>
        <w:rPr>
          <w:bCs/>
          <w:sz w:val="24"/>
          <w:szCs w:val="24"/>
        </w:rPr>
      </w:pPr>
      <w:r>
        <w:rPr>
          <w:bCs/>
          <w:sz w:val="24"/>
          <w:szCs w:val="24"/>
        </w:rPr>
        <w:t>В случае нарушения Поставщиком обязательств по поставке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Товар, ранее принятый по Договору, и потребовать возврата уплаченных денежных средств.</w:t>
      </w:r>
    </w:p>
    <w:p>
      <w:pPr>
        <w:pStyle w:val="ListParagraph"/>
        <w:numPr>
          <w:ilvl w:val="1"/>
          <w:numId w:val="2"/>
        </w:numPr>
        <w:shd w:val="clear" w:color="auto" w:fill="FFFFFF"/>
        <w:tabs>
          <w:tab w:val="clear" w:pos="708"/>
          <w:tab w:val="left" w:pos="709" w:leader="none"/>
        </w:tabs>
        <w:ind w:left="0" w:firstLine="709"/>
        <w:jc w:val="both"/>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2"/>
        </w:numPr>
        <w:shd w:val="clear" w:color="auto" w:fill="FFFFFF"/>
        <w:tabs>
          <w:tab w:val="clear" w:pos="708"/>
          <w:tab w:val="left" w:pos="709" w:leader="none"/>
        </w:tabs>
        <w:ind w:left="0" w:firstLine="709"/>
        <w:jc w:val="both"/>
        <w:rPr>
          <w:bCs/>
          <w:sz w:val="24"/>
          <w:szCs w:val="24"/>
        </w:rPr>
      </w:pPr>
      <w:r>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2"/>
        </w:numPr>
        <w:shd w:val="clear" w:color="auto" w:fill="FFFFFF"/>
        <w:tabs>
          <w:tab w:val="clear" w:pos="708"/>
          <w:tab w:val="left" w:pos="709" w:leader="none"/>
        </w:tabs>
        <w:ind w:left="0" w:firstLine="709"/>
        <w:jc w:val="both"/>
        <w:rPr>
          <w:bCs/>
          <w:sz w:val="24"/>
          <w:szCs w:val="24"/>
        </w:rPr>
      </w:pPr>
      <w:r>
        <w:rPr>
          <w:bCs/>
          <w:sz w:val="24"/>
          <w:szCs w:val="24"/>
        </w:rPr>
        <w:t>Поставщик несет ответственность перед Покупателем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8"/>
          <w:tab w:val="left" w:pos="709"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709"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709"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709"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2"/>
        </w:numPr>
        <w:shd w:val="clear" w:color="auto" w:fill="FFFFFF"/>
        <w:tabs>
          <w:tab w:val="clear" w:pos="708"/>
          <w:tab w:val="left" w:pos="709"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709" w:leader="none"/>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shd w:val="clear" w:color="auto" w:fill="FFFFFF"/>
        <w:tabs>
          <w:tab w:val="clear" w:pos="708"/>
          <w:tab w:val="left" w:pos="1134" w:leader="none"/>
        </w:tabs>
        <w:ind w:left="0" w:firstLine="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0" w:leader="none"/>
          <w:tab w:val="left" w:pos="284"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8"/>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Амурской области.</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8"/>
          <w:tab w:val="left" w:pos="567" w:leader="none"/>
          <w:tab w:val="left" w:pos="1134" w:leader="none"/>
        </w:tabs>
        <w:ind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9.7.2.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8"/>
          <w:tab w:val="left" w:pos="426" w:leader="none"/>
        </w:tabs>
        <w:spacing w:lineRule="auto" w:line="259"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 w:val="left" w:pos="567"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0" w:leader="none"/>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8"/>
          <w:tab w:val="left" w:pos="142" w:leader="none"/>
        </w:tabs>
        <w:snapToGrid w:val="false"/>
        <w:ind w:left="0" w:firstLine="709"/>
        <w:jc w:val="both"/>
        <w:rPr>
          <w:sz w:val="24"/>
          <w:szCs w:val="24"/>
          <w:lang w:eastAsia="en-US"/>
        </w:rPr>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8"/>
          <w:tab w:val="left" w:pos="142" w:leader="none"/>
        </w:tabs>
        <w:ind w:firstLine="709"/>
        <w:jc w:val="both"/>
        <w:rPr>
          <w:sz w:val="24"/>
          <w:szCs w:val="24"/>
          <w:lang w:eastAsia="en-US"/>
        </w:rPr>
      </w:pPr>
      <w:r>
        <w:rPr>
          <w:sz w:val="24"/>
          <w:szCs w:val="24"/>
          <w:lang w:eastAsia="en-US"/>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bookmarkStart w:id="8" w:name="_Ref361338004"/>
      <w:r>
        <w:rPr>
          <w:sz w:val="24"/>
          <w:szCs w:val="24"/>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13.8 Договора.</w:t>
      </w:r>
      <w:bookmarkEnd w:id="8"/>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8"/>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ind w:firstLine="709"/>
        <w:jc w:val="both"/>
        <w:rPr>
          <w:rFonts w:eastAsia="Calibri"/>
          <w:sz w:val="24"/>
          <w:szCs w:val="24"/>
          <w:lang w:eastAsia="en-US"/>
        </w:rPr>
      </w:pPr>
      <w:bookmarkStart w:id="9" w:name="sub_1"/>
      <w:r>
        <w:rPr>
          <w:rFonts w:eastAsia="Calibri"/>
          <w:sz w:val="24"/>
          <w:szCs w:val="24"/>
          <w:lang w:eastAsia="en-US"/>
        </w:rPr>
        <w:t>Приложение № 1 – Спецификация</w:t>
      </w:r>
      <w:bookmarkEnd w:id="9"/>
    </w:p>
    <w:p>
      <w:pPr>
        <w:pStyle w:val="Normal"/>
        <w:widowControl/>
        <w:shd w:val="clear" w:color="auto" w:fill="FFFFFF"/>
        <w:tabs>
          <w:tab w:val="clear" w:pos="708"/>
          <w:tab w:val="left" w:pos="0" w:leader="none"/>
        </w:tabs>
        <w:ind w:firstLine="709"/>
        <w:jc w:val="both"/>
        <w:rPr>
          <w:rFonts w:eastAsia="Calibri"/>
          <w:sz w:val="24"/>
          <w:szCs w:val="24"/>
          <w:lang w:eastAsia="en-US"/>
        </w:rPr>
      </w:pPr>
      <w:bookmarkStart w:id="10" w:name="sub_1_Копия_1"/>
      <w:r>
        <w:rPr>
          <w:rFonts w:eastAsia="Calibri"/>
          <w:sz w:val="24"/>
          <w:szCs w:val="24"/>
          <w:lang w:eastAsia="en-US"/>
        </w:rPr>
        <w:t>Приложение № 2 – Технические требования</w:t>
      </w:r>
      <w:bookmarkEnd w:id="10"/>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left="360" w:hanging="0"/>
        <w:rPr>
          <w:b/>
          <w:bCs/>
          <w:sz w:val="24"/>
          <w:szCs w:val="24"/>
        </w:rPr>
      </w:pPr>
      <w:r>
        <w:rPr>
          <w:b/>
          <w:bCs/>
          <w:sz w:val="24"/>
          <w:szCs w:val="24"/>
        </w:rPr>
      </w:r>
    </w:p>
    <w:tbl>
      <w:tblPr>
        <w:tblW w:w="9571"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4774"/>
        <w:gridCol w:w="4150"/>
        <w:gridCol w:w="647"/>
      </w:tblGrid>
      <w:tr>
        <w:trPr/>
        <w:tc>
          <w:tcPr>
            <w:tcW w:w="4774" w:type="dxa"/>
            <w:tcBorders/>
          </w:tcPr>
          <w:p>
            <w:pPr>
              <w:pStyle w:val="Normal"/>
              <w:widowControl w:val="false"/>
              <w:rPr>
                <w:sz w:val="24"/>
                <w:szCs w:val="24"/>
              </w:rPr>
            </w:pPr>
            <w:r>
              <w:rPr>
                <w:sz w:val="24"/>
                <w:szCs w:val="24"/>
              </w:rPr>
              <w:t>ПОКУПАТЕЛЬ:</w:t>
            </w:r>
          </w:p>
        </w:tc>
        <w:tc>
          <w:tcPr>
            <w:tcW w:w="4150" w:type="dxa"/>
            <w:tcBorders/>
          </w:tcPr>
          <w:p>
            <w:pPr>
              <w:pStyle w:val="Normal"/>
              <w:widowControl w:val="false"/>
              <w:rPr>
                <w:sz w:val="24"/>
                <w:szCs w:val="24"/>
              </w:rPr>
            </w:pPr>
            <w:r>
              <w:rPr>
                <w:sz w:val="24"/>
                <w:szCs w:val="24"/>
              </w:rPr>
              <w:t>ПОСТАВЩИК:</w:t>
            </w:r>
          </w:p>
        </w:tc>
        <w:tc>
          <w:tcPr>
            <w:tcW w:w="647" w:type="dxa"/>
            <w:tcBorders/>
          </w:tcPr>
          <w:p>
            <w:pPr>
              <w:pStyle w:val="Normal"/>
              <w:widowControl w:val="false"/>
              <w:rPr/>
            </w:pPr>
            <w:r>
              <w:rPr/>
            </w:r>
          </w:p>
        </w:tc>
      </w:tr>
      <w:tr>
        <w:trPr/>
        <w:tc>
          <w:tcPr>
            <w:tcW w:w="4774" w:type="dxa"/>
            <w:tcBorders/>
            <w:shd w:color="auto" w:fill="auto"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660049, Красноярский край, Г.О. Город Красноярск, г. Красноярск ул. Перенсона, 3 Д. 2А помещ. 1</w:t>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660049, Красноярский край, Г.О. Город Красноярск, г. Красноярск ул. Перенсона, 3 Д. 2А помещ. 1</w:t>
            </w:r>
          </w:p>
          <w:p>
            <w:pPr>
              <w:pStyle w:val="Normal"/>
              <w:widowControl w:val="false"/>
              <w:rPr>
                <w:sz w:val="24"/>
                <w:szCs w:val="24"/>
              </w:rPr>
            </w:pPr>
            <w:r>
              <w:rPr>
                <w:sz w:val="24"/>
                <w:szCs w:val="24"/>
              </w:rPr>
              <w:t>Филиал ПАО «РусГидро» -  «Зейская ГЭС»,</w:t>
            </w:r>
          </w:p>
          <w:p>
            <w:pPr>
              <w:pStyle w:val="Normal"/>
              <w:widowControl w:val="false"/>
              <w:rPr>
                <w:sz w:val="24"/>
                <w:szCs w:val="24"/>
              </w:rPr>
            </w:pPr>
            <w:r>
              <w:rPr>
                <w:sz w:val="24"/>
                <w:szCs w:val="24"/>
              </w:rPr>
              <w:t>Место нахождения филиала: 676244,</w:t>
            </w:r>
          </w:p>
          <w:p>
            <w:pPr>
              <w:pStyle w:val="Normal"/>
              <w:widowControl w:val="false"/>
              <w:rPr>
                <w:sz w:val="24"/>
                <w:szCs w:val="24"/>
              </w:rPr>
            </w:pPr>
            <w:r>
              <w:rPr>
                <w:sz w:val="24"/>
                <w:szCs w:val="24"/>
              </w:rPr>
              <w:t>Амурская область, г. Зея</w:t>
            </w:r>
          </w:p>
          <w:p>
            <w:pPr>
              <w:pStyle w:val="Normal"/>
              <w:widowControl w:val="false"/>
              <w:rPr>
                <w:sz w:val="24"/>
                <w:szCs w:val="24"/>
              </w:rPr>
            </w:pPr>
            <w:r>
              <w:rPr>
                <w:sz w:val="24"/>
                <w:szCs w:val="24"/>
              </w:rPr>
              <w:t>ИНН 2460066195, КПП филиала 280502001</w:t>
            </w:r>
          </w:p>
          <w:p>
            <w:pPr>
              <w:pStyle w:val="Normal"/>
              <w:widowControl w:val="false"/>
              <w:rPr>
                <w:sz w:val="24"/>
                <w:szCs w:val="24"/>
              </w:rPr>
            </w:pPr>
            <w:r>
              <w:rPr>
                <w:sz w:val="24"/>
                <w:szCs w:val="24"/>
              </w:rPr>
              <w:t>р/с 40702810503170007429</w:t>
            </w:r>
          </w:p>
          <w:p>
            <w:pPr>
              <w:pStyle w:val="Normal"/>
              <w:widowControl w:val="false"/>
              <w:rPr>
                <w:sz w:val="24"/>
                <w:szCs w:val="24"/>
              </w:rPr>
            </w:pPr>
            <w:r>
              <w:rPr>
                <w:sz w:val="24"/>
                <w:szCs w:val="24"/>
              </w:rPr>
              <w:t>Банк: Дальневосточный банк ПАО</w:t>
            </w:r>
          </w:p>
          <w:p>
            <w:pPr>
              <w:pStyle w:val="Normal"/>
              <w:widowControl w:val="false"/>
              <w:rPr>
                <w:sz w:val="24"/>
                <w:szCs w:val="24"/>
              </w:rPr>
            </w:pPr>
            <w:r>
              <w:rPr>
                <w:sz w:val="24"/>
                <w:szCs w:val="24"/>
              </w:rPr>
              <w:t>«Сбербанк России» г. Хабаровск</w:t>
            </w:r>
          </w:p>
          <w:p>
            <w:pPr>
              <w:pStyle w:val="Normal"/>
              <w:widowControl w:val="false"/>
              <w:rPr>
                <w:sz w:val="24"/>
                <w:szCs w:val="24"/>
              </w:rPr>
            </w:pPr>
            <w:r>
              <w:rPr>
                <w:sz w:val="24"/>
                <w:szCs w:val="24"/>
              </w:rPr>
              <w:t>кор. счет № 30101810600000000608 в ГРКЦ ГУ Банка России по Хабаровскому краю,</w:t>
            </w:r>
          </w:p>
          <w:p>
            <w:pPr>
              <w:pStyle w:val="Normal"/>
              <w:widowControl w:val="false"/>
              <w:rPr>
                <w:sz w:val="24"/>
                <w:szCs w:val="24"/>
              </w:rPr>
            </w:pPr>
            <w:r>
              <w:rPr>
                <w:sz w:val="24"/>
                <w:szCs w:val="24"/>
              </w:rPr>
              <w:t>БИК 040813608</w:t>
            </w:r>
          </w:p>
          <w:p>
            <w:pPr>
              <w:pStyle w:val="Normal"/>
              <w:widowControl w:val="false"/>
              <w:rPr>
                <w:sz w:val="24"/>
                <w:szCs w:val="24"/>
              </w:rPr>
            </w:pPr>
            <w:r>
              <w:rPr>
                <w:sz w:val="24"/>
                <w:szCs w:val="24"/>
              </w:rPr>
              <w:t>ОКПО 97995395</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150" w:type="dxa"/>
            <w:tcBorders/>
            <w:shd w:color="auto" w:fill="auto" w:val="clear"/>
          </w:tcPr>
          <w:p>
            <w:pPr>
              <w:pStyle w:val="Normal"/>
              <w:widowControl w:val="false"/>
              <w:rPr>
                <w:sz w:val="24"/>
                <w:szCs w:val="24"/>
              </w:rPr>
            </w:pPr>
            <w:r>
              <w:rPr>
                <w:sz w:val="24"/>
                <w:szCs w:val="24"/>
              </w:rPr>
            </w:r>
          </w:p>
          <w:p>
            <w:pPr>
              <w:pStyle w:val="Style26"/>
              <w:widowControl w:val="false"/>
              <w:spacing w:before="40" w:after="40"/>
              <w:rPr/>
            </w:pPr>
            <w:r>
              <w:rPr/>
            </w:r>
          </w:p>
        </w:tc>
        <w:tc>
          <w:tcPr>
            <w:tcW w:w="647" w:type="dxa"/>
            <w:tcBorders/>
          </w:tcPr>
          <w:p>
            <w:pPr>
              <w:pStyle w:val="Normal"/>
              <w:widowControl w:val="false"/>
              <w:rPr/>
            </w:pPr>
            <w:r>
              <w:rPr/>
            </w:r>
          </w:p>
        </w:tc>
      </w:tr>
      <w:tr>
        <w:trPr/>
        <w:tc>
          <w:tcPr>
            <w:tcW w:w="4774" w:type="dxa"/>
            <w:tcBorders/>
          </w:tcPr>
          <w:p>
            <w:pPr>
              <w:pStyle w:val="Normal"/>
              <w:widowControl w:val="false"/>
              <w:rPr>
                <w:sz w:val="24"/>
                <w:szCs w:val="24"/>
              </w:rPr>
            </w:pPr>
            <w:r>
              <w:rPr>
                <w:sz w:val="24"/>
                <w:szCs w:val="24"/>
              </w:rPr>
              <w:t xml:space="preserve">Директор </w:t>
              <w:br/>
              <w:t>ПАО «РусГидро» -«Зейская ГЭС»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 М.А. Сухомесов</w:t>
            </w:r>
          </w:p>
        </w:tc>
        <w:tc>
          <w:tcPr>
            <w:tcW w:w="4797" w:type="dxa"/>
            <w:gridSpan w:val="2"/>
            <w:tcBorders/>
          </w:tcPr>
          <w:p>
            <w:pPr>
              <w:pStyle w:val="Style26"/>
              <w:widowControl w:val="false"/>
              <w:spacing w:before="40" w:after="40"/>
              <w:rPr>
                <w:szCs w:val="24"/>
              </w:rPr>
            </w:pPr>
            <w:r>
              <w:rPr>
                <w:szCs w:val="24"/>
              </w:rPr>
            </w:r>
          </w:p>
          <w:p>
            <w:pPr>
              <w:pStyle w:val="Style26"/>
              <w:widowControl w:val="false"/>
              <w:rPr>
                <w:sz w:val="28"/>
                <w:szCs w:val="28"/>
              </w:rPr>
            </w:pPr>
            <w:r>
              <w:rPr>
                <w:sz w:val="28"/>
                <w:szCs w:val="28"/>
              </w:rPr>
            </w:r>
          </w:p>
          <w:p>
            <w:pPr>
              <w:pStyle w:val="Style26"/>
              <w:widowControl w:val="false"/>
              <w:rPr>
                <w:sz w:val="28"/>
                <w:szCs w:val="28"/>
              </w:rPr>
            </w:pPr>
            <w:r>
              <w:rPr>
                <w:sz w:val="28"/>
                <w:szCs w:val="28"/>
              </w:rPr>
            </w:r>
          </w:p>
          <w:p>
            <w:pPr>
              <w:pStyle w:val="Normal"/>
              <w:widowControl w:val="false"/>
              <w:rPr>
                <w:sz w:val="24"/>
                <w:szCs w:val="24"/>
              </w:rPr>
            </w:pPr>
            <w:r>
              <w:rPr>
                <w:sz w:val="28"/>
                <w:szCs w:val="28"/>
              </w:rPr>
              <w:t>___</w:t>
            </w:r>
            <w:r>
              <w:rPr>
                <w:sz w:val="24"/>
                <w:szCs w:val="24"/>
              </w:rPr>
              <w:t>________________</w:t>
            </w:r>
          </w:p>
        </w:tc>
      </w:tr>
    </w:tbl>
    <w:p>
      <w:pPr>
        <w:pStyle w:val="Normal"/>
        <w:ind w:right="96" w:hanging="0"/>
        <w:rPr>
          <w:b/>
          <w:bCs/>
          <w:sz w:val="24"/>
          <w:szCs w:val="24"/>
        </w:rPr>
      </w:pPr>
      <w:r>
        <w:rPr>
          <w:b/>
          <w:bCs/>
          <w:sz w:val="24"/>
          <w:szCs w:val="24"/>
        </w:rPr>
      </w:r>
      <w:bookmarkStart w:id="11" w:name="_GoBack"/>
      <w:bookmarkStart w:id="12" w:name="_GoBack"/>
      <w:bookmarkEnd w:id="12"/>
    </w:p>
    <w:p>
      <w:pPr>
        <w:pStyle w:val="Normal"/>
        <w:ind w:right="96" w:hanging="0"/>
        <w:rPr>
          <w:b/>
          <w:bCs/>
          <w:sz w:val="24"/>
          <w:szCs w:val="24"/>
        </w:rPr>
      </w:pPr>
      <w:r>
        <w:rPr>
          <w:b/>
          <w:bCs/>
          <w:sz w:val="24"/>
          <w:szCs w:val="24"/>
        </w:rPr>
      </w:r>
    </w:p>
    <w:p>
      <w:pPr>
        <w:pStyle w:val="Normal"/>
        <w:ind w:right="96" w:hanging="0"/>
        <w:rPr>
          <w:b/>
          <w:bCs/>
          <w:sz w:val="24"/>
          <w:szCs w:val="24"/>
        </w:rPr>
      </w:pPr>
      <w:r>
        <w:rPr>
          <w:b/>
          <w:bCs/>
          <w:sz w:val="24"/>
          <w:szCs w:val="24"/>
        </w:rPr>
      </w:r>
    </w:p>
    <w:p>
      <w:pPr>
        <w:pStyle w:val="Normal"/>
        <w:ind w:right="96" w:hanging="0"/>
        <w:rPr>
          <w:b/>
          <w:bCs/>
          <w:sz w:val="24"/>
          <w:szCs w:val="24"/>
        </w:rPr>
      </w:pPr>
      <w:r>
        <w:rPr>
          <w:b/>
          <w:bCs/>
          <w:sz w:val="24"/>
          <w:szCs w:val="24"/>
        </w:rPr>
      </w:r>
    </w:p>
    <w:p>
      <w:pPr>
        <w:pStyle w:val="Normal"/>
        <w:ind w:right="96" w:hanging="0"/>
        <w:rPr>
          <w:b/>
          <w:bCs/>
          <w:sz w:val="24"/>
          <w:szCs w:val="24"/>
        </w:rPr>
      </w:pPr>
      <w:r>
        <w:rPr/>
      </w:r>
    </w:p>
    <w:sectPr>
      <w:headerReference w:type="default" r:id="rId5"/>
      <w:footerReference w:type="default" r:id="rId6"/>
      <w:type w:val="nextPage"/>
      <w:pgSz w:w="11906" w:h="16838"/>
      <w:pgMar w:left="1418" w:right="851" w:gutter="0" w:header="567" w:top="1134" w:footer="709" w:bottom="1134"/>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17</w:t>
    </w:r>
    <w:r>
      <w:rPr>
        <w:sz w:val="24"/>
        <w:szCs w:val="24"/>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paragraph" w:styleId="Style18">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Style20"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1" w:customStyle="1">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2"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3"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odyTextIndent">
    <w:name w:val="Body Text Indent"/>
    <w:basedOn w:val="Normal"/>
    <w:link w:val="Style11"/>
    <w:rsid w:val="00e00bca"/>
    <w:pPr>
      <w:spacing w:before="0" w:after="120"/>
      <w:ind w:left="283" w:hanging="0"/>
    </w:pPr>
    <w:rPr/>
  </w:style>
  <w:style w:type="paragraph" w:styleId="Style24"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5"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cs="Calibri" w:eastAsia="Times New Roman"/>
      <w:color w:val="auto"/>
      <w:kern w:val="0"/>
      <w:sz w:val="22"/>
      <w:szCs w:val="20"/>
      <w:lang w:val="ru-RU" w:eastAsia="ru-RU" w:bidi="ar-SA"/>
    </w:rPr>
  </w:style>
  <w:style w:type="paragraph" w:styleId="Style26" w:customStyle="1">
    <w:name w:val="Таблица текст"/>
    <w:basedOn w:val="Normal"/>
    <w:qFormat/>
    <w:pPr>
      <w:spacing w:before="40" w:after="40"/>
      <w:ind w:left="57" w:right="57" w:hanging="0"/>
    </w:pPr>
    <w:rPr>
      <w:sz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8">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CE90F3-82F5-4567-99AD-921189982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Application>AlterOffice/3.4.0.9$Linux_X86_64 LibreOffice_project/b8daf9e823b1a5463a2f48435ddc2e8696e7d4fc</Application>
  <AppVersion>15.0000</AppVersion>
  <Pages>17</Pages>
  <Words>6556</Words>
  <Characters>46436</Characters>
  <CharactersWithSpaces>52736</CharactersWithSpaces>
  <Paragraphs>242</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2024-05-07T07:07:00Z</dcterms:created>
  <dc:creator>tsypilev_ag</dc:creator>
  <dc:description/>
  <dc:language>ru-RU</dc:language>
  <cp:lastModifiedBy>klepikovasv@corp.gidroogk.com</cp:lastModifiedBy>
  <dcterms:modified xsi:type="dcterms:W3CDTF">2026-07-27T08:35:15Z</dcterms:modified>
  <cp:revision>16</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