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uppressAutoHyphens w:val="true"/>
        <w:jc w:val="center"/>
        <w:rPr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Запрос технико-коммерческих предложений</w:t>
      </w:r>
    </w:p>
    <w:p>
      <w:pPr>
        <w:pStyle w:val="Normal"/>
        <w:keepNext w:val="true"/>
        <w:keepLines/>
        <w:suppressAutoHyphens w:val="true"/>
        <w:jc w:val="center"/>
        <w:rPr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 xml:space="preserve">для проведения мониторинга цен </w:t>
      </w:r>
    </w:p>
    <w:p>
      <w:pPr>
        <w:pStyle w:val="Normal"/>
        <w:keepNext w:val="true"/>
        <w:keepLines/>
        <w:suppressAutoHyphens w:val="true"/>
        <w:spacing w:before="0" w:after="0"/>
        <w:jc w:val="center"/>
        <w:rPr>
          <w:b w:val="false"/>
          <w:bCs w:val="false"/>
          <w:sz w:val="26"/>
          <w:szCs w:val="26"/>
        </w:rPr>
      </w:pPr>
      <w:r>
        <w:rPr>
          <w:rFonts w:eastAsia="Calibri"/>
          <w:b w:val="false"/>
          <w:bCs w:val="false"/>
          <w:i w:val="false"/>
          <w:iCs w:val="false"/>
          <w:sz w:val="26"/>
          <w:szCs w:val="26"/>
        </w:rPr>
        <w:t>по лоту: «</w:t>
      </w:r>
      <w:r>
        <w:rPr>
          <w:rFonts w:eastAsia="Times New Roman" w:cs="Times New Roman"/>
          <w:b w:val="false"/>
          <w:bCs w:val="false"/>
          <w:i w:val="false"/>
          <w:iCs w:val="false"/>
          <w:sz w:val="26"/>
          <w:szCs w:val="26"/>
          <w:lang w:eastAsia="ru-RU"/>
        </w:rPr>
        <w:t>ОКПД2 71.12.19.100 Выполнение проекта санитарно-защитной зоны по обоснованию изменения границ установленной санитарно-защитной зоны для действующего объекта Мутновская ГеоЭС-1 (Лицензионный участок Верхнежировской-1, Верхнежировской-2 Верхнежировского МППВ по лицензии ПТР 00944ВЭ) с учетом перспективы развития: «Разработка проектно-сметной документации «Комплекс электроснабжения. Строительство Скалистой ГеоЭС»»</w:t>
      </w:r>
    </w:p>
    <w:p>
      <w:pPr>
        <w:pStyle w:val="Normal"/>
        <w:suppressAutoHyphens w:val="true"/>
        <w:spacing w:before="0" w:after="0"/>
        <w:jc w:val="center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0"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АО «Ленгидропроект» (далее – Заказчик) сообщает о проведении анализа технико-коммерческих предложений потенциальных поставщиков по лоту: </w:t>
      </w:r>
      <w:r>
        <w:rPr>
          <w:rFonts w:eastAsia="Calibri" w:cs="Times New Roman"/>
          <w:b w:val="false"/>
          <w:bCs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«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ОКПД2 71.12.19.100 Выполнение проекта санитарно-защитной зоны по обоснованию изменения границ установленной санитарно-защитной зоны для действующего объекта Мутновская ГеоЭС-1 (Лицензионный участок Верхнежировской-1, Верхнежировской-2 Верхнежировского МППВ по лицензии ПТР 00944ВЭ) с учетом перспективы развития: «Разработка проектно-сметной документации «Комплекс электроснабжения. Строительство Скалистой ГеоЭС»».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0"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выполняемых работ) приведены в Технических требованиях настоящего мониторинга (запроса).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/>
      </w:pPr>
      <w:r>
        <w:rPr/>
        <w:t xml:space="preserve">Настоящий запрос </w:t>
      </w:r>
      <w:r>
        <w:rPr>
          <w:b/>
        </w:rPr>
        <w:t>не является публичной офертой и не влечет за собой возникновения каких-либо обязательств для Заказчика</w:t>
      </w:r>
      <w:r>
        <w:rPr/>
        <w:t>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/>
      </w:pPr>
      <w:r>
        <w:rPr/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lang w:val="en-US"/>
        </w:rPr>
        <w:t> </w:t>
      </w:r>
      <w:r>
        <w:rPr/>
        <w:t>заверен подписью уполномоченного лица, а также печатью организации (при</w:t>
      </w:r>
      <w:r>
        <w:rPr>
          <w:lang w:val="en-US"/>
        </w:rPr>
        <w:t> </w:t>
      </w:r>
      <w:r>
        <w:rPr/>
        <w:t>наличии), и в обязательном порядке содержать следующую информацию: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>- дату направления предложения;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>- полное наименование организации, с указанием организационно-правовой формы (для юридических лиц);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 xml:space="preserve">- юридический адрес, почтовый адрес, ИНН </w:t>
      </w:r>
      <w:r>
        <w:rPr>
          <w:i/>
          <w:shd w:fill="FFFF99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i/>
          <w:shd w:fill="FFFF99" w:val="clear"/>
        </w:rPr>
        <w:t>[для физических лиц]</w:t>
      </w:r>
      <w:r>
        <w:rPr>
          <w:i/>
        </w:rPr>
        <w:t>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 xml:space="preserve">- 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60" w:after="60"/>
        <w:ind w:left="850" w:right="0" w:hanging="0"/>
        <w:contextualSpacing/>
        <w:jc w:val="both"/>
        <w:rPr/>
      </w:pPr>
      <w:r>
        <w:rPr/>
        <w:t>- цену предложения в рублях (без учета НДС).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/>
      </w:pPr>
      <w:r>
        <w:rPr/>
        <w:t>Срок подачи технико-коммерческих предложени</w:t>
      </w:r>
      <w:r>
        <w:rPr>
          <w:shd w:fill="auto" w:val="clear"/>
        </w:rPr>
        <w:t xml:space="preserve">й: </w:t>
      </w:r>
      <w:r>
        <w:rPr>
          <w:u w:val="single"/>
          <w:shd w:fill="auto" w:val="clear"/>
        </w:rPr>
        <w:t>до 08:00 31.07.2026 г.</w:t>
      </w:r>
      <w:r>
        <w:rPr>
          <w:shd w:fill="auto" w:val="clear"/>
        </w:rPr>
        <w:t xml:space="preserve"> 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/>
      </w:pPr>
      <w:r>
        <w:rPr/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>
        <w:r>
          <w:rPr>
            <w:rStyle w:val="Hyperlink"/>
          </w:rPr>
          <w:t>KozlovaES@lhp.ru</w:t>
        </w:r>
      </w:hyperlink>
      <w:r>
        <w:rPr/>
        <w:t>, рабочий телефон: +7 (812) 346-92-12.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51" w:leader="none"/>
        </w:tabs>
        <w:spacing w:lineRule="auto" w:line="276" w:before="60" w:after="60"/>
        <w:ind w:left="0" w:right="0" w:firstLine="567"/>
        <w:contextualSpacing/>
        <w:jc w:val="both"/>
        <w:rPr/>
      </w:pPr>
      <w:r>
        <w:rPr/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left="0" w:right="0" w:hanging="0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left="0" w:right="0" w:hanging="0"/>
        <w:contextualSpacing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</w:p>
    <w:p>
      <w:pPr>
        <w:pStyle w:val="Normal"/>
        <w:spacing w:before="0" w:after="0"/>
        <w:ind w:left="0" w:right="0" w:hanging="0"/>
        <w:contextualSpacing/>
        <w:jc w:val="center"/>
        <w:rPr>
          <w:sz w:val="26"/>
          <w:szCs w:val="26"/>
          <w:highlight w:val="none"/>
          <w:shd w:fill="auto" w:val="clear"/>
        </w:rPr>
      </w:pPr>
      <w:r>
        <w:rPr>
          <w:b/>
          <w:color w:val="0D0D0D" w:themeColor="text1" w:themeTint="f2"/>
          <w:sz w:val="26"/>
          <w:szCs w:val="26"/>
          <w:shd w:fill="auto" w:val="clear"/>
        </w:rPr>
        <w:t>ТЕХНИЧЕСКИЕ ТРЕБОВАНИЯ</w:t>
      </w:r>
      <w:r>
        <w:rPr>
          <w:color w:val="0D0D0D" w:themeColor="text1" w:themeTint="f2"/>
          <w:sz w:val="26"/>
          <w:szCs w:val="26"/>
          <w:shd w:fill="auto" w:val="clear"/>
        </w:rPr>
        <w:t xml:space="preserve"> </w:t>
      </w:r>
    </w:p>
    <w:p>
      <w:pPr>
        <w:pStyle w:val="Normal"/>
        <w:spacing w:lineRule="auto" w:line="240"/>
        <w:ind w:hanging="0"/>
        <w:jc w:val="center"/>
        <w:rPr>
          <w:sz w:val="26"/>
          <w:szCs w:val="26"/>
          <w:highlight w:val="none"/>
          <w:shd w:fill="auto" w:val="clear"/>
        </w:rPr>
      </w:pPr>
      <w:r>
        <w:rPr>
          <w:rFonts w:eastAsia="Calibri" w:eastAsiaTheme="minorHAnsi"/>
          <w:b/>
          <w:sz w:val="26"/>
          <w:szCs w:val="26"/>
          <w:shd w:fill="auto" w:val="clear"/>
        </w:rPr>
        <w:t>для проведения мониторинга рынка</w:t>
      </w:r>
    </w:p>
    <w:p>
      <w:pPr>
        <w:pStyle w:val="Normal"/>
        <w:spacing w:lineRule="auto" w:line="240"/>
        <w:ind w:hanging="0"/>
        <w:jc w:val="center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p>
      <w:pPr>
        <w:pStyle w:val="Normal"/>
        <w:spacing w:before="0" w:after="0"/>
        <w:ind w:left="0" w:right="0" w:hanging="0"/>
        <w:contextualSpacing/>
        <w:jc w:val="center"/>
        <w:rPr>
          <w:b w:val="false"/>
          <w:bCs w:val="false"/>
        </w:rPr>
      </w:pPr>
      <w:r>
        <w:rPr>
          <w:rFonts w:eastAsia="Times New Roman" w:cs="Times New Roman"/>
          <w:b w:val="false"/>
          <w:bCs w:val="false"/>
          <w:sz w:val="26"/>
          <w:szCs w:val="26"/>
          <w:lang w:eastAsia="ru-RU"/>
        </w:rPr>
        <w:t>ОКПД2 71.12.19.100 Выполнение проекта санитарно-защитной зоны по обоснованию изменения границ установленной санитарно-защитной зоны для действующего объекта Мутновская ГеоЭС-1 (Лицензионный участок Верхнежировской-1, Верхнежировской-2 Верхнежировского МППВ по лицензии ПТР 00944ВЭ) с учетом перспективы развития: «Разработка проектно-сметной документации «Комплекс электроснабжения. Строительство Скалистой ГеоЭС»</w:t>
      </w:r>
    </w:p>
    <w:p>
      <w:pPr>
        <w:pStyle w:val="Normal"/>
        <w:spacing w:before="0" w:after="0"/>
        <w:ind w:left="0" w:right="0" w:hanging="0"/>
        <w:contextualSpacing/>
        <w:jc w:val="both"/>
        <w:rPr>
          <w:color w:val="0D0D0D" w:themeColor="text1" w:themeTint="f2"/>
        </w:rPr>
      </w:pPr>
      <w:r>
        <w:rPr>
          <w:color w:val="0D0D0D" w:themeColor="text1" w:themeTint="f2"/>
        </w:rPr>
      </w:r>
    </w:p>
    <w:p>
      <w:pPr>
        <w:pStyle w:val="Normal"/>
        <w:spacing w:before="0" w:after="0"/>
        <w:ind w:left="0" w:right="0" w:hanging="0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83" w:leader="dot"/>
            </w:tabs>
            <w:rPr/>
          </w:pPr>
          <w:r>
            <w:fldChar w:fldCharType="begin"/>
          </w:r>
          <w:r>
            <w:rPr>
              <w:webHidden/>
              <w:rStyle w:val="Style16"/>
              <w:vanish w:val="false"/>
            </w:rPr>
            <w:instrText xml:space="preserve"> TOC \z \o "1-4" \u \h</w:instrText>
          </w:r>
          <w:r>
            <w:rPr>
              <w:webHidden/>
              <w:rStyle w:val="Style16"/>
              <w:vanish w:val="false"/>
            </w:rPr>
            <w:fldChar w:fldCharType="separate"/>
          </w:r>
          <w:hyperlink w:anchor="__RefHeading___Toc9937_2187112983">
            <w:r>
              <w:rPr>
                <w:webHidden/>
                <w:rStyle w:val="Style16"/>
                <w:vanish w:val="false"/>
              </w:rPr>
              <w:t>1. Общие сведения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9939_2187112983">
            <w:r>
              <w:rPr>
                <w:webHidden/>
                <w:rStyle w:val="Style16"/>
                <w:vanish w:val="false"/>
              </w:rPr>
              <w:t xml:space="preserve">1.1. </w:t>
            </w:r>
            <w:r>
              <w:rPr>
                <w:rStyle w:val="Style16"/>
                <w:i w:val="false"/>
                <w:iCs w:val="false"/>
              </w:rPr>
              <w:t>Обозначения и сокращения</w:t>
            </w:r>
            <w:r>
              <w:rPr>
                <w:rStyle w:val="Style16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9941_2187112983">
            <w:r>
              <w:rPr>
                <w:webHidden/>
                <w:rStyle w:val="Style16"/>
                <w:i w:val="false"/>
                <w:iCs w:val="false"/>
                <w:vanish w:val="false"/>
              </w:rPr>
              <w:t xml:space="preserve">1.2. </w:t>
            </w:r>
            <w:r>
              <w:rPr>
                <w:rStyle w:val="Style16"/>
                <w:i w:val="false"/>
                <w:iCs w:val="false"/>
              </w:rPr>
              <w:t>Наименование закупаемой продукции</w:t>
            </w:r>
            <w:r>
              <w:rPr>
                <w:rStyle w:val="Style16"/>
              </w:rPr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9945_2187112983">
            <w:r>
              <w:rPr>
                <w:webHidden/>
                <w:rStyle w:val="Style16"/>
                <w:i w:val="false"/>
                <w:iCs w:val="false"/>
                <w:vanish w:val="false"/>
              </w:rPr>
              <w:t>1.3. Цель выполнения работ</w:t>
            </w:r>
            <w:r>
              <w:rPr>
                <w:rStyle w:val="Style16"/>
              </w:rPr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9953_2187112983">
            <w:r>
              <w:rPr>
                <w:webHidden/>
                <w:rStyle w:val="Style16"/>
                <w:i w:val="false"/>
                <w:iCs w:val="false"/>
                <w:vanish w:val="false"/>
              </w:rPr>
              <w:t>1.4. Существующее положение</w:t>
            </w:r>
            <w:r>
              <w:rPr>
                <w:rStyle w:val="Style16"/>
              </w:rPr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83" w:leader="dot"/>
            </w:tabs>
            <w:rPr/>
          </w:pPr>
          <w:hyperlink w:anchor="__RefHeading___Toc9955_2187112983">
            <w:r>
              <w:rPr>
                <w:webHidden/>
                <w:rStyle w:val="Style16"/>
                <w:vanish w:val="false"/>
              </w:rPr>
              <w:t>Таблица 1. Перечень объектов заказчика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9947_2187112983_%D0%9A%D0%BE%D0%BF%D0%B8%D1%8F_">
            <w:r>
              <w:rPr>
                <w:webHidden/>
                <w:rStyle w:val="Style16"/>
                <w:i w:val="false"/>
                <w:iCs w:val="false"/>
                <w:vanish w:val="false"/>
              </w:rPr>
              <w:t>1.5. Комплекс задач, решаемых строительством</w:t>
            </w:r>
            <w:r>
              <w:rPr>
                <w:rStyle w:val="Style16"/>
              </w:rPr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19223_463198939">
            <w:r>
              <w:rPr>
                <w:webHidden/>
                <w:rStyle w:val="Style16"/>
                <w:i w:val="false"/>
                <w:iCs w:val="false"/>
                <w:vanish w:val="false"/>
              </w:rPr>
              <w:t>1.6. Общие требования при проведении мониторинга цен</w:t>
            </w:r>
            <w:r>
              <w:rPr>
                <w:rStyle w:val="Style16"/>
              </w:rPr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83" w:leader="dot"/>
            </w:tabs>
            <w:rPr/>
          </w:pPr>
          <w:hyperlink w:anchor="__RefHeading___Toc17806_2187112983">
            <w:r>
              <w:rPr>
                <w:webHidden/>
                <w:rStyle w:val="Style16"/>
                <w:vanish w:val="false"/>
              </w:rPr>
              <w:t>2. Требования к продукции</w:t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9959_2187112983">
            <w:r>
              <w:rPr>
                <w:webHidden/>
                <w:rStyle w:val="Style16"/>
                <w:i w:val="false"/>
                <w:iCs w:val="false"/>
                <w:vanish w:val="false"/>
              </w:rPr>
              <w:t>2.1. Требования к объемам и срокам выполнения работ</w:t>
            </w:r>
            <w:r>
              <w:rPr>
                <w:rStyle w:val="Style16"/>
              </w:rPr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9961_2187112983">
            <w:r>
              <w:rPr>
                <w:webHidden/>
                <w:rStyle w:val="Style16"/>
                <w:i w:val="false"/>
                <w:iCs w:val="false"/>
                <w:vanish w:val="false"/>
              </w:rPr>
              <w:t>2.1.1. Требования к видам и объемам работ</w:t>
            </w:r>
            <w:r>
              <w:rPr>
                <w:rStyle w:val="Style16"/>
              </w:rPr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83" w:leader="dot"/>
            </w:tabs>
            <w:rPr/>
          </w:pPr>
          <w:hyperlink w:anchor="__RefHeading___Toc9963_2187112983">
            <w:r>
              <w:rPr>
                <w:webHidden/>
                <w:rStyle w:val="Style16"/>
                <w:vanish w:val="false"/>
              </w:rPr>
              <w:t>Таблица 2. Перечень и объем выполняемых работ</w:t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9965_2187112983">
            <w:r>
              <w:rPr>
                <w:webHidden/>
                <w:rStyle w:val="Style16"/>
                <w:i w:val="false"/>
                <w:iCs w:val="false"/>
                <w:vanish w:val="false"/>
              </w:rPr>
              <w:t>2.1.2. Требования к срокам выполнения работ</w:t>
            </w:r>
            <w:r>
              <w:rPr>
                <w:rStyle w:val="Style16"/>
              </w:rPr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83" w:leader="dot"/>
            </w:tabs>
            <w:rPr/>
          </w:pPr>
          <w:hyperlink w:anchor="__RefHeading___Toc9967_2187112983">
            <w:r>
              <w:rPr>
                <w:webHidden/>
                <w:rStyle w:val="Style16"/>
                <w:vanish w:val="false"/>
              </w:rPr>
              <w:t>Таблица 3. Требования по срокам выполнения работ</w:t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9983" w:leader="dot"/>
            </w:tabs>
            <w:rPr/>
          </w:pPr>
          <w:hyperlink w:anchor="__RefHeading___Toc9969_2187112983">
            <w:r>
              <w:rPr>
                <w:webHidden/>
                <w:rStyle w:val="Style16"/>
                <w:i w:val="false"/>
                <w:iCs w:val="false"/>
                <w:vanish w:val="false"/>
              </w:rPr>
              <w:t>2.2. Требования к качеству работ</w:t>
            </w:r>
            <w:r>
              <w:rPr>
                <w:rStyle w:val="Style16"/>
              </w:rPr>
              <w:tab/>
              <w:t>8</w:t>
            </w:r>
          </w:hyperlink>
        </w:p>
        <w:p>
          <w:pPr>
            <w:pStyle w:val="TOC1"/>
            <w:tabs>
              <w:tab w:val="clear" w:pos="708"/>
              <w:tab w:val="right" w:pos="9983" w:leader="dot"/>
            </w:tabs>
            <w:rPr/>
          </w:pPr>
          <w:hyperlink w:anchor="__RefHeading___Toc9971_2187112983">
            <w:r>
              <w:rPr>
                <w:webHidden/>
                <w:rStyle w:val="Style16"/>
                <w:vanish w:val="false"/>
              </w:rPr>
              <w:t>Таблица 4. Требования к качеству работ</w:t>
              <w:tab/>
              <w:t>8</w:t>
            </w:r>
          </w:hyperlink>
        </w:p>
        <w:p>
          <w:pPr>
            <w:pStyle w:val="TOC1"/>
            <w:tabs>
              <w:tab w:val="clear" w:pos="708"/>
              <w:tab w:val="right" w:pos="9983" w:leader="dot"/>
            </w:tabs>
            <w:rPr/>
          </w:pPr>
          <w:hyperlink w:anchor="__RefHeading___Toc12008_3645919304">
            <w:r>
              <w:rPr>
                <w:webHidden/>
                <w:rStyle w:val="Style16"/>
                <w:vanish w:val="false"/>
              </w:rPr>
              <w:t>3. Состав заявки для мониторинга цен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9983" w:leader="dot"/>
            </w:tabs>
            <w:rPr/>
          </w:pPr>
          <w:hyperlink w:anchor="__RefHeading___Toc9021_2986068082">
            <w:r>
              <w:rPr>
                <w:webHidden/>
                <w:rStyle w:val="Style16"/>
                <w:vanish w:val="false"/>
              </w:rPr>
              <w:t>4. Приложения</w:t>
              <w:tab/>
              <w:t>12</w:t>
            </w:r>
          </w:hyperlink>
          <w:r>
            <w:rPr>
              <w:rStyle w:val="Style16"/>
              <w:vanish w:val="false"/>
            </w:rPr>
            <w:fldChar w:fldCharType="end"/>
          </w:r>
        </w:p>
      </w:sdtContent>
    </w:sdt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firstLine="709"/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</w:r>
    </w:p>
    <w:p>
      <w:pPr>
        <w:pStyle w:val="Normal"/>
        <w:spacing w:lineRule="auto" w:line="259" w:before="0" w:after="160"/>
        <w:rPr>
          <w:rFonts w:eastAsia="Calibri"/>
          <w:b/>
          <w:sz w:val="28"/>
          <w:szCs w:val="28"/>
          <w:lang w:eastAsia="x-none"/>
        </w:rPr>
      </w:pPr>
      <w:r>
        <w:rPr>
          <w:rFonts w:eastAsia="Calibri"/>
          <w:b/>
          <w:sz w:val="28"/>
          <w:szCs w:val="28"/>
          <w:lang w:eastAsia="x-none"/>
        </w:rPr>
      </w:r>
      <w:bookmarkStart w:id="0" w:name="_Toc51339692"/>
      <w:bookmarkStart w:id="1" w:name="_Toc51339692"/>
      <w:bookmarkEnd w:id="1"/>
      <w:r>
        <w:br w:type="page"/>
      </w:r>
    </w:p>
    <w:p>
      <w:pPr>
        <w:pStyle w:val="Heading1"/>
        <w:numPr>
          <w:ilvl w:val="0"/>
          <w:numId w:val="8"/>
        </w:numPr>
        <w:spacing w:before="280" w:after="280"/>
        <w:jc w:val="center"/>
        <w:rPr>
          <w:sz w:val="26"/>
          <w:szCs w:val="26"/>
        </w:rPr>
      </w:pPr>
      <w:bookmarkStart w:id="2" w:name="__RefHeading___Toc9937_2187112983"/>
      <w:bookmarkStart w:id="3" w:name="_Toc180578176"/>
      <w:bookmarkStart w:id="4" w:name="_Toc180500092"/>
      <w:bookmarkStart w:id="5" w:name="_Toc144906330"/>
      <w:bookmarkStart w:id="6" w:name="_Toc144906169"/>
      <w:bookmarkEnd w:id="2"/>
      <w:bookmarkEnd w:id="5"/>
      <w:bookmarkEnd w:id="6"/>
      <w:r>
        <w:rPr>
          <w:sz w:val="26"/>
          <w:szCs w:val="26"/>
        </w:rPr>
        <w:t>Общие сведения</w:t>
      </w:r>
      <w:bookmarkEnd w:id="3"/>
      <w:bookmarkEnd w:id="4"/>
    </w:p>
    <w:p>
      <w:pPr>
        <w:pStyle w:val="Heading4"/>
        <w:numPr>
          <w:ilvl w:val="1"/>
          <w:numId w:val="3"/>
        </w:numPr>
        <w:rPr>
          <w:rFonts w:ascii="Times New Roman" w:hAnsi="Times New Roman"/>
          <w:b/>
          <w:bCs/>
          <w:i w:val="false"/>
          <w:i w:val="false"/>
          <w:iCs w:val="false"/>
          <w:color w:val="000000"/>
          <w:sz w:val="24"/>
          <w:szCs w:val="24"/>
        </w:rPr>
      </w:pPr>
      <w:bookmarkStart w:id="7" w:name="__RefHeading___Toc9939_2187112983"/>
      <w:bookmarkStart w:id="8" w:name="_Toc54646396"/>
      <w:bookmarkStart w:id="9" w:name="_Toc144906331"/>
      <w:bookmarkStart w:id="10" w:name="_Toc180578177"/>
      <w:bookmarkStart w:id="11" w:name="_Toc46743505"/>
      <w:bookmarkStart w:id="12" w:name="_Toc51339692_Копия_1"/>
      <w:bookmarkStart w:id="13" w:name="_Toc144906169_Копия_1"/>
      <w:bookmarkStart w:id="14" w:name="_Toc144906330_Копия_1"/>
      <w:bookmarkEnd w:id="7"/>
      <w:bookmarkEnd w:id="12"/>
      <w:bookmarkEnd w:id="13"/>
      <w:bookmarkEnd w:id="14"/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</w:rPr>
        <w:t>Обозначения и сокращения</w:t>
      </w:r>
      <w:bookmarkEnd w:id="8"/>
      <w:bookmarkEnd w:id="9"/>
      <w:bookmarkEnd w:id="10"/>
      <w:bookmarkEnd w:id="11"/>
    </w:p>
    <w:tbl>
      <w:tblPr>
        <w:tblW w:w="983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45"/>
        <w:gridCol w:w="7991"/>
      </w:tblGrid>
      <w:tr>
        <w:trPr>
          <w:trHeight w:val="286" w:hRule="atLeast"/>
          <w:cantSplit w:val="true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ГеоЭС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Геотермальная электростанция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ГОСТ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Государственный стандарт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Заказчик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АО «Ленгидропроект»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ЕГРН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Единый государственный реестр недвижимости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МППВ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Organictextcontentspan"/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Месторождение пресных подземных вод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СанПиН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Санитарно-эпидемиологические правила и нормативы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СЗЗ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Санитарно-защитная зона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СНиП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Строительные нормы и правила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СП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Свод правил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ТТ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Технические требования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ТУ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Территориальное управление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УГМС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Управление по гидрометеорологии и мониторингу окружающей среды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ФБУЗ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Федеральное бюджетное учреждение здравоохранения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ФГБУ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Федеральное государственное бюджетное учреждение</w:t>
            </w:r>
          </w:p>
        </w:tc>
      </w:tr>
      <w:tr>
        <w:trPr>
          <w:trHeight w:val="286" w:hRule="atLeast"/>
          <w:cantSplit w:val="true"/>
        </w:trPr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ФЗ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Федеральный закон</w:t>
            </w:r>
          </w:p>
        </w:tc>
      </w:tr>
    </w:tbl>
    <w:p>
      <w:pPr>
        <w:pStyle w:val="Heading4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Normal"/>
        <w:rPr>
          <w:b w:val="false"/>
          <w:color w:val="0D0D0D" w:themeColor="text1" w:themeTint="f2"/>
          <w:sz w:val="26"/>
          <w:szCs w:val="26"/>
        </w:rPr>
      </w:pPr>
      <w:r>
        <w:rPr>
          <w:b w:val="false"/>
          <w:color w:val="0D0D0D" w:themeColor="text1" w:themeTint="f2"/>
          <w:sz w:val="26"/>
          <w:szCs w:val="26"/>
        </w:rPr>
      </w:r>
    </w:p>
    <w:p>
      <w:pPr>
        <w:pStyle w:val="Heading4"/>
        <w:rPr>
          <w:rFonts w:ascii="Times New Roman" w:hAnsi="Times New Roman"/>
          <w:b/>
          <w:bCs/>
          <w:i w:val="false"/>
          <w:i w:val="false"/>
          <w:iCs w:val="false"/>
          <w:color w:val="000000"/>
          <w:sz w:val="24"/>
          <w:szCs w:val="24"/>
        </w:rPr>
      </w:pPr>
      <w:bookmarkStart w:id="15" w:name="__RefHeading___Toc9941_2187112983"/>
      <w:bookmarkStart w:id="16" w:name="_Toc144906332"/>
      <w:bookmarkStart w:id="17" w:name="_Toc180578178"/>
      <w:bookmarkEnd w:id="15"/>
      <w:r>
        <w:rPr>
          <w:rFonts w:ascii="Times New Roman" w:hAnsi="Times New Roman"/>
          <w:b/>
          <w:bCs/>
          <w:i w:val="false"/>
          <w:iCs w:val="false"/>
          <w:color w:val="000000" w:themeTint="f2"/>
          <w:sz w:val="24"/>
          <w:szCs w:val="24"/>
        </w:rPr>
        <w:t xml:space="preserve">1.2. </w:t>
      </w:r>
      <w:r>
        <w:rPr>
          <w:rFonts w:eastAsia="Calibri" w:ascii="Times New Roman" w:hAnsi="Times New Roman"/>
          <w:b/>
          <w:bCs/>
          <w:i w:val="false"/>
          <w:iCs w:val="false"/>
          <w:color w:val="000000"/>
          <w:kern w:val="0"/>
          <w:sz w:val="24"/>
          <w:szCs w:val="24"/>
          <w:lang w:eastAsia="x-none"/>
        </w:rPr>
        <w:t>Наименование закупаемой продукции</w:t>
      </w:r>
      <w:bookmarkEnd w:id="16"/>
      <w:bookmarkEnd w:id="17"/>
    </w:p>
    <w:p>
      <w:pPr>
        <w:pStyle w:val="Normal"/>
        <w:spacing w:before="0" w:after="0"/>
        <w:ind w:left="0" w:righ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ОКПД2 71.12.19.100 Выполнение проекта санитарно-защитной зоны по обоснованию изменения границ установленной санитарно-защитной зоны для действующего объекта Мутновская ГеоЭС-1 (Лицензионный участок Верхнежировской-1, Верхнежировской-2 Верхнежировского МППВ по лицензии ПТР 00944ВЭ) с учетом перспективы развития: «Разработка проектно-сметной документации «Комплекс электроснабжения. Строительство Скалистой ГеоЭС»</w:t>
      </w:r>
    </w:p>
    <w:p>
      <w:pPr>
        <w:pStyle w:val="Normal"/>
        <w:spacing w:before="0" w:after="0"/>
        <w:ind w:left="0" w:righ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Heading4"/>
        <w:rPr>
          <w:rFonts w:ascii="Times New Roman" w:hAnsi="Times New Roman"/>
          <w:b/>
          <w:bCs/>
          <w:i w:val="false"/>
          <w:i w:val="false"/>
          <w:iCs w:val="false"/>
          <w:color w:val="000000"/>
          <w:sz w:val="24"/>
          <w:szCs w:val="24"/>
        </w:rPr>
      </w:pPr>
      <w:bookmarkStart w:id="18" w:name="__RefHeading___Toc9945_2187112983"/>
      <w:bookmarkStart w:id="19" w:name="_Toc180578180"/>
      <w:bookmarkEnd w:id="18"/>
      <w:r>
        <w:rPr>
          <w:rFonts w:ascii="Times New Roman" w:hAnsi="Times New Roman"/>
          <w:b/>
          <w:bCs/>
          <w:i w:val="false"/>
          <w:iCs w:val="false"/>
          <w:color w:val="000000" w:themeTint="f2"/>
          <w:sz w:val="24"/>
          <w:szCs w:val="24"/>
        </w:rPr>
        <w:t>1.3. Цель выполнения работ</w:t>
      </w:r>
      <w:bookmarkEnd w:id="19"/>
    </w:p>
    <w:p>
      <w:pPr>
        <w:pStyle w:val="Normal"/>
        <w:tabs>
          <w:tab w:val="clear" w:pos="708"/>
          <w:tab w:val="left" w:pos="1134" w:leader="none"/>
        </w:tabs>
        <w:spacing w:before="0" w:after="0"/>
        <w:ind w:hanging="0"/>
        <w:contextualSpacing/>
        <w:jc w:val="both"/>
        <w:rPr/>
      </w:pPr>
      <w:r>
        <w:rPr>
          <w:bCs/>
          <w:sz w:val="24"/>
          <w:szCs w:val="24"/>
        </w:rPr>
        <w:t>Целью работы является корректировка и согласование проекта санитарно-защитной зоны д</w:t>
      </w:r>
      <w:r>
        <w:rPr>
          <w:color w:val="000000" w:themeColor="text1"/>
          <w:sz w:val="24"/>
          <w:szCs w:val="24"/>
        </w:rPr>
        <w:t>ля объекта «Мутновская ГеоЭС-1»</w:t>
      </w:r>
      <w:r>
        <w:rPr>
          <w:sz w:val="24"/>
          <w:szCs w:val="24"/>
        </w:rPr>
        <w:t xml:space="preserve"> (Лицензионный участок Верхнежировской-1, Верхнежировской-2 Верхнежировского МППВ по лицензии ПТР 00944ВЭ) с учетом перспективы развития: «Разработка проектно-сметной документации «Комплекс электроснабжения. Строительство Скалистой ГеоЭС</w:t>
      </w:r>
      <w:r>
        <w:rPr>
          <w:rStyle w:val="LHP1"/>
          <w:spacing w:val="-12"/>
          <w:sz w:val="24"/>
          <w:szCs w:val="24"/>
        </w:rPr>
        <w:t xml:space="preserve">» </w:t>
      </w:r>
      <w:r>
        <w:rPr>
          <w:bCs/>
          <w:sz w:val="24"/>
          <w:szCs w:val="24"/>
        </w:rPr>
        <w:t>в соответствии с Постановлением Правительства РФ № 222 от 03.03.2018 г. «Об утверждении Правил установления санитарно-защитных зон и использования земельных участков, расположенных в границах санитарно-защитных зон».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hanging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4"/>
        <w:rPr/>
      </w:pPr>
      <w:bookmarkStart w:id="20" w:name="__RefHeading___Toc9953_2187112983"/>
      <w:bookmarkStart w:id="21" w:name="_Toc180578184"/>
      <w:bookmarkEnd w:id="20"/>
      <w:r>
        <w:rPr>
          <w:rFonts w:eastAsia="" w:cs="" w:ascii="Times New Roman" w:hAnsi="Times New Roman"/>
          <w:b/>
          <w:bCs/>
          <w:i w:val="false"/>
          <w:iCs w:val="false"/>
          <w:color w:val="000000" w:themeTint="f2"/>
          <w:kern w:val="2"/>
          <w:sz w:val="24"/>
          <w:szCs w:val="24"/>
          <w:lang w:eastAsia="ru-RU"/>
        </w:rPr>
        <w:t>1.4. Существующее положение</w:t>
      </w:r>
      <w:bookmarkEnd w:id="21"/>
    </w:p>
    <w:p>
      <w:pPr>
        <w:pStyle w:val="Normal"/>
        <w:tabs>
          <w:tab w:val="clear" w:pos="708"/>
          <w:tab w:val="left" w:pos="1134" w:leader="none"/>
        </w:tabs>
        <w:spacing w:before="0" w:after="0"/>
        <w:ind w:hanging="0"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  <w:lang w:val="x-none"/>
        </w:rPr>
        <w:t>Мутновская ГеоЭС-1 (</w:t>
      </w:r>
      <w:r>
        <w:rPr>
          <w:rFonts w:eastAsia="Times New Roman" w:cs="Times New Roman"/>
          <w:bCs/>
          <w:color w:val="0D0D0D" w:themeColor="text1" w:themeTint="f2"/>
          <w:kern w:val="0"/>
          <w:sz w:val="24"/>
          <w:szCs w:val="24"/>
          <w:lang w:val="ru-RU" w:eastAsia="ru-RU" w:bidi="ar-SA"/>
        </w:rPr>
        <w:t>Ска</w:t>
      </w:r>
      <w:r>
        <w:rPr>
          <w:rFonts w:eastAsia="Times New Roman" w:cs="Times New Roman"/>
          <w:bCs/>
          <w:color w:val="0D0D0D" w:themeColor="text1" w:themeTint="f2"/>
          <w:kern w:val="0"/>
          <w:sz w:val="24"/>
          <w:szCs w:val="24"/>
          <w:shd w:fill="auto" w:val="clear"/>
          <w:lang w:val="ru-RU" w:eastAsia="ru-RU" w:bidi="ar-SA"/>
        </w:rPr>
        <w:t>листая ГеоЭС)</w:t>
      </w:r>
      <w:r>
        <w:rPr>
          <w:bCs/>
          <w:color w:val="0D0D0D" w:themeColor="text1" w:themeTint="f2"/>
          <w:lang w:val="x-none"/>
        </w:rPr>
        <w:t xml:space="preserve"> представляет собой геотермальную электростанцию с</w:t>
      </w:r>
      <w:r>
        <w:rPr>
          <w:bCs/>
          <w:color w:val="0D0D0D" w:themeColor="text1" w:themeTint="f2"/>
        </w:rPr>
        <w:t xml:space="preserve"> </w:t>
      </w:r>
      <w:r>
        <w:rPr>
          <w:bCs/>
          <w:color w:val="0D0D0D" w:themeColor="text1" w:themeTint="f2"/>
          <w:lang w:val="x-none"/>
        </w:rPr>
        <w:t>прямым использованием пара. Установленная мощность электростанции — 50 МВт.</w:t>
      </w:r>
    </w:p>
    <w:p>
      <w:pPr>
        <w:pStyle w:val="Normal"/>
        <w:tabs>
          <w:tab w:val="clear" w:pos="708"/>
          <w:tab w:val="left" w:pos="1134" w:leader="none"/>
        </w:tabs>
        <w:spacing w:before="57" w:after="113"/>
        <w:ind w:hanging="0"/>
        <w:jc w:val="both"/>
        <w:rPr>
          <w:bCs/>
          <w:color w:val="0D0D0D" w:themeColor="text1" w:themeTint="f2"/>
          <w:lang w:val="x-none"/>
        </w:rPr>
      </w:pPr>
      <w:r>
        <w:rPr>
          <w:bCs/>
          <w:color w:val="0D0D0D" w:themeColor="text1" w:themeTint="f2"/>
          <w:lang w:val="x-none"/>
        </w:rPr>
        <w:t>Сооружения бинарного энергоблока Мутновской ГеоЭС-1</w:t>
      </w:r>
      <w:r>
        <w:rPr>
          <w:bCs/>
          <w:color w:val="0D0D0D" w:themeColor="text1" w:themeTint="f2"/>
        </w:rPr>
        <w:t xml:space="preserve"> (</w:t>
      </w:r>
      <w:r>
        <w:rPr>
          <w:rStyle w:val="LHP1"/>
          <w:spacing w:val="-12"/>
          <w:sz w:val="24"/>
        </w:rPr>
        <w:t>Скалистой ГеоЭС)</w:t>
      </w:r>
      <w:r>
        <w:rPr>
          <w:bCs/>
          <w:color w:val="0D0D0D" w:themeColor="text1" w:themeTint="f2"/>
          <w:lang w:val="x-none"/>
        </w:rPr>
        <w:t xml:space="preserve"> предполагается</w:t>
      </w:r>
      <w:r>
        <w:rPr>
          <w:bCs/>
          <w:color w:val="0D0D0D" w:themeColor="text1" w:themeTint="f2"/>
        </w:rPr>
        <w:t xml:space="preserve"> </w:t>
      </w:r>
      <w:r>
        <w:rPr>
          <w:bCs/>
          <w:color w:val="0D0D0D" w:themeColor="text1" w:themeTint="f2"/>
          <w:lang w:val="x-none"/>
        </w:rPr>
        <w:t>разместить в непосредственной близости от уже существующих.</w:t>
      </w:r>
    </w:p>
    <w:p>
      <w:pPr>
        <w:pStyle w:val="Normal"/>
        <w:spacing w:before="0" w:after="0"/>
        <w:ind w:hanging="0"/>
        <w:jc w:val="both"/>
        <w:rPr>
          <w:b w:val="false"/>
          <w:bCs w:val="false"/>
          <w:i w:val="false"/>
          <w:i w:val="false"/>
          <w:iCs w:val="false"/>
          <w:u w:val="single"/>
        </w:rPr>
      </w:pPr>
      <w:r>
        <w:rPr>
          <w:b w:val="false"/>
          <w:bCs w:val="false"/>
          <w:i w:val="false"/>
          <w:iCs w:val="false"/>
          <w:u w:val="single"/>
        </w:rPr>
        <w:t>Основные технико-экономические показатели объекта: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hanging="0"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Проектирование выполняется на площадке под проектируемые сооружения бинарного энергоблока Мутновской ГеоЭС-1 площадью 15 Га.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hanging="0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В составе проектируемых сооружений предполагаются: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- 2 турбоагрегата;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генератор;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- 2 питающих насоса;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- 2 блока смазочного и уплотнительного масла;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система охлаждения генератора;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бак для рабочей жидкости;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распределитель;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блок управления с офисным помещением и пожарным насосом;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резервуар пожарной воды;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- 2 воздушных охладителя;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- 2 испарителя;</w:t>
      </w:r>
    </w:p>
    <w:p>
      <w:pPr>
        <w:pStyle w:val="Normal"/>
        <w:tabs>
          <w:tab w:val="clear" w:pos="708"/>
          <w:tab w:val="left" w:pos="1134" w:leader="none"/>
        </w:tabs>
        <w:spacing w:before="0" w:after="113"/>
        <w:ind w:firstLine="709"/>
        <w:contextualSpacing/>
        <w:jc w:val="both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- 2 рекуператора.</w:t>
      </w:r>
    </w:p>
    <w:p>
      <w:pPr>
        <w:pStyle w:val="Normal"/>
        <w:tabs>
          <w:tab w:val="clear" w:pos="708"/>
          <w:tab w:val="left" w:pos="1134" w:leader="none"/>
        </w:tabs>
        <w:spacing w:before="0" w:after="113"/>
        <w:ind w:hanging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hanging="0"/>
        <w:contextualSpacing/>
        <w:jc w:val="both"/>
        <w:rPr>
          <w:color w:themeColor="text1" w:themeTint="f2"/>
          <w:highlight w:val="none"/>
          <w:shd w:fill="auto" w:val="clear"/>
        </w:rPr>
      </w:pPr>
      <w:r>
        <w:rPr>
          <w:bCs/>
          <w:color w:val="0D0D0D" w:themeColor="text1" w:themeTint="f2"/>
          <w:shd w:fill="auto" w:val="clear"/>
        </w:rPr>
        <w:t>Схема расположения площадки представлена в Приложении №2 к настоящим ТТ.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Heading1"/>
        <w:keepLines/>
        <w:spacing w:beforeAutospacing="0" w:before="0" w:afterAutospacing="0" w:after="0"/>
        <w:rPr>
          <w:sz w:val="24"/>
          <w:szCs w:val="24"/>
        </w:rPr>
      </w:pPr>
      <w:bookmarkStart w:id="22" w:name="__RefHeading___Toc9955_2187112983"/>
      <w:bookmarkStart w:id="23" w:name="_Toc180578185"/>
      <w:bookmarkEnd w:id="22"/>
      <w:r>
        <w:rPr>
          <w:sz w:val="24"/>
          <w:szCs w:val="24"/>
        </w:rPr>
        <w:t>Таблица 1. Перечень объектов заказчика</w:t>
      </w:r>
      <w:bookmarkEnd w:id="23"/>
    </w:p>
    <w:tbl>
      <w:tblPr>
        <w:tblW w:w="998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3"/>
        <w:gridCol w:w="3054"/>
        <w:gridCol w:w="3404"/>
        <w:gridCol w:w="2966"/>
      </w:tblGrid>
      <w:tr>
        <w:trPr>
          <w:trHeight w:val="495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Расположение объекта </w:t>
              <w:br/>
            </w:r>
            <w:r>
              <w:rPr>
                <w:iCs/>
                <w:sz w:val="22"/>
                <w:szCs w:val="22"/>
              </w:rPr>
              <w:t>(место производства работ)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</w:tr>
      <w:tr>
        <w:trPr>
          <w:trHeight w:val="156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140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Скалистая ГеоЭС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Федерация, Камчатский край, Елизовский район, Мутновское месторождение парогидротерм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Участки проектируемых сооружений бинарного энергоблока на площадке Мутновской ГеоЭС-1 </w:t>
            </w:r>
            <w:r>
              <w:rPr>
                <w:rFonts w:eastAsia="Times New Roman" w:cs="Times New Roman"/>
                <w:bCs/>
                <w:color w:val="0D0D0D" w:themeColor="text1" w:themeTint="f2"/>
                <w:sz w:val="22"/>
                <w:szCs w:val="22"/>
                <w:shd w:fill="auto" w:val="clear"/>
                <w:lang w:eastAsia="ru-RU"/>
              </w:rPr>
              <w:t>(</w:t>
            </w:r>
            <w:r>
              <w:rPr>
                <w:rFonts w:eastAsia="Times New Roman" w:cs="Times New Roman"/>
                <w:bCs/>
                <w:color w:val="0D0D0D" w:themeColor="text1" w:themeTint="f2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Скалистой ГеоЭС)</w:t>
            </w:r>
          </w:p>
        </w:tc>
      </w:tr>
    </w:tbl>
    <w:p>
      <w:pPr>
        <w:pStyle w:val="Heading4"/>
        <w:rPr>
          <w:rFonts w:ascii="Times New Roman" w:hAnsi="Times New Roman"/>
          <w:b/>
          <w:bCs/>
          <w:i w:val="false"/>
          <w:i w:val="false"/>
          <w:iCs w:val="false"/>
          <w:color w:val="000000"/>
        </w:rPr>
      </w:pPr>
      <w:bookmarkStart w:id="24" w:name="__RefHeading___Toc9947_2187112983_Копия_"/>
      <w:bookmarkStart w:id="25" w:name="_Toc180578181_Копия_1"/>
      <w:bookmarkStart w:id="26" w:name="_Toc179213693_Копия_1"/>
      <w:bookmarkEnd w:id="24"/>
      <w:r>
        <w:rPr>
          <w:rFonts w:ascii="Times New Roman" w:hAnsi="Times New Roman"/>
          <w:b/>
          <w:bCs/>
          <w:i w:val="false"/>
          <w:iCs w:val="false"/>
          <w:color w:val="000000"/>
        </w:rPr>
        <w:t>1.5.</w:t>
        <w:tab/>
        <w:t>Комплекс задач, решаемых строительством</w:t>
      </w:r>
      <w:bookmarkEnd w:id="25"/>
      <w:bookmarkEnd w:id="26"/>
    </w:p>
    <w:p>
      <w:pPr>
        <w:pStyle w:val="Normal"/>
        <w:tabs>
          <w:tab w:val="clear" w:pos="708"/>
          <w:tab w:val="left" w:pos="1134" w:leader="none"/>
        </w:tabs>
        <w:spacing w:before="0" w:after="0"/>
        <w:ind w:hanging="0"/>
        <w:contextualSpacing/>
        <w:jc w:val="both"/>
        <w:rPr>
          <w:rFonts w:ascii="Times New Roman" w:hAnsi="Times New Roman" w:eastAsia="Times New Roman" w:cs="Times New Roman"/>
          <w:bCs/>
          <w:color w:val="0D0D0D" w:themeColor="text1" w:themeTint="f2"/>
          <w:sz w:val="24"/>
          <w:szCs w:val="24"/>
          <w:lang w:eastAsia="ru-RU"/>
        </w:rPr>
      </w:pPr>
      <w:bookmarkStart w:id="27" w:name="__RefHeading___Toc9957_2187112983"/>
      <w:bookmarkEnd w:id="27"/>
      <w:r>
        <w:rPr>
          <w:rFonts w:eastAsia="Times New Roman" w:cs="Times New Roman"/>
          <w:bCs/>
          <w:color w:val="0D0D0D" w:themeColor="text1" w:themeTint="f2"/>
          <w:sz w:val="24"/>
          <w:szCs w:val="24"/>
          <w:lang w:eastAsia="ru-RU"/>
        </w:rPr>
        <w:t>Назначение объекта – увеличение мощности, действующей</w:t>
      </w:r>
      <w:r>
        <w:rPr>
          <w:rFonts w:eastAsia="Times New Roman" w:cs="Times New Roman"/>
          <w:bCs/>
          <w:color w:val="0D0D0D" w:themeColor="text1" w:themeTint="f2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/>
          <w:bCs/>
          <w:color w:val="0D0D0D" w:themeColor="text1" w:themeTint="f2"/>
          <w:sz w:val="24"/>
          <w:szCs w:val="24"/>
          <w:shd w:fill="auto" w:val="clear"/>
          <w:lang w:eastAsia="ru-RU"/>
        </w:rPr>
        <w:t>Мутновской ГеоЭС-1 (</w:t>
      </w:r>
      <w:r>
        <w:rPr>
          <w:rFonts w:eastAsia="Times New Roman" w:cs="Times New Roman"/>
          <w:bCs/>
          <w:color w:val="0D0D0D" w:themeColor="text1" w:themeTint="f2"/>
          <w:kern w:val="0"/>
          <w:sz w:val="24"/>
          <w:szCs w:val="24"/>
          <w:shd w:fill="auto" w:val="clear"/>
          <w:lang w:val="ru-RU" w:eastAsia="ru-RU" w:bidi="ar-SA"/>
        </w:rPr>
        <w:t>Скалистой ГеоЭС)</w:t>
      </w:r>
      <w:r>
        <w:rPr>
          <w:rFonts w:eastAsia="Times New Roman" w:cs="Times New Roman"/>
          <w:bCs/>
          <w:color w:val="0D0D0D" w:themeColor="text1" w:themeTint="f2"/>
          <w:sz w:val="24"/>
          <w:szCs w:val="24"/>
          <w:shd w:fill="auto" w:val="clear"/>
          <w:lang w:eastAsia="ru-RU"/>
        </w:rPr>
        <w:t>, выработка электроэнергии геотермальной электростанцией с бинарным цик</w:t>
      </w:r>
      <w:r>
        <w:rPr>
          <w:rFonts w:eastAsia="Times New Roman" w:cs="Times New Roman"/>
          <w:bCs/>
          <w:color w:val="0D0D0D" w:themeColor="text1" w:themeTint="f2"/>
          <w:sz w:val="24"/>
          <w:szCs w:val="24"/>
          <w:lang w:eastAsia="ru-RU"/>
        </w:rPr>
        <w:t>лом. Развитие генерирующих мощностей Центрального энергоузла энергосистемы Камчатского края.</w:t>
      </w:r>
    </w:p>
    <w:p>
      <w:pPr>
        <w:pStyle w:val="Heading4"/>
        <w:keepNext w:val="true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uppressAutoHyphens w:val="true"/>
        <w:bidi w:val="0"/>
        <w:spacing w:lineRule="auto" w:line="240" w:before="240" w:after="60"/>
        <w:ind w:left="0" w:right="0" w:hanging="0"/>
        <w:jc w:val="both"/>
        <w:rPr>
          <w:rFonts w:ascii="Times New Roman" w:hAnsi="Times New Roman" w:eastAsia="" w:cs=""/>
          <w:bCs/>
          <w:color w:val="000000"/>
          <w:sz w:val="24"/>
          <w:szCs w:val="24"/>
          <w:lang w:eastAsia="ru-RU"/>
        </w:rPr>
      </w:pPr>
      <w:bookmarkStart w:id="28" w:name="__RefHeading___Toc19223_463198939"/>
      <w:bookmarkEnd w:id="28"/>
      <w:r>
        <w:rPr>
          <w:rFonts w:eastAsia="" w:cs="" w:ascii="Times New Roman" w:hAnsi="Times New Roman"/>
          <w:b/>
          <w:bCs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 xml:space="preserve">1.6. </w:t>
      </w:r>
      <w:bookmarkStart w:id="29" w:name="_Toc220520386"/>
      <w:bookmarkStart w:id="30" w:name="_Toc223009948"/>
      <w:r>
        <w:rPr>
          <w:rFonts w:eastAsia="" w:cs="" w:ascii="Times New Roman" w:hAnsi="Times New Roman"/>
          <w:b/>
          <w:bCs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>Общие требования при проведении мониторинга цен</w:t>
      </w:r>
      <w:bookmarkEnd w:id="29"/>
      <w:bookmarkEnd w:id="3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hanging="0"/>
        <w:jc w:val="both"/>
        <w:rPr>
          <w:rFonts w:ascii="Times New Roman" w:hAnsi="Times New Roman" w:eastAsia="Times New Roman" w:cs="Times New Roman"/>
          <w:bCs/>
          <w:color w:val="0D0D0D" w:themeColor="text1" w:themeTint="f2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Times New Roman" w:cs="Times New Roman"/>
          <w:bCs/>
          <w:color w:val="0D0D0D" w:themeColor="text1" w:themeTint="f2"/>
          <w:kern w:val="0"/>
          <w:sz w:val="24"/>
          <w:szCs w:val="24"/>
          <w:shd w:fill="auto" w:val="clear"/>
          <w:lang w:val="ru-RU" w:eastAsia="ru-RU" w:bidi="ar-SA"/>
        </w:rPr>
        <w:t xml:space="preserve">Мониторинг цен не является публичной офертой, по результатам мониторинга цен договор не заключается. </w:t>
      </w:r>
    </w:p>
    <w:p>
      <w:pPr>
        <w:pStyle w:val="Heading1"/>
        <w:spacing w:before="280" w:after="280"/>
        <w:jc w:val="center"/>
        <w:rPr>
          <w:rFonts w:ascii="Times New Roman" w:hAnsi="Times New Roman"/>
          <w:bCs/>
          <w:sz w:val="26"/>
          <w:szCs w:val="26"/>
        </w:rPr>
      </w:pPr>
      <w:bookmarkStart w:id="31" w:name="__RefHeading___Toc17806_2187112983"/>
      <w:bookmarkEnd w:id="31"/>
      <w:r>
        <w:rPr>
          <w:rFonts w:eastAsia="Calibri"/>
          <w:b/>
          <w:bCs/>
          <w:color w:val="0D0D0D" w:themeColor="text1" w:themeTint="f2"/>
          <w:sz w:val="26"/>
          <w:szCs w:val="26"/>
          <w:lang w:eastAsia="x-none"/>
        </w:rPr>
        <w:t xml:space="preserve">2. </w:t>
      </w:r>
      <w:r>
        <w:rPr>
          <w:rFonts w:eastAsia="Calibri"/>
          <w:b/>
          <w:bCs/>
          <w:sz w:val="26"/>
          <w:szCs w:val="26"/>
          <w:lang w:eastAsia="x-none"/>
        </w:rPr>
        <w:t>Требования к продукции</w:t>
      </w:r>
    </w:p>
    <w:p>
      <w:pPr>
        <w:pStyle w:val="Heading4"/>
        <w:rPr>
          <w:rFonts w:ascii="Times New Roman" w:hAnsi="Times New Roman"/>
          <w:b/>
          <w:bCs/>
          <w:i w:val="false"/>
          <w:i w:val="false"/>
          <w:iCs w:val="false"/>
          <w:color w:val="000000"/>
          <w:sz w:val="24"/>
          <w:szCs w:val="24"/>
        </w:rPr>
      </w:pPr>
      <w:bookmarkStart w:id="32" w:name="__RefHeading___Toc9959_2187112983"/>
      <w:bookmarkStart w:id="33" w:name="_Toc180578187"/>
      <w:bookmarkEnd w:id="32"/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</w:rPr>
        <w:t>2.1.</w:t>
        <w:tab/>
        <w:t>Требования к объемам и срокам выполнения работ</w:t>
      </w:r>
      <w:bookmarkEnd w:id="33"/>
    </w:p>
    <w:p>
      <w:pPr>
        <w:pStyle w:val="Heading4"/>
        <w:rPr>
          <w:rFonts w:ascii="Times New Roman" w:hAnsi="Times New Roman"/>
          <w:b/>
          <w:bCs/>
          <w:i w:val="false"/>
          <w:i w:val="false"/>
          <w:iCs w:val="false"/>
          <w:color w:val="000000"/>
          <w:sz w:val="24"/>
          <w:szCs w:val="24"/>
        </w:rPr>
      </w:pPr>
      <w:bookmarkStart w:id="34" w:name="__RefHeading___Toc9961_2187112983"/>
      <w:bookmarkStart w:id="35" w:name="_Toc180578188"/>
      <w:bookmarkEnd w:id="34"/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</w:rPr>
        <w:t>2.1.1.</w:t>
        <w:tab/>
        <w:t>Требования к видам и объемам работ</w:t>
      </w:r>
      <w:bookmarkEnd w:id="35"/>
    </w:p>
    <w:p>
      <w:pPr>
        <w:pStyle w:val="Heading1"/>
        <w:keepLines/>
        <w:spacing w:beforeAutospacing="0" w:before="0" w:afterAutospacing="0" w:after="0"/>
        <w:rPr>
          <w:sz w:val="24"/>
          <w:szCs w:val="24"/>
        </w:rPr>
      </w:pPr>
      <w:bookmarkStart w:id="36" w:name="__RefHeading___Toc9963_2187112983"/>
      <w:bookmarkStart w:id="37" w:name="_Toc180578189"/>
      <w:bookmarkStart w:id="38" w:name="_Toc144906333"/>
      <w:bookmarkStart w:id="39" w:name="_Toc144906170"/>
      <w:bookmarkStart w:id="40" w:name="_Toc51339695"/>
      <w:bookmarkEnd w:id="36"/>
      <w:r>
        <w:rPr>
          <w:sz w:val="24"/>
          <w:szCs w:val="24"/>
        </w:rPr>
        <w:t xml:space="preserve">Таблица 2. Перечень </w:t>
      </w:r>
      <w:bookmarkEnd w:id="40"/>
      <w:r>
        <w:rPr>
          <w:sz w:val="24"/>
          <w:szCs w:val="24"/>
        </w:rPr>
        <w:t>и объем выполняемых работ</w:t>
      </w:r>
      <w:bookmarkEnd w:id="37"/>
      <w:bookmarkEnd w:id="38"/>
      <w:bookmarkEnd w:id="39"/>
    </w:p>
    <w:tbl>
      <w:tblPr>
        <w:tblW w:w="9934" w:type="dxa"/>
        <w:jc w:val="left"/>
        <w:tblInd w:w="1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4"/>
        <w:gridCol w:w="6581"/>
        <w:gridCol w:w="1318"/>
        <w:gridCol w:w="1360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 / этапа работ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ОКПД2 71.12.19.100 Выполнение проекта санитарно-защитной зоны по обоснованию изменения границ установленной санитарно-защитной зоны для действующего объекта Мутновская ГеоЭС-1 (Лицензионный участок Верхнежировской-1, Верхнежировской-2 Верхнежировского МППВ по лицензии ПТР 00944ВЭ) с учетом перспективы развития: «Разработка проектно-сметной документации «Комплекс электроснабжения. Строительство Скалистой ГеоЭС»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>Усл. ед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 w:val="false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1.1.</w:t>
            </w:r>
          </w:p>
        </w:tc>
        <w:tc>
          <w:tcPr>
            <w:tcW w:w="6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Этап 1. Сбор исходной документации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Усл. ед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 w:val="false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1.2.</w:t>
            </w:r>
          </w:p>
        </w:tc>
        <w:tc>
          <w:tcPr>
            <w:tcW w:w="6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Этап 2. Выполнение инвентаризации и расчетов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Усл. ед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 w:val="false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1.3.</w:t>
            </w:r>
          </w:p>
        </w:tc>
        <w:tc>
          <w:tcPr>
            <w:tcW w:w="6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Этап 3. Камеральные работы с составлением отчета СЗЗ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Усл. ед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 w:val="false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1.4.</w:t>
            </w:r>
          </w:p>
        </w:tc>
        <w:tc>
          <w:tcPr>
            <w:tcW w:w="6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Этап 4. Прохождение экспертизы материалов проекта СЗЗ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Усл. ед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hanging="0"/>
              <w:contextualSpacing w:val="false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1.5.</w:t>
            </w:r>
          </w:p>
        </w:tc>
        <w:tc>
          <w:tcPr>
            <w:tcW w:w="6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 5. Внесение данных об установлении СЗЗ в Росреестр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Усл. ед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b/>
          <w:bCs/>
          <w:i/>
          <w:i/>
          <w:color w:val="0D0D0D" w:themeColor="text1" w:themeTint="f2"/>
          <w:sz w:val="20"/>
          <w:szCs w:val="20"/>
        </w:rPr>
      </w:pPr>
      <w:r>
        <w:rPr>
          <w:b/>
          <w:bCs/>
          <w:i/>
          <w:color w:val="0D0D0D" w:themeColor="text1" w:themeTint="f2"/>
          <w:sz w:val="20"/>
          <w:szCs w:val="20"/>
        </w:rPr>
      </w:r>
    </w:p>
    <w:p>
      <w:pPr>
        <w:pStyle w:val="Heading4"/>
        <w:rPr>
          <w:b/>
          <w:bCs/>
          <w:i w:val="false"/>
          <w:i w:val="false"/>
          <w:color w:val="000000"/>
        </w:rPr>
      </w:pPr>
      <w:bookmarkStart w:id="41" w:name="__RefHeading___Toc9965_2187112983"/>
      <w:bookmarkStart w:id="42" w:name="_Toc180578190"/>
      <w:bookmarkEnd w:id="41"/>
      <w:r>
        <w:rPr>
          <w:rFonts w:ascii="Times New Roman" w:hAnsi="Times New Roman"/>
          <w:b/>
          <w:bCs/>
          <w:i w:val="false"/>
          <w:iCs w:val="false"/>
          <w:color w:val="000000"/>
        </w:rPr>
        <w:t>2.1.2.</w:t>
        <w:tab/>
        <w:t>Требования к срокам выполнения работ</w:t>
      </w:r>
      <w:bookmarkEnd w:id="42"/>
    </w:p>
    <w:p>
      <w:pPr>
        <w:pStyle w:val="Heading1"/>
        <w:keepLines/>
        <w:spacing w:beforeAutospacing="0" w:before="0" w:afterAutospacing="0" w:after="0"/>
        <w:rPr>
          <w:sz w:val="24"/>
          <w:szCs w:val="24"/>
        </w:rPr>
      </w:pPr>
      <w:bookmarkStart w:id="43" w:name="__RefHeading___Toc9967_2187112983"/>
      <w:bookmarkStart w:id="44" w:name="_Toc180578191"/>
      <w:bookmarkEnd w:id="43"/>
      <w:r>
        <w:rPr>
          <w:sz w:val="24"/>
          <w:szCs w:val="24"/>
        </w:rPr>
        <w:t>Таблица 3. Требования по срокам выполнения работ</w:t>
      </w:r>
      <w:bookmarkEnd w:id="44"/>
    </w:p>
    <w:tbl>
      <w:tblPr>
        <w:tblW w:w="99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0"/>
        <w:gridCol w:w="4819"/>
        <w:gridCol w:w="2163"/>
        <w:gridCol w:w="2257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работ/ этапа работ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выполнения работ/ этапа работ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keepNext w:val="false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keepNext w:val="false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0" w:right="0" w:hanging="0"/>
              <w:contextualSpacing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ОКПД2 71.12.19.100 Выполнение проекта санитарно-защитной зоны по обоснованию изменения границ установленной санитарно-защитной зоны для действующего объекта Мутновская ГеоЭС-1 (Лицензионный участок Верхнежировской-1, Верхнежировской-2 Верхнежировского МППВ по лицензии ПТР 00944ВЭ) с учетом перспективы развития: «Разработка проектно-сметной документации «Комплекс электроснабжения. Строительство Скалистой ГеоЭС»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Дата, следующая за датой заключения договора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x-none"/>
              </w:rPr>
              <w:t>в течение</w:t>
            </w:r>
            <w:r>
              <w:rPr>
                <w:b/>
                <w:bCs/>
                <w:sz w:val="22"/>
                <w:szCs w:val="22"/>
              </w:rPr>
              <w:t xml:space="preserve"> 5 (пяти)</w:t>
            </w:r>
            <w:r>
              <w:rPr>
                <w:b/>
                <w:bCs/>
                <w:sz w:val="22"/>
                <w:szCs w:val="22"/>
                <w:lang w:val="x-none"/>
              </w:rPr>
              <w:t xml:space="preserve"> месяцев с даты, следующей за датой заключения договора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Этап 1. Сбор исходной документации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Дата, следующая за датой заключения договора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bCs/>
                <w:sz w:val="22"/>
                <w:szCs w:val="22"/>
                <w:shd w:fill="auto" w:val="clear"/>
                <w:lang w:val="x-none"/>
              </w:rPr>
              <w:t>в течение</w:t>
            </w:r>
            <w:r>
              <w:rPr>
                <w:bCs/>
                <w:sz w:val="22"/>
                <w:szCs w:val="22"/>
                <w:shd w:fill="auto" w:val="clear"/>
              </w:rPr>
              <w:t xml:space="preserve"> 1 (одного)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 месяц</w:t>
            </w:r>
            <w:r>
              <w:rPr>
                <w:bCs/>
                <w:sz w:val="22"/>
                <w:szCs w:val="22"/>
                <w:shd w:fill="auto" w:val="clear"/>
              </w:rPr>
              <w:t xml:space="preserve">а 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>с даты, следующей за датой заключения договора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Этап 2. Выполнение инвентаризации и расчетов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Дата, следующая за датой завершения Этапа 1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bCs/>
                <w:sz w:val="22"/>
                <w:szCs w:val="22"/>
                <w:shd w:fill="auto" w:val="clear"/>
                <w:lang w:val="x-none"/>
              </w:rPr>
              <w:t>в течение</w:t>
            </w:r>
            <w:r>
              <w:rPr>
                <w:bCs/>
                <w:sz w:val="22"/>
                <w:szCs w:val="22"/>
                <w:shd w:fill="auto" w:val="clear"/>
              </w:rPr>
              <w:t xml:space="preserve"> 1 (одного)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 месяц</w:t>
            </w:r>
            <w:r>
              <w:rPr>
                <w:bCs/>
                <w:sz w:val="22"/>
                <w:szCs w:val="22"/>
                <w:shd w:fill="auto" w:val="clear"/>
              </w:rPr>
              <w:t xml:space="preserve">а 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с даты, следующей за датой </w:t>
            </w:r>
            <w:r>
              <w:rPr>
                <w:bCs/>
                <w:sz w:val="22"/>
                <w:szCs w:val="22"/>
                <w:shd w:fill="auto" w:val="clear"/>
              </w:rPr>
              <w:t>завершения Этапа 1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Этап 3. Камеральные работы с составлением отчета СЗЗ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Дата, следующая за датой завершения Этапа 2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bCs/>
                <w:sz w:val="22"/>
                <w:szCs w:val="22"/>
                <w:shd w:fill="auto" w:val="clear"/>
                <w:lang w:val="x-none"/>
              </w:rPr>
              <w:t>в течение</w:t>
            </w:r>
            <w:r>
              <w:rPr>
                <w:bCs/>
                <w:sz w:val="22"/>
                <w:szCs w:val="22"/>
                <w:shd w:fill="auto" w:val="clear"/>
              </w:rPr>
              <w:t xml:space="preserve"> 1 (одного)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 месяц</w:t>
            </w:r>
            <w:r>
              <w:rPr>
                <w:bCs/>
                <w:sz w:val="22"/>
                <w:szCs w:val="22"/>
                <w:shd w:fill="auto" w:val="clear"/>
              </w:rPr>
              <w:t xml:space="preserve">а 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с даты, следующей за датой </w:t>
            </w:r>
            <w:r>
              <w:rPr>
                <w:bCs/>
                <w:sz w:val="22"/>
                <w:szCs w:val="22"/>
                <w:shd w:fill="auto" w:val="clear"/>
              </w:rPr>
              <w:t>завершения Этапа 2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Этап 4. Прохождение экспертизы материалов проекта СЗЗ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Дата, следующая за датой завершения Этапа 3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bCs/>
                <w:sz w:val="22"/>
                <w:szCs w:val="22"/>
                <w:shd w:fill="auto" w:val="clear"/>
                <w:lang w:val="x-none"/>
              </w:rPr>
              <w:t>в течение</w:t>
            </w:r>
            <w:r>
              <w:rPr>
                <w:bCs/>
                <w:sz w:val="22"/>
                <w:szCs w:val="22"/>
                <w:shd w:fill="auto" w:val="clear"/>
              </w:rPr>
              <w:t xml:space="preserve"> 1 (одного)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 месяц</w:t>
            </w:r>
            <w:r>
              <w:rPr>
                <w:bCs/>
                <w:sz w:val="22"/>
                <w:szCs w:val="22"/>
                <w:shd w:fill="auto" w:val="clear"/>
              </w:rPr>
              <w:t xml:space="preserve">а 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с даты, следующей за датой </w:t>
            </w:r>
            <w:r>
              <w:rPr>
                <w:bCs/>
                <w:sz w:val="22"/>
                <w:szCs w:val="22"/>
                <w:shd w:fill="auto" w:val="clear"/>
              </w:rPr>
              <w:t>завершения Этапа 3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 5. Внесение данных об установлении СЗЗ в Росреестр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Дата, следующая за датой завершения Этапа 4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 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>в течение</w:t>
            </w:r>
            <w:r>
              <w:rPr>
                <w:bCs/>
                <w:sz w:val="22"/>
                <w:szCs w:val="22"/>
                <w:shd w:fill="auto" w:val="clear"/>
              </w:rPr>
              <w:t xml:space="preserve"> 1 (одного)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 месяц</w:t>
            </w:r>
            <w:r>
              <w:rPr>
                <w:bCs/>
                <w:sz w:val="22"/>
                <w:szCs w:val="22"/>
                <w:shd w:fill="auto" w:val="clear"/>
              </w:rPr>
              <w:t>а</w:t>
            </w:r>
            <w:r>
              <w:rPr>
                <w:bCs/>
                <w:sz w:val="22"/>
                <w:szCs w:val="22"/>
                <w:shd w:fill="auto" w:val="clear"/>
                <w:lang w:val="x-none"/>
              </w:rPr>
              <w:t xml:space="preserve"> с даты, следующей за датой </w:t>
            </w:r>
            <w:r>
              <w:rPr>
                <w:bCs/>
                <w:sz w:val="22"/>
                <w:szCs w:val="22"/>
                <w:shd w:fill="auto" w:val="clear"/>
              </w:rPr>
              <w:t>завершения Этапа 4</w:t>
            </w:r>
          </w:p>
        </w:tc>
      </w:tr>
    </w:tbl>
    <w:p>
      <w:pPr>
        <w:sectPr>
          <w:type w:val="nextPage"/>
          <w:pgSz w:w="11906" w:h="16838"/>
          <w:pgMar w:left="1304" w:right="619" w:gutter="0" w:header="0" w:top="1040" w:footer="0" w:bottom="72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rPr>
          <w:rFonts w:ascii="Times New Roman" w:hAnsi="Times New Roman"/>
          <w:b/>
          <w:bCs/>
          <w:i w:val="false"/>
          <w:i w:val="false"/>
          <w:iCs w:val="false"/>
          <w:color w:val="000000"/>
        </w:rPr>
      </w:pPr>
      <w:bookmarkStart w:id="45" w:name="__RefHeading___Toc9969_2187112983"/>
      <w:bookmarkStart w:id="46" w:name="_Toc180578192"/>
      <w:bookmarkEnd w:id="45"/>
      <w:r>
        <w:rPr>
          <w:rFonts w:ascii="Times New Roman" w:hAnsi="Times New Roman"/>
          <w:b/>
          <w:bCs/>
          <w:i w:val="false"/>
          <w:iCs w:val="false"/>
          <w:color w:val="000000"/>
        </w:rPr>
        <w:t>2.2.</w:t>
        <w:tab/>
        <w:t>Требования к качеству работ</w:t>
      </w:r>
      <w:bookmarkEnd w:id="46"/>
    </w:p>
    <w:p>
      <w:pPr>
        <w:pStyle w:val="Heading1"/>
        <w:keepLines/>
        <w:spacing w:beforeAutospacing="0" w:before="0" w:afterAutospacing="0" w:after="0"/>
        <w:rPr>
          <w:sz w:val="24"/>
          <w:szCs w:val="24"/>
        </w:rPr>
      </w:pPr>
      <w:bookmarkStart w:id="47" w:name="__RefHeading___Toc9971_2187112983"/>
      <w:bookmarkStart w:id="48" w:name="_Toc144906334"/>
      <w:bookmarkStart w:id="49" w:name="_Toc180578193"/>
      <w:bookmarkStart w:id="50" w:name="_Toc144906171"/>
      <w:bookmarkEnd w:id="47"/>
      <w:r>
        <w:rPr>
          <w:sz w:val="24"/>
          <w:szCs w:val="24"/>
        </w:rPr>
        <w:t>Таблица 4. Требования к качеству работ</w:t>
      </w:r>
      <w:bookmarkEnd w:id="48"/>
      <w:bookmarkEnd w:id="49"/>
      <w:bookmarkEnd w:id="50"/>
    </w:p>
    <w:p>
      <w:pPr>
        <w:pStyle w:val="Normal"/>
        <w:snapToGrid w:val="false"/>
        <w:jc w:val="both"/>
        <w:rPr/>
      </w:pPr>
      <w:r>
        <w:rPr>
          <w:b/>
          <w:bCs/>
        </w:rPr>
        <w:t xml:space="preserve">Наименование работ/этапа работ </w:t>
      </w:r>
      <w:r>
        <w:rPr>
          <w:b/>
          <w:bCs/>
          <w:sz w:val="24"/>
          <w:szCs w:val="24"/>
        </w:rPr>
        <w:t xml:space="preserve"> (позиция №1 Таблицы 2):</w:t>
      </w:r>
      <w:r>
        <w:rPr>
          <w:b/>
          <w:bCs/>
        </w:rPr>
        <w:t xml:space="preserve"> </w:t>
      </w:r>
      <w:r>
        <w:rPr>
          <w:rStyle w:val="LHP1"/>
          <w:rFonts w:eastAsia="Times New Roman" w:cs="Times New Roman"/>
          <w:b w:val="false"/>
          <w:bCs w:val="false"/>
          <w:color w:val="0D0D0D" w:themeColor="text1" w:themeTint="f2"/>
          <w:spacing w:val="-12"/>
          <w:sz w:val="24"/>
          <w:szCs w:val="24"/>
          <w:lang w:val="x-none" w:eastAsia="ru-RU"/>
        </w:rPr>
        <w:t>ОКПД2 71.12.19.100 Выполнение проекта санитарно-защитной зоны по обоснованию изменения границ установленной санитарно-защитной зоны для действующего объекта Мутновская ГеоЭС-1 (Лицензионный участок Верхнежировской-1, Верхнежировской-2 Верхнежировского МППВ по лицензии ПТР 00944ВЭ) с учетом перспективы развития: «Разработка проектно-сметной документации «Комплекс электроснабжения. Строительство Скалистой ГеоЭС»</w:t>
      </w:r>
    </w:p>
    <w:tbl>
      <w:tblPr>
        <w:tblStyle w:val="13"/>
        <w:tblW w:w="15460" w:type="dxa"/>
        <w:jc w:val="left"/>
        <w:tblInd w:w="1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7"/>
        <w:gridCol w:w="1699"/>
        <w:gridCol w:w="10097"/>
        <w:gridCol w:w="1628"/>
        <w:gridCol w:w="1319"/>
      </w:tblGrid>
      <w:tr>
        <w:trPr/>
        <w:tc>
          <w:tcPr>
            <w:tcW w:w="7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169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Наименование параметра</w:t>
            </w:r>
          </w:p>
        </w:tc>
        <w:tc>
          <w:tcPr>
            <w:tcW w:w="1009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Требование заказчика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393" w:hRule="atLeast"/>
          <w:cantSplit w:val="true"/>
        </w:trPr>
        <w:tc>
          <w:tcPr>
            <w:tcW w:w="7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69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009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628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319" w:type="dxa"/>
            <w:tcBorders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00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16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13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5</w:t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выполнению работ</w:t>
            </w:r>
          </w:p>
        </w:tc>
        <w:tc>
          <w:tcPr>
            <w:tcW w:w="162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  <w:shd w:fill="auto" w:val="clear"/>
                <w:lang w:eastAsia="ru-RU"/>
              </w:rPr>
              <w:t>Согласие с требованиями</w:t>
            </w:r>
          </w:p>
        </w:tc>
        <w:tc>
          <w:tcPr>
            <w:tcW w:w="131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Предоставление ответа на запрос ТКП по форме Приложения №1 к настоящим техническим требованиям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1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Общие требования к выполнению работ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Normal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Состав работ</w:t>
            </w:r>
          </w:p>
        </w:tc>
        <w:tc>
          <w:tcPr>
            <w:tcW w:w="1009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 Сбор исходной документации;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2. Проведение инвентаризации источников выбросов, источников шума и других физических факторов;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 Проведение исследования (измерения) атмосферного воздуха, уровней физического и (или) биологического воздействия на атмосферный воздух (при необходимости);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4. Проведение расчетов рассеивания загрязняющих веществ;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5. Проведение расчетов уровней шума и других физических факторов;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6. Подготовка описания местоположения границ санитарно-защитной зоны с указанием координат характерных точек в системе координат, используемых для ведения ЕГРН;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7. Составление отчета (тома) по результатам выполненных работ с доработкой при наличии замечаний Заказчика, ФБУЗ «Центр гигиены и эпидемиологии в Камчатском крае» или другой аккредитованной экспертной организации, Управления Роспотребнадзора по Камчатскому краю, Главгосэкспертизы и экологической экспертизе (в случае необходимости) в сроки, установленные согласно договору. Сопровождение согласования в территориальном ФБУЗ «Центр гигиены и эпидемиологии в Камчатском крае» или другой аккредитованной экспертной организации и Управлении Роспотребнадзора по Камчатскому краю;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8. Разработка отчета оценки риска для здоровья населения (при необходимости);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9. Прохождение экспертизы материалов проекта СЗЗ в территориальном ФБУЗ «Центр гигиены и эпидемиологии в Камчатском крае» или другой аккредитованной экспертной организации. Получение положительного экспертного заключения;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10. Подача материалов проекта СЗЗ в Управление Роспотребнадзора по Камчатскому краю. Получение Санитарно-эпидемиологического заключения и Решения об установлении границ СЗЗ;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11. Внесение информации о СЗЗ в Росреестр в ЕГРН.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Normal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Особые требования к выполнению работ</w:t>
            </w:r>
          </w:p>
        </w:tc>
        <w:tc>
          <w:tcPr>
            <w:tcW w:w="1009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113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Все работы выполняются с соблюдением требований законодательства РФ по экологической, природоохранной безопасности, противопожарной безопасности и соблюдением техники безопасности при выполнении работ.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113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 xml:space="preserve">Подрядчик принимает участие в прохождении экспертизы проектной документации в части материалов проекта СЗЗ </w:t>
            </w:r>
            <w:r>
              <w:rPr>
                <w:kern w:val="0"/>
                <w:sz w:val="20"/>
                <w:szCs w:val="20"/>
                <w:lang w:val="ru-RU" w:bidi="ar-SA"/>
              </w:rPr>
              <w:t>в территориальном ФБУЗ «Центр гигиены и эпидемиологии» или другой аккредитованной экспертной организации,</w:t>
            </w: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 xml:space="preserve"> ТУ </w:t>
            </w:r>
            <w:r>
              <w:rPr>
                <w:kern w:val="0"/>
                <w:sz w:val="20"/>
                <w:szCs w:val="20"/>
                <w:lang w:val="ru-RU" w:bidi="ar-SA"/>
              </w:rPr>
              <w:t>Роспотребнадзора, Государственной экологической экспертизе (в случае необходимости) и Главгосэкспертизе России.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113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Работа выполняется с соблюдением действующего природоохранного законодательства.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113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Работы выполняется поэтапно, этапы работ приведены в Таблице 2 настоящих ТТ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1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контролю качества работ и материалов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Курирование работ</w:t>
            </w:r>
          </w:p>
        </w:tc>
        <w:tc>
          <w:tcPr>
            <w:tcW w:w="100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Заказчик имеет право осуществлять контроль за деятельностью Подрядчика, не вмешиваясь в его деятельность.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b/>
                <w:bCs/>
                <w:i w:val="false"/>
                <w:i w:val="false"/>
                <w:iCs w:val="false"/>
              </w:rPr>
            </w:pPr>
            <w:r>
              <w:rPr>
                <w:rFonts w:eastAsia="Calibri"/>
                <w:b/>
                <w:bCs/>
                <w:i w:val="false"/>
                <w:iCs w:val="false"/>
                <w:kern w:val="0"/>
                <w:sz w:val="20"/>
                <w:szCs w:val="20"/>
                <w:lang w:val="ru-RU" w:bidi="ar-SA"/>
              </w:rPr>
              <w:t>1.3.</w:t>
            </w:r>
          </w:p>
        </w:tc>
        <w:tc>
          <w:tcPr>
            <w:tcW w:w="1179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персоналу Подрядчика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1.3.1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iCs/>
                <w:kern w:val="0"/>
                <w:sz w:val="20"/>
                <w:szCs w:val="20"/>
                <w:lang w:val="ru-RU" w:bidi="ar-SA"/>
              </w:rPr>
              <w:t>Квалификация персонала подрядчика, привлекаемого к выполнению работ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00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Cs/>
                <w:color w:val="0D0D0D"/>
                <w:kern w:val="0"/>
                <w:sz w:val="20"/>
                <w:szCs w:val="20"/>
                <w:lang w:val="ru-RU" w:bidi="ar-SA"/>
              </w:rPr>
              <w:t>Подрядчик должен иметь в своем штате или привлеченный на любом другом законном основании квалифицированный персонал, в количестве: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Cs/>
                <w:color w:val="0D0D0D"/>
                <w:kern w:val="0"/>
                <w:sz w:val="20"/>
                <w:szCs w:val="20"/>
                <w:lang w:val="ru-RU" w:bidi="ar-SA"/>
              </w:rPr>
              <w:t>- не менее 2 (двух) инженеров-экологов;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Cs/>
                <w:color w:val="0D0D0D"/>
                <w:kern w:val="0"/>
                <w:sz w:val="20"/>
                <w:szCs w:val="20"/>
                <w:lang w:val="ru-RU" w:bidi="ar-SA"/>
              </w:rPr>
              <w:t>- не менее 1 (одного) кадастрового инженера.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bCs/>
                <w:iCs/>
                <w:color w:val="0D0D0D"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Cs/>
                <w:color w:val="0D0D0D"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iCs/>
                <w:color w:val="0D0D0D"/>
                <w:kern w:val="0"/>
                <w:sz w:val="20"/>
                <w:szCs w:val="20"/>
                <w:lang w:val="ru-RU" w:bidi="ar-SA"/>
              </w:rPr>
              <w:t>Копии подтверждающих документов квалификацию предоставляются Подрядчиком перед началом выполнения работ.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Требования к результатам работ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1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b/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Общие требования к результатам работ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Normal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Требования к результату работ</w:t>
            </w:r>
          </w:p>
        </w:tc>
        <w:tc>
          <w:tcPr>
            <w:tcW w:w="100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u w:val="none"/>
                <w:lang w:val="ru-RU" w:bidi="ar-SA"/>
              </w:rPr>
            </w:pPr>
            <w:r>
              <w:rPr>
                <w:kern w:val="0"/>
                <w:sz w:val="20"/>
                <w:szCs w:val="20"/>
                <w:u w:val="none"/>
                <w:lang w:val="ru-RU" w:bidi="ar-SA"/>
              </w:rPr>
              <w:t>Результатом работ являются выполненные в соответствии с ТТ: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Отчет по результатам выполненных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Отчет оценки риска для здоровья населения (при необходимости);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- </w:t>
            </w: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 xml:space="preserve">Проект СЗЗ, получивший положительное </w:t>
            </w:r>
            <w:r>
              <w:rPr>
                <w:kern w:val="0"/>
                <w:sz w:val="20"/>
                <w:szCs w:val="20"/>
                <w:lang w:val="ru-RU" w:bidi="ar-SA"/>
              </w:rPr>
              <w:t>экспертное заключение в территориальном ФБУЗ «Центр гигиены и эпидемиологи в Камчатском крае» или другой аккредитованной экспертной организации;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Решение об установлении границ СЗЗ в Управлении Роспотребнадзора по Камчатскому краю).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Объем и состав материалов, передаваемых Подрядчиком Заказчику</w:t>
            </w:r>
          </w:p>
        </w:tc>
        <w:tc>
          <w:tcPr>
            <w:tcW w:w="100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В переплетенном виде на бумажном носителе в 2-х экземплярах и в электронном виде в 2 экземплярах (редактируемая версия (рабочий формат – *.docx, *.xlsx, *.dwg) и версия, соответствующая печатной - в формате *.pdf).</w:t>
            </w:r>
            <w:r>
              <w:rPr>
                <w:kern w:val="0"/>
                <w:sz w:val="20"/>
                <w:szCs w:val="20"/>
                <w:lang w:val="ru-RU" w:bidi="ar-SA"/>
              </w:rPr>
              <w:t>. Объем каждой книги не должен превышать 300 стр.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 электронном виде Документация передаётся на электронном носителе в сканированном и исходном виде (в формате разработки</w:t>
            </w:r>
            <w:r>
              <w:rPr>
                <w:bCs/>
                <w:kern w:val="0"/>
                <w:sz w:val="20"/>
                <w:szCs w:val="20"/>
                <w:lang w:val="ru-RU" w:bidi="ar-SA"/>
              </w:rPr>
              <w:t xml:space="preserve"> и должны быть доступны для редактирования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). Сканированная документация предоставляется в формате </w:t>
            </w:r>
            <w:r>
              <w:rPr>
                <w:kern w:val="0"/>
                <w:sz w:val="20"/>
                <w:szCs w:val="20"/>
                <w:lang w:val="en-US" w:bidi="ar-SA"/>
              </w:rPr>
              <w:t>PDF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единым файлом для каждого тома проекта. Файл выполняется по принципу «как на бумаге», в его состав должны быть включены титульные листы, текстовая и графическая часть, и прилагаемые документы и приложения в полном объёме. Нумерация листов должна соответствовать твёрдой копии. В исходном виде передаются электронные материалы в формате </w:t>
            </w:r>
            <w:r>
              <w:rPr>
                <w:kern w:val="0"/>
                <w:sz w:val="20"/>
                <w:szCs w:val="20"/>
                <w:lang w:val="en-US" w:bidi="ar-SA"/>
              </w:rPr>
              <w:t>DWG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kern w:val="0"/>
                <w:sz w:val="20"/>
                <w:szCs w:val="20"/>
                <w:lang w:val="en-US" w:bidi="ar-SA"/>
              </w:rPr>
              <w:t>Word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kern w:val="0"/>
                <w:sz w:val="20"/>
                <w:szCs w:val="20"/>
                <w:lang w:val="en-US" w:bidi="ar-SA"/>
              </w:rPr>
              <w:t>Excel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, </w:t>
            </w:r>
            <w:r>
              <w:rPr>
                <w:bCs/>
                <w:kern w:val="0"/>
                <w:sz w:val="20"/>
                <w:szCs w:val="20"/>
                <w:lang w:val="ru-RU" w:bidi="ar-SA"/>
              </w:rPr>
              <w:t>Project и прочие графические материалы в форматах jpg, tiff, pdf</w:t>
            </w:r>
            <w:r>
              <w:rPr>
                <w:kern w:val="0"/>
                <w:sz w:val="20"/>
                <w:szCs w:val="20"/>
                <w:lang w:val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Использование форматов при передаче Документации в электронном виде: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bCs/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mc:AlternateContent>
                <mc:Choice Requires="wps">
                  <w:drawing>
                    <wp:anchor behindDoc="0" distT="0" distB="0" distL="109855" distR="114300" simplePos="0" locked="0" layoutInCell="1" allowOverlap="1" relativeHeight="3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57785</wp:posOffset>
                      </wp:positionV>
                      <wp:extent cx="5626735" cy="1646555"/>
                      <wp:effectExtent l="0" t="0" r="0" b="0"/>
                      <wp:wrapSquare wrapText="bothSides"/>
                      <wp:docPr id="1" name="Врезка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6800" cy="1646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W w:w="8843" w:type="dxa"/>
                                    <w:jc w:val="left"/>
                                    <w:tblInd w:w="565" w:type="dxa"/>
                                    <w:tblLayout w:type="fixed"/>
                                    <w:tblCell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blCellMar>
                                    <w:tblLook w:val="01e0" w:noHBand="0" w:noVBand="0" w:firstColumn="1" w:lastRow="1" w:lastColumn="1" w:firstRow="1"/>
                                  </w:tblPr>
                                  <w:tblGrid>
                                    <w:gridCol w:w="2942"/>
                                    <w:gridCol w:w="4140"/>
                                    <w:gridCol w:w="1761"/>
                                  </w:tblGrid>
                                  <w:tr>
                                    <w:trPr>
                                      <w:trHeight w:val="284" w:hRule="atLeast"/>
                                    </w:trPr>
                                    <w:tc>
                                      <w:tcPr>
                                        <w:tcW w:w="294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ind w:firstLine="709"/>
                                          <w:jc w:val="center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Вид документа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4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ind w:firstLine="709"/>
                                          <w:jc w:val="center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Используемое приложение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ind w:firstLine="709"/>
                                          <w:jc w:val="center"/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Формат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84" w:hRule="atLeast"/>
                                    </w:trPr>
                                    <w:tc>
                                      <w:tcPr>
                                        <w:tcW w:w="294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Текстовая часть, описания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4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MS Word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и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 Adobe Acrobat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bidi w:val="0"/>
                                          <w:spacing w:lineRule="auto" w:line="240" w:before="0" w:after="0"/>
                                          <w:ind w:left="0" w:right="0" w:hanging="0"/>
                                          <w:jc w:val="left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.doc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и .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pdf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84" w:hRule="atLeast"/>
                                    </w:trPr>
                                    <w:tc>
                                      <w:tcPr>
                                        <w:tcW w:w="294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Таблицы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4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MS Excel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Adobe Acrobat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.xls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и .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pdf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84" w:hRule="atLeast"/>
                                    </w:trPr>
                                    <w:tc>
                                      <w:tcPr>
                                        <w:tcW w:w="294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Базы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данных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4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MS Excel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и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 Adobe Acrobat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.xls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и .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pdf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84" w:hRule="atLeast"/>
                                    </w:trPr>
                                    <w:tc>
                                      <w:tcPr>
                                        <w:tcW w:w="294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Планы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,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графики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4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MS Project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и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 MS Excel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.mpp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и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.xls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84" w:hRule="atLeast"/>
                                    </w:trPr>
                                    <w:tc>
                                      <w:tcPr>
                                        <w:tcW w:w="294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Чертежи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4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NanoCAD, Adobe Acrobat, MS Visio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.dwg., .pdf, .vsd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84" w:hRule="atLeast"/>
                                    </w:trPr>
                                    <w:tc>
                                      <w:tcPr>
                                        <w:tcW w:w="294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Графический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материал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4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MS Photo Editor 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и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 xml:space="preserve"> Adobe Acrobat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.jpg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и .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pdf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84" w:hRule="atLeast"/>
                                    </w:trPr>
                                    <w:tc>
                                      <w:tcPr>
                                        <w:tcW w:w="2942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Электронный архив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4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WinRar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tabs>
                                            <w:tab w:val="clear" w:pos="708"/>
                                            <w:tab w:val="left" w:pos="1080" w:leader="none"/>
                                          </w:tabs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.rar</w:t>
                                        </w: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*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311" w:hRule="atLeast"/>
                                    </w:trPr>
                                    <w:tc>
                                      <w:tcPr>
                                        <w:tcW w:w="8843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ind w:firstLine="29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*– Материалы каждого тома проекта компоновать в одном файле</w:t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Style25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Врезка2" path="m0,0l-2147483645,0l-2147483645,-2147483646l0,-2147483646xe" stroked="f" o:allowincell="t" style="position:absolute;margin-left:25.45pt;margin-top:4.55pt;width:443pt;height:129.6pt;mso-wrap-style:none;v-text-anchor:middle;mso-position-horizontal:center">
                      <v:fill o:detectmouseclick="t" on="false"/>
                      <v:stroke color="#3465a4" joinstyle="round" endcap="flat"/>
                      <v:textbox>
                        <w:txbxContent>
                          <w:tbl>
                            <w:tblPr>
                              <w:tblW w:w="8843" w:type="dxa"/>
                              <w:jc w:val="left"/>
                              <w:tblInd w:w="56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1e0" w:noHBand="0" w:noVBand="0" w:firstColumn="1" w:lastRow="1" w:lastColumn="1" w:firstRow="1"/>
                            </w:tblPr>
                            <w:tblGrid>
                              <w:gridCol w:w="2942"/>
                              <w:gridCol w:w="4140"/>
                              <w:gridCol w:w="1761"/>
                            </w:tblGrid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ind w:firstLine="709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Вид документа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ind w:firstLine="709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Используемое приложение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ind w:firstLine="709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Формат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Текстовая часть, описания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MS Word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Adobe Acrobat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bidi w:val="0"/>
                                    <w:spacing w:lineRule="auto" w:line="240" w:before="0" w:after="0"/>
                                    <w:ind w:left="0" w:right="0" w:hanging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.doc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и .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pdf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Таблицы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MS Excel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Adobe Acrobat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.xls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и .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pdf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Базы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данных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MS Excel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Adobe Acrobat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.xls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и .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pdf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Планы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графики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MS Project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MS Excel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.mpp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и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.xls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Чертежи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NanoCAD, Adobe Acrobat, MS Visio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.dwg., .pdf, .vsd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Графический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материал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MS Photo Editor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Adobe Acrobat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.jpg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и .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pdf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Электронный архив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WinRar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.rar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*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8843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ind w:firstLine="2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*– Материалы каждого тома проекта компоновать в одном файле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5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Электронный документ, представляемый в формате .pdf, должен быть сформирован способом, не предусматривающим сканирование документа на бумажном носителе, состоять из одного файла, содержащего текстовую и графическую информацию, обеспечивать возможность поиска по текстовому содержанию документа, а также содержать оглавление и закладки, обеспечивающие переходы по оглавлению и к содержащимся в тексте рисункам и таблицам.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допускается передача Документации в формате *.pdf с пофайловым разделением страниц.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Все корректировки разработанной Документации выполняются внесением изменений в соответствии с разделом 7 ГОСТ Р 21.101-2026 «Система проектной документации для строительства. Основные требования к проектной и рабочей документации». К изменённому тому прикладывается разрешение на внесение изменений с описанием внесённых изменений.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59" w:hRule="atLeast"/>
        </w:trPr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1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порядку приемки результатов работ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90" w:hRule="atLeast"/>
        </w:trPr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Порядок приемки результатов работ</w:t>
            </w:r>
          </w:p>
        </w:tc>
        <w:tc>
          <w:tcPr>
            <w:tcW w:w="100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Приемка работ осуществляется в следующем порядке: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по окончании работ Подрядчик передает Заказчику акт сдачи-приемки и материалы, предусмотренные п.2.1.1 ТТ.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 случае возникновения у Заказчика замечаний к результатам работ составляется акт с перечнем необходимых доработок и сроков их выполнения.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3.1.1.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iCs/>
                <w:kern w:val="0"/>
                <w:sz w:val="20"/>
                <w:szCs w:val="20"/>
                <w:lang w:val="ru-RU" w:bidi="ar-SA"/>
              </w:rPr>
              <w:t>Соблюдение при выполнении работ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действующих нормативных документов</w:t>
            </w:r>
          </w:p>
        </w:tc>
        <w:tc>
          <w:tcPr>
            <w:tcW w:w="100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Работы должны быть выполнены в соответствии с требованиями действующих нормативных документов, в том числе, но не ограничиваясь: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- Федеральный закон «Об охране окружающей среды» № 7-ФЗ от 10.01.2002 г.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- Федеральный закон РФ «Об охране атмосферного воздуха» № 96-ФЗ от 04.05.1999 г.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- Федеральный закон РФ «О санитарно-эпидемиологическом благополучии населения» №52-ФЗ от 30.03.1999 г.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- Градостроительный кодекс Российской Федерации № 190-ФЗ от 29.12.2004 г.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- Постановление Правительства РФ от 03.03.2018 г. № 222 «Об утверждении Правил установления санитарно-защитных зон и использования земельных участков, расположенных в границах санитарно-защитных зон»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- СанПиН 2.2.1/2.1.1.1200-03 «Санитарно-защитные зоны и санитарная классификация предприятий, сооружений и иных объектов. Новая редакция». Постановление Главного государственного санитарного врача РФ от 25.09.2007 г. № 74 (с учетом СанПиН 2.2.1/2.1.1.2361-08, СанПиН 2.2.1/2.1.1.2555-09, СанПиН 2.2.1/2.1.1.2739-10) (в действующей редакции));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val="ru-RU" w:bidi="ar-SA"/>
              </w:rPr>
              <w:t>- СанПиН 1.2.3685-21 «Гигиенические нормативы и требования к обеспечению безопасности и (или) безвредности для человека факторов среды обитания. Постановление Главного государственного санитарного врача РФ от 28.01.2021 № 2 (</w:t>
            </w:r>
            <w:r>
              <w:rPr>
                <w:bCs/>
                <w:color w:val="0D0D0D"/>
                <w:kern w:val="0"/>
                <w:sz w:val="20"/>
                <w:szCs w:val="20"/>
                <w:lang w:val="ru-RU" w:bidi="ar-SA"/>
              </w:rPr>
              <w:t>в действующей редакции</w:t>
            </w:r>
            <w:r>
              <w:rPr>
                <w:rFonts w:eastAsia="Calibri"/>
                <w:bCs/>
                <w:kern w:val="0"/>
                <w:sz w:val="20"/>
                <w:szCs w:val="20"/>
                <w:lang w:val="ru-RU" w:bidi="ar-SA"/>
              </w:rPr>
              <w:t>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val="ru-RU" w:bidi="ar-SA"/>
              </w:rPr>
      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      </w: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ru-RU" w:bidi="ar-SA"/>
              </w:rPr>
              <w:t>Постановление Главного государственного санитарного врача РФ от 28.01.2021 № 3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val="ru-RU" w:bidi="ar-SA"/>
              </w:rPr>
              <w:t xml:space="preserve">- СП 51.13330.2011 «Защита от шума. Актуализированная редакция СНиП 23-03-2003», </w:t>
            </w: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утвержден Приказом Минрегиона РФ от 28.12.2010 № 825</w:t>
            </w:r>
            <w:r>
              <w:rPr>
                <w:rFonts w:eastAsia="Calibri"/>
                <w:bCs/>
                <w:kern w:val="0"/>
                <w:sz w:val="20"/>
                <w:szCs w:val="20"/>
                <w:lang w:val="ru-RU" w:bidi="ar-SA"/>
              </w:rPr>
              <w:t xml:space="preserve">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bCs/>
                <w:kern w:val="0"/>
                <w:sz w:val="20"/>
                <w:szCs w:val="20"/>
                <w:lang w:val="ru-RU" w:bidi="ar-SA"/>
              </w:rPr>
              <w:t>- Приказ Минприроды России от 06.06.2017 г. № 273 «Об утверждении методов расчетов рассеивания выбросов вредных (загрязняющих) веществ в атмосферном воздухе».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Normal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100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Подрядчик обязан выполнить работы надлежащего качества и в указанные сроки.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796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Normal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Порядок исполнения договора, в части привлечения субподрядных организаций для выполнения работ</w:t>
            </w:r>
          </w:p>
        </w:tc>
        <w:tc>
          <w:tcPr>
            <w:tcW w:w="100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pacing w:before="0" w:after="0"/>
              <w:contextualSpacing/>
              <w:jc w:val="both"/>
              <w:rPr>
                <w:bCs/>
              </w:rPr>
            </w:pPr>
            <w:r>
              <w:rPr>
                <w:bCs/>
                <w:iCs/>
                <w:kern w:val="0"/>
                <w:sz w:val="20"/>
                <w:szCs w:val="20"/>
                <w:lang w:val="ru-RU" w:bidi="ar-SA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2"/>
                <w:szCs w:val="22"/>
                <w:lang w:eastAsia="x-none"/>
              </w:rPr>
            </w:pPr>
            <w:r>
              <w:rPr>
                <w:rFonts w:eastAsia="Calibri"/>
                <w:b/>
                <w:sz w:val="22"/>
                <w:szCs w:val="22"/>
                <w:lang w:eastAsia="x-none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5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eastAsia="Calibr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Исходные данные, передаваемые Заказчиком Подрядчику (после заключения договора)</w:t>
            </w:r>
          </w:p>
        </w:tc>
        <w:tc>
          <w:tcPr>
            <w:tcW w:w="100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eastAsia="Calibri"/>
                <w:bCs/>
                <w:kern w:val="0"/>
                <w:sz w:val="20"/>
                <w:szCs w:val="20"/>
                <w:lang w:val="ru-RU" w:bidi="ar-SA"/>
              </w:rPr>
              <w:t>- Ситуационная схема расположения площадки строительства «</w:t>
            </w:r>
            <w:r>
              <w:rPr>
                <w:rStyle w:val="LHP1"/>
                <w:spacing w:val="-12"/>
                <w:kern w:val="0"/>
                <w:sz w:val="20"/>
                <w:szCs w:val="20"/>
                <w:lang w:val="ru-RU" w:bidi="ar-SA"/>
              </w:rPr>
              <w:t>Комплекс электроснабжения. Строительство Скалистой ГеоЭС»</w:t>
            </w:r>
            <w:r>
              <w:rPr>
                <w:rFonts w:eastAsia="Calibri"/>
                <w:bCs/>
                <w:kern w:val="0"/>
                <w:sz w:val="20"/>
                <w:szCs w:val="20"/>
                <w:lang w:val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Копии справок о климатических характеристиках и о фоновых концентрациях загрязняющих веществ в атмосферном воздухе в районе расположения проектируемого объекта, полученные в ФГБУ «Камчатское УГМС».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Другие, имеющиеся у Заказчика проектные материалы, необходимые для выполнения работ, предоставляются Заказчиком по письменному запросу Подрядчика, в рабочем порядке.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2"/>
                <w:szCs w:val="22"/>
                <w:lang w:eastAsia="x-none"/>
              </w:rPr>
            </w:pPr>
            <w:r>
              <w:rPr>
                <w:rFonts w:eastAsia="Calibri"/>
                <w:b/>
                <w:sz w:val="22"/>
                <w:szCs w:val="22"/>
                <w:lang w:eastAsia="x-none"/>
              </w:rPr>
            </w:r>
          </w:p>
        </w:tc>
      </w:tr>
      <w:tr>
        <w:trPr/>
        <w:tc>
          <w:tcPr>
            <w:tcW w:w="7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5.1.3.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Стоимость выполнения работ (оказания услуг)</w:t>
            </w:r>
          </w:p>
        </w:tc>
        <w:tc>
          <w:tcPr>
            <w:tcW w:w="100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Стоимость выполнения работ (оказания услуг) является фиксированной на весь срок действия договора.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2"/>
                <w:szCs w:val="22"/>
                <w:lang w:eastAsia="x-none"/>
              </w:rPr>
            </w:pPr>
            <w:r>
              <w:rPr>
                <w:rFonts w:eastAsia="Calibri"/>
                <w:b/>
                <w:sz w:val="22"/>
                <w:szCs w:val="22"/>
                <w:lang w:eastAsia="x-none"/>
              </w:rPr>
            </w:r>
          </w:p>
        </w:tc>
      </w:tr>
      <w:tr>
        <w:trPr/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6.</w:t>
            </w:r>
          </w:p>
        </w:tc>
        <w:tc>
          <w:tcPr>
            <w:tcW w:w="1179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2"/>
                <w:szCs w:val="22"/>
                <w:lang w:val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организации работ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6" w:hRule="atLeast"/>
        </w:trPr>
        <w:tc>
          <w:tcPr>
            <w:tcW w:w="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6.1.1.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Допуск на объект</w:t>
            </w:r>
          </w:p>
        </w:tc>
        <w:tc>
          <w:tcPr>
            <w:tcW w:w="100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Организовать допуск персонала Подрядчика/субподрядчика в соответствии с требованиями Методики </w:t>
            </w:r>
            <w:r>
              <w:rPr>
                <w:bCs/>
                <w:kern w:val="2"/>
                <w:sz w:val="20"/>
                <w:szCs w:val="20"/>
                <w:lang w:val="ru-RU" w:bidi="ar-SA"/>
              </w:rPr>
              <w:t>допуска персонала подрядных организаций к выполнению работ на объектах ПАО «РусГидро»</w:t>
            </w:r>
          </w:p>
        </w:tc>
        <w:tc>
          <w:tcPr>
            <w:tcW w:w="162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6" w:hRule="atLeast"/>
        </w:trPr>
        <w:tc>
          <w:tcPr>
            <w:tcW w:w="7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0" w:right="0" w:hanging="0"/>
              <w:contextualSpacing/>
              <w:jc w:val="center"/>
              <w:rPr>
                <w:rFonts w:eastAsia="Calibri" w:eastAsiaTheme="minorHAnsi"/>
                <w:highlight w:val="none"/>
                <w:shd w:fill="auto" w:val="clear"/>
              </w:rPr>
            </w:pPr>
            <w:r>
              <w:rPr>
                <w:rFonts w:eastAsia="Calibri" w:eastAsiaTheme="minorHAnsi"/>
                <w:b/>
                <w:bCs/>
                <w:sz w:val="22"/>
                <w:szCs w:val="22"/>
                <w:shd w:fill="auto" w:val="clear"/>
              </w:rPr>
              <w:t>7.</w:t>
            </w:r>
          </w:p>
        </w:tc>
        <w:tc>
          <w:tcPr>
            <w:tcW w:w="11796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eastAsia="Calibri" w:eastAsiaTheme="minorHAnsi"/>
                <w:highlight w:val="none"/>
                <w:shd w:fill="auto" w:val="clear"/>
              </w:rPr>
            </w:pPr>
            <w:r>
              <w:rPr>
                <w:rFonts w:eastAsia="Calibri" w:eastAsiaTheme="minorHAnsi"/>
                <w:b/>
                <w:bCs/>
                <w:sz w:val="22"/>
                <w:szCs w:val="22"/>
                <w:shd w:fill="auto" w:val="clear"/>
              </w:rPr>
              <w:t>Иные требования</w:t>
            </w:r>
          </w:p>
        </w:tc>
        <w:tc>
          <w:tcPr>
            <w:tcW w:w="1628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6" w:hRule="atLeast"/>
        </w:trPr>
        <w:tc>
          <w:tcPr>
            <w:tcW w:w="7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eastAsiaTheme="minorHAnsi"/>
                <w:sz w:val="20"/>
                <w:szCs w:val="20"/>
                <w:shd w:fill="auto" w:val="clear"/>
              </w:rPr>
              <w:t>7.1.1.</w:t>
            </w:r>
          </w:p>
        </w:tc>
        <w:tc>
          <w:tcPr>
            <w:tcW w:w="16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eastAsiaTheme="minorHAnsi"/>
                <w:sz w:val="20"/>
                <w:szCs w:val="20"/>
                <w:shd w:fill="auto" w:val="clear"/>
              </w:rPr>
              <w:t>Условия оплаты</w:t>
            </w:r>
          </w:p>
        </w:tc>
        <w:tc>
          <w:tcPr>
            <w:tcW w:w="100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Предусмотрено авансирование в размере не более 30% (тридцати процентов).</w:t>
            </w:r>
          </w:p>
        </w:tc>
        <w:tc>
          <w:tcPr>
            <w:tcW w:w="162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9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spacing w:before="0" w:after="0"/>
        <w:ind w:left="0" w:right="0" w:hanging="0"/>
        <w:rPr>
          <w:sz w:val="24"/>
          <w:szCs w:val="24"/>
        </w:rPr>
      </w:pPr>
      <w:bookmarkStart w:id="51" w:name="__RefHeading___Toc12008_3645919304"/>
      <w:bookmarkEnd w:id="51"/>
      <w:r>
        <w:rPr>
          <w:sz w:val="24"/>
          <w:szCs w:val="24"/>
          <w:shd w:fill="auto" w:val="clear"/>
          <w:lang w:val="ru-RU"/>
        </w:rPr>
        <w:t xml:space="preserve">3. </w:t>
      </w:r>
      <w:bookmarkStart w:id="52" w:name="_Toc223008892"/>
      <w:r>
        <w:rPr>
          <w:sz w:val="24"/>
          <w:szCs w:val="24"/>
          <w:shd w:fill="auto" w:val="clear"/>
          <w:lang w:val="ru-RU"/>
        </w:rPr>
        <w:t>Состав заявки для мониторинга цен</w:t>
      </w:r>
      <w:bookmarkEnd w:id="52"/>
    </w:p>
    <w:p>
      <w:pPr>
        <w:pStyle w:val="Normal"/>
        <w:widowControl w:val="false"/>
        <w:numPr>
          <w:ilvl w:val="0"/>
        </w:numPr>
        <w:tabs>
          <w:tab w:val="clear" w:pos="708"/>
          <w:tab w:val="left" w:pos="426" w:leader="none"/>
          <w:tab w:val="left" w:pos="733" w:leader="none"/>
        </w:tabs>
        <w:suppressAutoHyphens w:val="true"/>
        <w:overflowPunct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bookmarkStart w:id="53" w:name="_Toc46743519"/>
      <w:bookmarkStart w:id="54" w:name="_Toc51339699"/>
      <w:bookmarkEnd w:id="53"/>
      <w:bookmarkEnd w:id="54"/>
      <w:r>
        <w:rPr>
          <w:iCs/>
          <w:sz w:val="24"/>
          <w:szCs w:val="24"/>
          <w:shd w:fill="auto" w:val="clear"/>
          <w:lang w:eastAsia="x-none"/>
        </w:rPr>
        <w:t xml:space="preserve">3.1. </w:t>
      </w:r>
      <w:r>
        <w:rPr>
          <w:iCs/>
          <w:sz w:val="24"/>
          <w:szCs w:val="24"/>
          <w:shd w:fill="auto" w:val="clear"/>
          <w:lang w:val="x-none" w:eastAsia="x-none"/>
        </w:rPr>
        <w:t xml:space="preserve">В составе </w:t>
      </w:r>
      <w:r>
        <w:rPr>
          <w:iCs/>
          <w:sz w:val="24"/>
          <w:szCs w:val="24"/>
          <w:shd w:fill="auto" w:val="clear"/>
          <w:lang w:eastAsia="x-none"/>
        </w:rPr>
        <w:t xml:space="preserve">заявки на </w:t>
      </w:r>
      <w:r>
        <w:rPr>
          <w:iCs/>
          <w:sz w:val="24"/>
          <w:szCs w:val="24"/>
          <w:shd w:fill="auto" w:val="clear"/>
          <w:lang w:val="x-none" w:eastAsia="x-none"/>
        </w:rPr>
        <w:t xml:space="preserve">мониторинг цен необходимо представить </w:t>
      </w:r>
      <w:r>
        <w:rPr>
          <w:iCs/>
          <w:sz w:val="24"/>
          <w:szCs w:val="24"/>
          <w:shd w:fill="auto" w:val="clear"/>
          <w:lang w:eastAsia="x-none"/>
        </w:rPr>
        <w:t>Технико-коммерческое предложение по форме приложения №1 к настоящим Техническим требованиям.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733" w:leader="none"/>
        </w:tabs>
        <w:suppressAutoHyphens w:val="true"/>
        <w:overflowPunct w:val="true"/>
        <w:bidi w:val="0"/>
        <w:spacing w:before="0" w:after="0"/>
        <w:ind w:left="0" w:right="0" w:hanging="0"/>
        <w:jc w:val="both"/>
        <w:rPr>
          <w:iCs/>
          <w:sz w:val="24"/>
          <w:szCs w:val="24"/>
          <w:shd w:fill="auto" w:val="clear"/>
          <w:lang w:eastAsia="x-none"/>
        </w:rPr>
      </w:pPr>
      <w:r>
        <w:rPr>
          <w:iCs/>
          <w:sz w:val="24"/>
          <w:szCs w:val="24"/>
          <w:shd w:fill="auto" w:val="clear"/>
          <w:lang w:eastAsia="x-none"/>
        </w:rPr>
      </w:r>
    </w:p>
    <w:p>
      <w:pPr>
        <w:pStyle w:val="Heading1"/>
        <w:keepNext w:val="true"/>
        <w:widowControl/>
        <w:suppressAutoHyphens w:val="true"/>
        <w:bidi w:val="0"/>
        <w:spacing w:before="120" w:after="60"/>
        <w:ind w:left="0" w:right="0" w:hanging="0"/>
        <w:jc w:val="left"/>
        <w:rPr>
          <w:sz w:val="24"/>
          <w:szCs w:val="24"/>
        </w:rPr>
      </w:pPr>
      <w:bookmarkStart w:id="55" w:name="__RefHeading___Toc9021_2986068082"/>
      <w:bookmarkEnd w:id="55"/>
      <w:r>
        <w:rPr>
          <w:sz w:val="24"/>
          <w:szCs w:val="24"/>
        </w:rPr>
        <w:t>4. Приложения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76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shd w:fill="auto" w:val="clear"/>
        </w:rPr>
        <w:t>Приложение №1: Форма «Технико-коммерческое предложение»;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hanging="0"/>
        <w:rPr>
          <w:rFonts w:ascii="Times New Roman" w:hAnsi="Times New Roman" w:eastAsia="Calibri" w:cs="Times New Roman"/>
          <w:color w:val="auto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Calibri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Приложение №2: Схема расположения площадки проектирования.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color w:val="0D0D0D" w:themeColor="text1" w:themeTint="f2"/>
          <w:kern w:val="0"/>
          <w:sz w:val="24"/>
          <w:szCs w:val="24"/>
        </w:rPr>
      </w:pPr>
      <w:r>
        <w:rPr>
          <w:color w:val="0D0D0D" w:themeColor="text1" w:themeTint="f2"/>
          <w:kern w:val="0"/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orient="landscape" w:w="16838" w:h="11906"/>
          <w:pgMar w:left="851" w:right="567" w:gutter="0" w:header="0" w:top="924" w:footer="0" w:bottom="1304"/>
          <w:pgNumType w:fmt="decimal"/>
          <w:formProt w:val="false"/>
          <w:textDirection w:val="lrTb"/>
          <w:docGrid w:type="default" w:linePitch="360" w:charSpace="0"/>
        </w:sectPr>
        <w:pStyle w:val="Heading1"/>
        <w:spacing w:before="0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ind w:left="6160" w:right="142" w:hanging="0"/>
        <w:jc w:val="right"/>
        <w:rPr>
          <w:b/>
          <w:bCs/>
        </w:rPr>
      </w:pPr>
      <w:r>
        <w:rPr>
          <w:b/>
          <w:bCs/>
          <w:sz w:val="24"/>
        </w:rPr>
        <w:t>Приложение №1 к ТТ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ind w:left="6160" w:right="142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tbl>
      <w:tblPr>
        <w:tblW w:w="986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66"/>
      </w:tblGrid>
      <w:tr>
        <w:trPr/>
        <w:tc>
          <w:tcPr>
            <w:tcW w:w="986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rPr/>
            </w:pPr>
            <w:r>
              <w:rPr>
                <w:b/>
                <w:sz w:val="24"/>
                <w:szCs w:val="24"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начало формы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812" w:leader="none"/>
        </w:tabs>
        <w:ind w:left="0" w:right="0" w:hanging="0"/>
        <w:jc w:val="center"/>
        <w:rPr/>
      </w:pPr>
      <w:r>
        <w:rPr>
          <w:i/>
          <w:sz w:val="24"/>
          <w:szCs w:val="24"/>
        </w:rPr>
        <w:t>На официальном бланке участника</w:t>
      </w:r>
    </w:p>
    <w:p>
      <w:pPr>
        <w:pStyle w:val="Normal"/>
        <w:numPr>
          <w:ilvl w:val="0"/>
          <w:numId w:val="0"/>
        </w:numPr>
        <w:suppressAutoHyphens w:val="true"/>
        <w:spacing w:before="0" w:after="240"/>
        <w:ind w:left="5038" w:hanging="0"/>
        <w:jc w:val="center"/>
        <w:rPr>
          <w:b/>
        </w:rPr>
      </w:pPr>
      <w:r>
        <w:rPr>
          <w:b/>
        </w:rPr>
      </w:r>
    </w:p>
    <w:tbl>
      <w:tblPr>
        <w:tblW w:w="30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072"/>
        <w:gridCol w:w="1253"/>
      </w:tblGrid>
      <w:tr>
        <w:trPr/>
        <w:tc>
          <w:tcPr>
            <w:tcW w:w="174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0" w:right="0" w:hanging="0"/>
              <w:rPr/>
            </w:pPr>
            <w:r>
              <w:rPr>
                <w:sz w:val="24"/>
                <w:szCs w:val="24"/>
              </w:rPr>
              <w:t>Исходящий №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0" w:right="0" w:hanging="0"/>
              <w:rPr/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32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23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true"/>
        <w:spacing w:before="0" w:after="240"/>
        <w:ind w:left="5038" w:hanging="0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uppressAutoHyphens w:val="true"/>
        <w:spacing w:before="0" w:after="0"/>
        <w:ind w:left="0" w:right="0" w:hanging="0"/>
        <w:jc w:val="center"/>
        <w:rPr/>
      </w:pPr>
      <w:r>
        <w:rPr>
          <w:b/>
        </w:rPr>
        <w:t>Технико-коммерческое предложение</w:t>
      </w:r>
    </w:p>
    <w:p>
      <w:pPr>
        <w:pStyle w:val="Normal"/>
        <w:numPr>
          <w:ilvl w:val="0"/>
          <w:numId w:val="0"/>
        </w:numPr>
        <w:suppressAutoHyphens w:val="true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Изучив Технические требования Заказчика в рамках настоящего мониторинга</w:t>
      </w:r>
      <w:r>
        <w:rPr>
          <w:kern w:val="2"/>
          <w:sz w:val="24"/>
          <w:szCs w:val="24"/>
        </w:rPr>
        <w:t xml:space="preserve"> «</w:t>
      </w:r>
      <w:r>
        <w:rPr>
          <w:rFonts w:eastAsia="Times New Roman" w:cs="Times New Roman"/>
          <w:b w:val="false"/>
          <w:bCs w:val="false"/>
          <w:kern w:val="2"/>
          <w:sz w:val="24"/>
          <w:szCs w:val="24"/>
          <w:lang w:eastAsia="ru-RU"/>
        </w:rPr>
        <w:t>ОКПД2 71.12.19.100 Выполнение проекта санитарно-защитной зоны по обоснованию изменения границ установленной санитарно-защитной зоны для действующего объекта Мутновская ГеоЭС-1 (Лицензионный участок Верхнежировской-1, Верхнежировской-2 Верхнежировского МППВ по лицензии ПТР 00944ВЭ) с учетом перспективы развития: «Разработка проектно-сметной документации «Комплекс электроснабжения. Строительство Скалистой ГеоЭС»,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11"/>
        <w:gridCol w:w="271"/>
      </w:tblGrid>
      <w:tr>
        <w:trPr/>
        <w:tc>
          <w:tcPr>
            <w:tcW w:w="971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rPr/>
            </w:pPr>
            <w:r>
              <w:rPr>
                <w:sz w:val="24"/>
                <w:szCs w:val="24"/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9711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/>
            </w:pPr>
            <w:r>
              <w:rPr>
                <w:sz w:val="24"/>
                <w:szCs w:val="24"/>
              </w:rPr>
              <w:t>,</w:t>
            </w:r>
          </w:p>
        </w:tc>
      </w:tr>
      <w:tr>
        <w:trPr/>
        <w:tc>
          <w:tcPr>
            <w:tcW w:w="9711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rPr/>
            </w:pPr>
            <w:r>
              <w:rPr>
                <w:sz w:val="24"/>
                <w:szCs w:val="24"/>
                <w:vertAlign w:val="superscript"/>
              </w:rPr>
              <w:t>(юридический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9711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ind w:left="0" w:right="0" w:hanging="0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711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rPr/>
            </w:pPr>
            <w:r>
              <w:rPr>
                <w:sz w:val="24"/>
                <w:szCs w:val="24"/>
                <w:vertAlign w:val="superscript"/>
              </w:rPr>
              <w:t>(почтовый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ind w:left="0" w:right="0" w:hanging="0"/>
              <w:rPr/>
            </w:pPr>
            <w:r>
              <w:rPr/>
            </w:r>
          </w:p>
        </w:tc>
      </w:tr>
      <w:tr>
        <w:trPr/>
        <w:tc>
          <w:tcPr>
            <w:tcW w:w="9711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ind w:left="0" w:right="0" w:hanging="0"/>
              <w:jc w:val="both"/>
              <w:rPr/>
            </w:pPr>
            <w:r>
              <w:rPr/>
              <w:t>,</w:t>
            </w:r>
          </w:p>
        </w:tc>
      </w:tr>
    </w:tbl>
    <w:p>
      <w:pPr>
        <w:pStyle w:val="Normal"/>
        <w:numPr>
          <w:ilvl w:val="0"/>
          <w:numId w:val="0"/>
        </w:numPr>
        <w:ind w:left="0" w:right="0" w:hanging="0"/>
        <w:jc w:val="center"/>
        <w:rPr/>
      </w:pPr>
      <w:r>
        <w:rPr>
          <w:sz w:val="24"/>
          <w:szCs w:val="24"/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numPr>
          <w:ilvl w:val="0"/>
          <w:numId w:val="0"/>
        </w:numPr>
        <w:suppressAutoHyphens w:val="true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ind w:left="0" w:right="0" w:hanging="0"/>
        <w:jc w:val="both"/>
        <w:rPr/>
      </w:pPr>
      <w:r>
        <w:rPr>
          <w:sz w:val="24"/>
          <w:szCs w:val="24"/>
        </w:rPr>
        <w:t xml:space="preserve">согласен </w:t>
      </w:r>
      <w:r>
        <w:rPr>
          <w:kern w:val="2"/>
          <w:sz w:val="24"/>
          <w:szCs w:val="24"/>
        </w:rPr>
        <w:t xml:space="preserve">со всеми условиями Технических требований, включая установленные (предложенные Заказчиком) сроки выполнения работ и условия оплаты, </w:t>
      </w:r>
      <w:r>
        <w:rPr>
          <w:sz w:val="24"/>
          <w:szCs w:val="24"/>
        </w:rPr>
        <w:t>и сообщаю следующее: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af"/>
        <w:tblW w:w="986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81"/>
        <w:gridCol w:w="6184"/>
      </w:tblGrid>
      <w:tr>
        <w:trPr>
          <w:trHeight w:val="783" w:hRule="atLeast"/>
        </w:trPr>
        <w:tc>
          <w:tcPr>
            <w:tcW w:w="36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работ, без НДС, руб.</w:t>
            </w:r>
          </w:p>
        </w:tc>
        <w:tc>
          <w:tcPr>
            <w:tcW w:w="618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00 000 000,00 руб. (сумма прописью)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true"/>
        <w:ind w:left="5038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spacing w:before="240" w:after="24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spacing w:before="0" w:after="0"/>
        <w:ind w:left="5038" w:hanging="0"/>
        <w:contextualSpacing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tbl>
      <w:tblPr>
        <w:tblStyle w:val="af"/>
        <w:tblW w:w="9866" w:type="dxa"/>
        <w:jc w:val="left"/>
        <w:tblInd w:w="10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3290"/>
        <w:gridCol w:w="3273"/>
        <w:gridCol w:w="3303"/>
      </w:tblGrid>
      <w:tr>
        <w:trPr/>
        <w:tc>
          <w:tcPr>
            <w:tcW w:w="329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left"/>
              <w:rPr>
                <w:rFonts w:ascii="Times New Roman" w:hAnsi="Times New Roman"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  <w:t>должность</w:t>
            </w:r>
          </w:p>
        </w:tc>
        <w:tc>
          <w:tcPr>
            <w:tcW w:w="327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left="170" w:right="0" w:hanging="0"/>
              <w:contextualSpacing/>
              <w:jc w:val="center"/>
              <w:rPr>
                <w:rFonts w:ascii="Times New Roman" w:hAnsi="Times New Roman"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  <w:t>подпись, печать</w:t>
            </w:r>
          </w:p>
        </w:tc>
        <w:tc>
          <w:tcPr>
            <w:tcW w:w="330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rPr>
                <w:rFonts w:ascii="Times New Roman" w:hAnsi="Times New Roman"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666666" w:themeShade="bf"/>
                <w:kern w:val="0"/>
                <w:sz w:val="20"/>
                <w:szCs w:val="20"/>
                <w:lang w:val="ru-RU" w:eastAsia="en-US" w:bidi="ar-SA"/>
              </w:rPr>
              <w:t>(расшифровка подписи)</w:t>
            </w:r>
          </w:p>
        </w:tc>
      </w:tr>
    </w:tbl>
    <w:p>
      <w:pPr>
        <w:pStyle w:val="Normal"/>
        <w:numPr>
          <w:ilvl w:val="0"/>
          <w:numId w:val="0"/>
        </w:numPr>
        <w:suppressAutoHyphens w:val="true"/>
        <w:spacing w:before="0" w:after="0"/>
        <w:ind w:left="720" w:hanging="0"/>
        <w:contextualSpacing/>
        <w:jc w:val="center"/>
        <w:rPr>
          <w:color w:val="BFBFBF" w:themeColor="background1" w:themeShade="bf"/>
          <w:kern w:val="2"/>
          <w:sz w:val="20"/>
          <w:szCs w:val="20"/>
        </w:rPr>
      </w:pPr>
      <w:r>
        <w:rPr>
          <w:color w:val="BFBFBF" w:themeColor="background1" w:themeShade="bf"/>
          <w:kern w:val="2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ind w:left="72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83"/>
      </w:tblGrid>
      <w:tr>
        <w:trPr/>
        <w:tc>
          <w:tcPr>
            <w:tcW w:w="998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формы</w:t>
            </w:r>
          </w:p>
        </w:tc>
      </w:tr>
    </w:tbl>
    <w:p>
      <w:pPr>
        <w:pStyle w:val="Normal"/>
        <w:widowControl w:val="false"/>
        <w:numPr>
          <w:ilvl w:val="0"/>
        </w:numPr>
        <w:tabs>
          <w:tab w:val="clear" w:pos="708"/>
          <w:tab w:val="left" w:pos="426" w:leader="none"/>
        </w:tabs>
        <w:ind w:left="6160" w:hanging="0"/>
        <w:jc w:val="right"/>
        <w:rPr>
          <w:sz w:val="24"/>
        </w:rPr>
      </w:pPr>
      <w:r>
        <w:rPr>
          <w:sz w:val="24"/>
        </w:rPr>
      </w:r>
    </w:p>
    <w:p>
      <w:pPr>
        <w:pStyle w:val="Normal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</w:r>
    </w:p>
    <w:p>
      <w:pPr>
        <w:pStyle w:val="Normal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</w:r>
    </w:p>
    <w:p>
      <w:pPr>
        <w:pStyle w:val="Normal"/>
        <w:rPr>
          <w:bCs/>
          <w:color w:val="0D0D0D" w:themeColor="text1" w:themeTint="f2"/>
          <w:sz w:val="22"/>
          <w:szCs w:val="22"/>
        </w:rPr>
      </w:pPr>
      <w:r>
        <w:rPr>
          <w:bCs/>
          <w:color w:val="0D0D0D" w:themeColor="text1" w:themeTint="f2"/>
          <w:sz w:val="22"/>
          <w:szCs w:val="22"/>
        </w:rPr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bCs/>
          <w:color w:val="0D0D0D" w:themeColor="text1" w:themeTint="f2"/>
          <w:sz w:val="22"/>
          <w:szCs w:val="22"/>
        </w:rPr>
      </w:pPr>
      <w:r>
        <w:rPr>
          <w:b/>
          <w:bCs/>
          <w:color w:val="0D0D0D" w:themeColor="text1" w:themeTint="f2"/>
          <w:sz w:val="22"/>
          <w:szCs w:val="22"/>
        </w:rPr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bCs/>
          <w:color w:val="0D0D0D" w:themeColor="text1" w:themeTint="f2"/>
          <w:sz w:val="22"/>
          <w:szCs w:val="22"/>
        </w:rPr>
      </w:pPr>
      <w:r>
        <w:rPr>
          <w:b/>
          <w:bCs/>
          <w:color w:val="0D0D0D" w:themeColor="text1" w:themeTint="f2"/>
          <w:sz w:val="22"/>
          <w:szCs w:val="22"/>
        </w:rPr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bCs/>
          <w:color w:val="0D0D0D" w:themeColor="text1" w:themeTint="f2"/>
          <w:sz w:val="22"/>
          <w:szCs w:val="22"/>
        </w:rPr>
      </w:pPr>
      <w:r>
        <w:rPr>
          <w:b/>
          <w:bCs/>
          <w:color w:val="0D0D0D" w:themeColor="text1" w:themeTint="f2"/>
          <w:sz w:val="22"/>
          <w:szCs w:val="22"/>
        </w:rPr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bCs/>
          <w:color w:val="0D0D0D" w:themeColor="text1" w:themeTint="f2"/>
          <w:sz w:val="22"/>
          <w:szCs w:val="22"/>
        </w:rPr>
      </w:pPr>
      <w:r>
        <w:rPr>
          <w:b/>
          <w:bCs/>
          <w:color w:val="0D0D0D" w:themeColor="text1" w:themeTint="f2"/>
          <w:sz w:val="22"/>
          <w:szCs w:val="22"/>
        </w:rPr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bCs/>
          <w:color w:val="0D0D0D" w:themeColor="text1" w:themeTint="f2"/>
          <w:sz w:val="22"/>
          <w:szCs w:val="22"/>
        </w:rPr>
      </w:pPr>
      <w:r>
        <w:rPr>
          <w:b/>
          <w:bCs/>
          <w:color w:val="0D0D0D" w:themeColor="text1" w:themeTint="f2"/>
          <w:sz w:val="22"/>
          <w:szCs w:val="22"/>
        </w:rPr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bCs/>
          <w:color w:val="0D0D0D" w:themeColor="text1" w:themeTint="f2"/>
          <w:sz w:val="22"/>
          <w:szCs w:val="22"/>
        </w:rPr>
      </w:pPr>
      <w:r>
        <w:rPr>
          <w:b/>
          <w:bCs/>
          <w:color w:val="0D0D0D" w:themeColor="text1" w:themeTint="f2"/>
          <w:sz w:val="22"/>
          <w:szCs w:val="22"/>
        </w:rPr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bCs/>
          <w:color w:val="0D0D0D" w:themeColor="text1" w:themeTint="f2"/>
          <w:sz w:val="22"/>
          <w:szCs w:val="22"/>
        </w:rPr>
      </w:pPr>
      <w:r>
        <w:rPr>
          <w:b/>
          <w:bCs/>
          <w:color w:val="0D0D0D" w:themeColor="text1" w:themeTint="f2"/>
          <w:sz w:val="22"/>
          <w:szCs w:val="22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b/>
          <w:sz w:val="26"/>
          <w:szCs w:val="26"/>
        </w:rPr>
        <w:t>Приложение №2 к ТТ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Схема расположения площадки проектирования</w:t>
      </w:r>
    </w:p>
    <w:p>
      <w:pPr>
        <w:pStyle w:val="Normal"/>
        <w:jc w:val="center"/>
        <w:rPr>
          <w:b/>
        </w:rPr>
      </w:pPr>
      <w:r>
        <w:rPr/>
        <w:drawing>
          <wp:inline distT="0" distB="0" distL="0" distR="0">
            <wp:extent cx="6054090" cy="8566785"/>
            <wp:effectExtent l="0" t="0" r="0" b="0"/>
            <wp:docPr id="3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856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clear" w:pos="708"/>
          <w:tab w:val="left" w:pos="142" w:leader="none"/>
          <w:tab w:val="left" w:pos="567" w:leader="none"/>
        </w:tabs>
        <w:spacing w:lineRule="auto" w:line="240" w:before="0" w:after="113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BodyText"/>
        <w:tabs>
          <w:tab w:val="clear" w:pos="708"/>
          <w:tab w:val="left" w:pos="142" w:leader="none"/>
          <w:tab w:val="left" w:pos="567" w:leader="none"/>
        </w:tabs>
        <w:spacing w:lineRule="auto" w:line="240" w:before="0" w:after="113"/>
        <w:jc w:val="right"/>
        <w:rPr>
          <w:sz w:val="26"/>
          <w:szCs w:val="26"/>
        </w:rPr>
      </w:pPr>
      <w:r>
        <w:rPr/>
      </w:r>
    </w:p>
    <w:sectPr>
      <w:type w:val="nextPage"/>
      <w:pgSz w:w="11906" w:h="16838"/>
      <w:pgMar w:left="1304" w:right="619" w:gutter="0" w:header="0" w:top="104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sz w:val="24"/>
        <w:b/>
        <w:szCs w:val="24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81"/>
        </w:tabs>
        <w:ind w:left="1824" w:hanging="547"/>
      </w:pPr>
      <w:rPr>
        <w:sz w:val="24"/>
        <w:b/>
        <w:szCs w:val="24"/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93"/>
        </w:tabs>
        <w:ind w:left="937" w:hanging="227"/>
      </w:pPr>
      <w:rPr>
        <w:i w:val="false"/>
        <w:b w:val="false"/>
        <w:rFonts w:ascii="Times New Roman" w:hAnsi="Times New Roman" w:eastAsia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080" w:hanging="1080"/>
      </w:pPr>
      <w:rPr>
        <w:rFonts w:ascii="Times New Roman" w:hAnsi="Times New Roman" w:eastAsia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2"/>
        <w:b/>
        <w:szCs w:val="22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3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31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633211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ee4c6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b2d8d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c5d36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Подзаголовок Знак"/>
    <w:basedOn w:val="DefaultParagraphFont"/>
    <w:qFormat/>
    <w:rsid w:val="00db6188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236b62"/>
    <w:rPr>
      <w:rFonts w:ascii="Segoe UI" w:hAnsi="Segoe UI" w:eastAsia="Times New Roman" w:cs="Segoe UI"/>
      <w:sz w:val="18"/>
      <w:szCs w:val="18"/>
      <w:lang w:eastAsia="ru-RU"/>
    </w:rPr>
  </w:style>
  <w:style w:type="character" w:styleId="Annotationreference">
    <w:name w:val="annotation reference"/>
    <w:basedOn w:val="DefaultParagraphFont"/>
    <w:unhideWhenUsed/>
    <w:qFormat/>
    <w:rsid w:val="00bf5305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qFormat/>
    <w:rsid w:val="00bf530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bf530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9" w:customStyle="1">
    <w:name w:val="Абзац списка Знак"/>
    <w:link w:val="ListParagraph"/>
    <w:uiPriority w:val="34"/>
    <w:qFormat/>
    <w:locked/>
    <w:rsid w:val="00a77a1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a5696e"/>
    <w:rPr>
      <w:color w:val="0563C1" w:themeColor="hyperlink"/>
      <w:u w:val="single"/>
    </w:rPr>
  </w:style>
  <w:style w:type="character" w:styleId="Style10" w:customStyle="1">
    <w:name w:val="Текст сноски Знак"/>
    <w:basedOn w:val="DefaultParagraphFont"/>
    <w:uiPriority w:val="99"/>
    <w:qFormat/>
    <w:rsid w:val="003423f1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1">
    <w:name w:val="Символ сноски"/>
    <w:uiPriority w:val="99"/>
    <w:unhideWhenUsed/>
    <w:qFormat/>
    <w:rsid w:val="003423f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2" w:customStyle="1">
    <w:name w:val="Стиль2 Знак"/>
    <w:link w:val="22"/>
    <w:uiPriority w:val="99"/>
    <w:qFormat/>
    <w:rsid w:val="003423f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Без интервала Знак"/>
    <w:link w:val="NoSpacing"/>
    <w:uiPriority w:val="1"/>
    <w:qFormat/>
    <w:rsid w:val="005e1f0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Bodytext2" w:customStyle="1">
    <w:name w:val="Body text (2)_"/>
    <w:basedOn w:val="DefaultParagraphFont"/>
    <w:link w:val="Bodytext21"/>
    <w:qFormat/>
    <w:locked/>
    <w:rsid w:val="002410c4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Bodytext28pt" w:customStyle="1">
    <w:name w:val="Body text (2) + 8 pt"/>
    <w:basedOn w:val="Bodytext2"/>
    <w:qFormat/>
    <w:rsid w:val="002410c4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6"/>
      <w:szCs w:val="16"/>
      <w:u w:val="none"/>
      <w:shd w:fill="FFFFFF" w:val="clear"/>
      <w:lang w:val="ru-RU" w:eastAsia="ru-RU" w:bidi="ru-RU"/>
    </w:rPr>
  </w:style>
  <w:style w:type="character" w:styleId="Bodytext28ptBold" w:customStyle="1">
    <w:name w:val="Body text (2) + 8 pt;Bold"/>
    <w:basedOn w:val="Bodytext2"/>
    <w:qFormat/>
    <w:rsid w:val="002410c4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6"/>
      <w:szCs w:val="16"/>
      <w:u w:val="none"/>
      <w:shd w:fill="FFFFFF" w:val="clear"/>
      <w:lang w:val="ru-RU" w:eastAsia="ru-RU" w:bidi="ru-RU"/>
    </w:rPr>
  </w:style>
  <w:style w:type="character" w:styleId="Style13" w:customStyle="1">
    <w:name w:val="для проекта Знак"/>
    <w:link w:val="Style20"/>
    <w:qFormat/>
    <w:locked/>
    <w:rsid w:val="00926595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63321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Основной текст Знак"/>
    <w:basedOn w:val="DefaultParagraphFont"/>
    <w:qFormat/>
    <w:rsid w:val="00e21964"/>
    <w:rPr>
      <w:rFonts w:ascii="Times New Roman" w:hAnsi="Times New Roman" w:eastAsia="Times New Roman" w:cs="Times New Roman"/>
      <w:sz w:val="26"/>
      <w:szCs w:val="24"/>
      <w:lang w:val="x-none" w:eastAsia="ru-RU"/>
    </w:rPr>
  </w:style>
  <w:style w:type="character" w:styleId="LHP" w:customStyle="1">
    <w:name w:val="LHP_Титул Знак"/>
    <w:basedOn w:val="DefaultParagraphFont"/>
    <w:link w:val="LHP2"/>
    <w:qFormat/>
    <w:rsid w:val="00d476cc"/>
    <w:rPr>
      <w:rFonts w:ascii="Times New Roman" w:hAnsi="Times New Roman" w:eastAsia="Times New Roman" w:cs="Times New Roman"/>
      <w:b/>
      <w:bCs/>
      <w:sz w:val="40"/>
      <w:szCs w:val="36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c5d36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9b2d8d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  <w:lang w:eastAsia="ru-RU"/>
    </w:rPr>
  </w:style>
  <w:style w:type="character" w:styleId="ConsPlusNormal" w:customStyle="1">
    <w:name w:val="ConsPlusNormal Знак"/>
    <w:link w:val="ConsPlusNormal1"/>
    <w:qFormat/>
    <w:rsid w:val="00353f5e"/>
    <w:rPr>
      <w:rFonts w:ascii="Arial" w:hAnsi="Arial" w:eastAsia="Times New Roman" w:cs="Arial"/>
      <w:sz w:val="20"/>
      <w:szCs w:val="20"/>
      <w:lang w:eastAsia="ru-RU"/>
    </w:rPr>
  </w:style>
  <w:style w:type="character" w:styleId="LHP1" w:customStyle="1">
    <w:name w:val="LHP_Основной текст Знак"/>
    <w:basedOn w:val="DefaultParagraphFont"/>
    <w:link w:val="LHP3"/>
    <w:qFormat/>
    <w:rsid w:val="0088050e"/>
    <w:rPr>
      <w:rFonts w:ascii="Times New Roman" w:hAnsi="Times New Roman" w:eastAsia="Times New Roman" w:cs="Times New Roman"/>
      <w:sz w:val="26"/>
      <w:szCs w:val="24"/>
      <w:lang w:eastAsia="ru-RU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ee4c61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bd6c8b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6">
    <w:name w:val="Ссылка указателя"/>
    <w:qFormat/>
    <w:rPr/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Organictextcontentspan">
    <w:name w:val="organictextcontentspan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Style14"/>
    <w:rsid w:val="00e21964"/>
    <w:pPr>
      <w:jc w:val="both"/>
    </w:pPr>
    <w:rPr>
      <w:sz w:val="26"/>
      <w:lang w:val="x-none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Style9"/>
    <w:uiPriority w:val="34"/>
    <w:qFormat/>
    <w:rsid w:val="004642a5"/>
    <w:pPr>
      <w:spacing w:before="0" w:after="0"/>
      <w:ind w:left="720" w:hanging="0"/>
      <w:contextualSpacing/>
    </w:pPr>
    <w:rPr/>
  </w:style>
  <w:style w:type="paragraph" w:styleId="Subtitle">
    <w:name w:val="Subtitle"/>
    <w:basedOn w:val="Normal"/>
    <w:next w:val="Normal"/>
    <w:link w:val="Style5"/>
    <w:autoRedefine/>
    <w:qFormat/>
    <w:rsid w:val="00db6188"/>
    <w:pPr>
      <w:spacing w:before="240" w:after="240"/>
      <w:outlineLvl w:val="1"/>
    </w:pPr>
    <w:rPr>
      <w:b/>
    </w:rPr>
  </w:style>
  <w:style w:type="paragraph" w:styleId="BalloonText">
    <w:name w:val="Balloon Text"/>
    <w:basedOn w:val="Normal"/>
    <w:link w:val="Style6"/>
    <w:semiHidden/>
    <w:unhideWhenUsed/>
    <w:qFormat/>
    <w:rsid w:val="00236b62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a933d8"/>
    <w:pPr>
      <w:spacing w:beforeAutospacing="1" w:afterAutospacing="1"/>
    </w:pPr>
    <w:rPr/>
  </w:style>
  <w:style w:type="paragraph" w:styleId="ConsPlusNormal1" w:customStyle="1">
    <w:name w:val="ConsPlusNormal"/>
    <w:link w:val="ConsPlusNormal"/>
    <w:qFormat/>
    <w:rsid w:val="00c34f9f"/>
    <w:pPr>
      <w:widowControl w:val="false"/>
      <w:suppressAutoHyphens w:val="true"/>
      <w:bidi w:val="0"/>
      <w:spacing w:lineRule="auto" w:line="240" w:before="0" w:after="0"/>
      <w:ind w:firstLine="720"/>
      <w:jc w:val="center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Headertext" w:customStyle="1">
    <w:name w:val="headertext"/>
    <w:qFormat/>
    <w:rsid w:val="00b33167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Annotationtext">
    <w:name w:val="annotation text"/>
    <w:basedOn w:val="Normal"/>
    <w:link w:val="Style7"/>
    <w:unhideWhenUsed/>
    <w:qFormat/>
    <w:rsid w:val="00bf530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unhideWhenUsed/>
    <w:qFormat/>
    <w:rsid w:val="00bf5305"/>
    <w:pPr/>
    <w:rPr>
      <w:b/>
      <w:bCs/>
    </w:rPr>
  </w:style>
  <w:style w:type="paragraph" w:styleId="11" w:customStyle="1">
    <w:name w:val="Стиль1"/>
    <w:basedOn w:val="Normal"/>
    <w:qFormat/>
    <w:rsid w:val="003423f1"/>
    <w:pPr>
      <w:numPr>
        <w:ilvl w:val="0"/>
        <w:numId w:val="1"/>
      </w:numPr>
      <w:tabs>
        <w:tab w:val="clear" w:pos="708"/>
        <w:tab w:val="left" w:pos="360" w:leader="none"/>
        <w:tab w:val="left" w:pos="900" w:leader="none"/>
      </w:tabs>
      <w:jc w:val="both"/>
    </w:pPr>
    <w:rPr>
      <w:b/>
    </w:rPr>
  </w:style>
  <w:style w:type="paragraph" w:styleId="22" w:customStyle="1">
    <w:name w:val="Стиль2"/>
    <w:basedOn w:val="Normal"/>
    <w:link w:val="2"/>
    <w:uiPriority w:val="99"/>
    <w:qFormat/>
    <w:rsid w:val="003423f1"/>
    <w:pPr>
      <w:numPr>
        <w:ilvl w:val="1"/>
        <w:numId w:val="1"/>
      </w:numPr>
      <w:tabs>
        <w:tab w:val="clear" w:pos="708"/>
        <w:tab w:val="left" w:pos="360" w:leader="none"/>
        <w:tab w:val="left" w:pos="900" w:leader="none"/>
      </w:tabs>
      <w:jc w:val="both"/>
    </w:pPr>
    <w:rPr/>
  </w:style>
  <w:style w:type="paragraph" w:styleId="FootnoteText">
    <w:name w:val="Footnote Text"/>
    <w:basedOn w:val="Normal"/>
    <w:link w:val="Style10"/>
    <w:uiPriority w:val="99"/>
    <w:unhideWhenUsed/>
    <w:rsid w:val="003423f1"/>
    <w:pPr/>
    <w:rPr>
      <w:rFonts w:eastAsia="Calibri"/>
      <w:sz w:val="20"/>
      <w:szCs w:val="20"/>
    </w:rPr>
  </w:style>
  <w:style w:type="paragraph" w:styleId="NoSpacing">
    <w:name w:val="No Spacing"/>
    <w:link w:val="Style12"/>
    <w:uiPriority w:val="1"/>
    <w:qFormat/>
    <w:rsid w:val="005e1f0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A" w:customStyle="1">
    <w:name w:val="a"/>
    <w:basedOn w:val="Normal"/>
    <w:qFormat/>
    <w:rsid w:val="000a4fd3"/>
    <w:pPr>
      <w:spacing w:beforeAutospacing="1" w:afterAutospacing="1"/>
    </w:pPr>
    <w:rPr/>
  </w:style>
  <w:style w:type="paragraph" w:styleId="Bodytext21" w:customStyle="1">
    <w:name w:val="Body text (2)"/>
    <w:basedOn w:val="Normal"/>
    <w:link w:val="Bodytext2"/>
    <w:qFormat/>
    <w:rsid w:val="002410c4"/>
    <w:pPr>
      <w:widowControl w:val="false"/>
      <w:shd w:val="clear" w:color="auto" w:fill="FFFFFF"/>
      <w:spacing w:lineRule="exact" w:line="322"/>
    </w:pPr>
    <w:rPr>
      <w:sz w:val="28"/>
      <w:szCs w:val="28"/>
      <w:lang w:eastAsia="en-US"/>
    </w:rPr>
  </w:style>
  <w:style w:type="paragraph" w:styleId="Style20" w:customStyle="1">
    <w:name w:val="для проекта"/>
    <w:basedOn w:val="NoSpacing"/>
    <w:link w:val="Style13"/>
    <w:qFormat/>
    <w:rsid w:val="00926595"/>
    <w:pPr>
      <w:spacing w:lineRule="auto" w:line="360"/>
      <w:ind w:firstLine="851"/>
      <w:jc w:val="both"/>
    </w:pPr>
    <w:rPr>
      <w:szCs w:val="20"/>
    </w:rPr>
  </w:style>
  <w:style w:type="paragraph" w:styleId="ConsPlusTitle" w:customStyle="1">
    <w:name w:val="ConsPlusTitle"/>
    <w:qFormat/>
    <w:rsid w:val="00495571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uiPriority w:val="99"/>
    <w:semiHidden/>
    <w:qFormat/>
    <w:rsid w:val="00861d5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RMATTEXT" w:customStyle="1">
    <w:name w:val=".FORMATTEXT"/>
    <w:uiPriority w:val="99"/>
    <w:qFormat/>
    <w:rsid w:val="00a24c5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LHP2" w:customStyle="1">
    <w:name w:val="LHP_Титул"/>
    <w:link w:val="LHP"/>
    <w:qFormat/>
    <w:rsid w:val="00d476cc"/>
    <w:pPr>
      <w:widowControl/>
      <w:suppressAutoHyphens w:val="true"/>
      <w:bidi w:val="0"/>
      <w:spacing w:lineRule="auto" w:line="240" w:before="0" w:after="0"/>
      <w:ind w:left="284" w:right="284" w:hanging="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40"/>
      <w:szCs w:val="36"/>
      <w:lang w:val="ru-RU" w:eastAsia="ru-RU" w:bidi="ar-SA"/>
    </w:rPr>
  </w:style>
  <w:style w:type="paragraph" w:styleId="Font7" w:customStyle="1">
    <w:name w:val="font_7"/>
    <w:basedOn w:val="Normal"/>
    <w:qFormat/>
    <w:rsid w:val="00d66035"/>
    <w:pPr>
      <w:spacing w:beforeAutospacing="1" w:afterAutospacing="1"/>
    </w:pPr>
    <w:rPr/>
  </w:style>
  <w:style w:type="paragraph" w:styleId="Style21" w:customStyle="1">
    <w:name w:val="Раздел положения"/>
    <w:basedOn w:val="Normal"/>
    <w:autoRedefine/>
    <w:qFormat/>
    <w:rsid w:val="006c5d36"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6c5d36"/>
    <w:pPr>
      <w:numPr>
        <w:ilvl w:val="1"/>
        <w:numId w:val="2"/>
      </w:numPr>
      <w:spacing w:before="80" w:after="80"/>
      <w:jc w:val="both"/>
    </w:pPr>
    <w:rPr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6c5d36"/>
    <w:pPr>
      <w:spacing w:before="120" w:after="0"/>
    </w:pPr>
    <w:rPr>
      <w:rFonts w:cs="Calibri Light (Заголовки)"/>
      <w:b/>
      <w:bCs/>
    </w:rPr>
  </w:style>
  <w:style w:type="paragraph" w:styleId="TOC3">
    <w:name w:val="TOC 3"/>
    <w:basedOn w:val="Normal"/>
    <w:next w:val="Normal"/>
    <w:autoRedefine/>
    <w:uiPriority w:val="39"/>
    <w:rsid w:val="006c5d36"/>
    <w:pPr>
      <w:ind w:left="280" w:hanging="0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c5d36"/>
    <w:pPr>
      <w:ind w:left="560" w:hanging="0"/>
    </w:pPr>
    <w:rPr>
      <w:rFonts w:cs="Calibri" w:cstheme="minorHAnsi"/>
      <w:sz w:val="20"/>
      <w:szCs w:val="20"/>
    </w:rPr>
  </w:style>
  <w:style w:type="paragraph" w:styleId="Style23" w:customStyle="1">
    <w:name w:val="Таблица шапка"/>
    <w:basedOn w:val="Normal"/>
    <w:qFormat/>
    <w:rsid w:val="009b2d8d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LHP3" w:customStyle="1">
    <w:name w:val="LHP_Основной текст"/>
    <w:link w:val="LHP1"/>
    <w:qFormat/>
    <w:rsid w:val="0088050e"/>
    <w:pPr>
      <w:widowControl w:val="false"/>
      <w:suppressAutoHyphens w:val="true"/>
      <w:bidi w:val="0"/>
      <w:spacing w:lineRule="auto" w:line="360" w:before="0" w:after="0"/>
      <w:ind w:left="284" w:right="284" w:firstLine="851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4"/>
      <w:lang w:val="ru-RU" w:eastAsia="ru-RU" w:bidi="ar-SA"/>
    </w:rPr>
  </w:style>
  <w:style w:type="paragraph" w:styleId="Style24">
    <w:name w:val="Колонтитул"/>
    <w:basedOn w:val="Normal"/>
    <w:qFormat/>
    <w:pPr/>
    <w:rPr/>
  </w:style>
  <w:style w:type="paragraph" w:styleId="Footer">
    <w:name w:val="Footer"/>
    <w:basedOn w:val="Normal"/>
    <w:link w:val="Style15"/>
    <w:uiPriority w:val="99"/>
    <w:rsid w:val="00bd6c8b"/>
    <w:pPr>
      <w:tabs>
        <w:tab w:val="clear" w:pos="708"/>
        <w:tab w:val="center" w:pos="4677" w:leader="none"/>
        <w:tab w:val="right" w:pos="9355" w:leader="none"/>
      </w:tabs>
    </w:pPr>
    <w:rPr>
      <w:sz w:val="28"/>
      <w:szCs w:val="28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3359ec"/>
    <w:pPr>
      <w:keepNext w:val="true"/>
      <w:keepLines/>
      <w:spacing w:lineRule="auto" w:line="259" w:beforeAutospacing="0" w:before="240" w:afterAutospacing="0" w:after="0"/>
      <w:outlineLvl w:val="9"/>
    </w:pPr>
    <w:rPr>
      <w:rFonts w:ascii="Calibri Light" w:hAnsi="Calibri Light" w:eastAsia="" w:cs="" w:asciiTheme="majorHAnsi" w:cstheme="majorBidi" w:eastAsiaTheme="majorEastAsia" w:hAnsiTheme="majorHAnsi"/>
      <w:b w:val="false"/>
      <w:bCs w:val="false"/>
      <w:color w:val="2E74B5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95dcb"/>
    <w:pPr>
      <w:tabs>
        <w:tab w:val="clear" w:pos="708"/>
        <w:tab w:val="left" w:pos="1100" w:leader="none"/>
        <w:tab w:val="right" w:pos="9668" w:leader="dot"/>
      </w:tabs>
      <w:spacing w:lineRule="auto" w:line="259" w:before="0" w:after="100"/>
      <w:ind w:left="220" w:hanging="0"/>
    </w:pPr>
    <w:rPr>
      <w:rFonts w:eastAsia="" w:eastAsiaTheme="minorEastAsia"/>
      <w:b/>
      <w:bCs/>
      <w:sz w:val="22"/>
      <w:szCs w:val="22"/>
    </w:rPr>
  </w:style>
  <w:style w:type="paragraph" w:styleId="Default" w:customStyle="1">
    <w:name w:val="Default"/>
    <w:qFormat/>
    <w:rsid w:val="00e00cd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Dt-p" w:customStyle="1">
    <w:name w:val="dt-p"/>
    <w:basedOn w:val="Normal"/>
    <w:qFormat/>
    <w:rsid w:val="007525db"/>
    <w:pPr>
      <w:spacing w:beforeAutospacing="1" w:afterAutospacing="1"/>
    </w:pPr>
    <w:rPr/>
  </w:style>
  <w:style w:type="paragraph" w:styleId="ConsPlusNonformat" w:customStyle="1">
    <w:name w:val="ConsPlusNonformat"/>
    <w:basedOn w:val="Normal"/>
    <w:qFormat/>
    <w:rsid w:val="0049231f"/>
    <w:pPr/>
    <w:rPr>
      <w:rFonts w:ascii="Courier New" w:hAnsi="Courier New" w:eastAsia="Calibri" w:cs="Courier New" w:eastAsiaTheme="minorHAnsi"/>
      <w:sz w:val="20"/>
      <w:szCs w:val="20"/>
    </w:rPr>
  </w:style>
  <w:style w:type="paragraph" w:styleId="Style25">
    <w:name w:val="Содержимое врезки"/>
    <w:basedOn w:val="Normal"/>
    <w:qFormat/>
    <w:pPr/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Описание"/>
    <w:basedOn w:val="Normal"/>
    <w:qFormat/>
    <w:pPr>
      <w:spacing w:before="120" w:after="60"/>
      <w:ind w:left="431" w:hanging="0"/>
      <w:contextualSpacing/>
    </w:pPr>
    <w:rPr>
      <w:sz w:val="24"/>
      <w:szCs w:val="24"/>
      <w:lang w:val="x-none" w:eastAsia="x-none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3"/>
    <w:uiPriority w:val="59"/>
    <w:rsid w:val="00e831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3"/>
    <w:uiPriority w:val="59"/>
    <w:rsid w:val="009b2d8d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zlovaES@lhp.ru" TargetMode="External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52C5A-C6AD-46AC-91DA-58179122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Application>AlterOffice/2025.3.0.0$Linux_X86_64 LibreOffice_project/4ba31b6a4271509a884f95065d0a726e9cb2bdbb</Application>
  <AppVersion>15.0000</AppVersion>
  <Pages>14</Pages>
  <Words>2818</Words>
  <Characters>20092</Characters>
  <CharactersWithSpaces>22558</CharactersWithSpaces>
  <Paragraphs>358</Paragraphs>
  <Company>ОАО Ленгидропроект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2026-07-15T12:52:00Z</dcterms:created>
  <dc:creator>Трофимов Денис Федорович</dc:creator>
  <dc:description/>
  <dc:language>ru-RU</dc:language>
  <cp:lastModifiedBy>kozlovaes</cp:lastModifiedBy>
  <cp:lastPrinted>2023-09-06T13:31:00Z</cp:lastPrinted>
  <dcterms:modified xsi:type="dcterms:W3CDTF">2026-07-27T10:49:12Z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