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right"/>
        <w:rPr/>
      </w:pPr>
      <w:r>
        <w:rPr/>
        <w:t>УТВЕРЖДАЮ:</w:t>
      </w:r>
    </w:p>
    <w:p>
      <w:pPr>
        <w:pStyle w:val="Normal"/>
        <w:jc w:val="right"/>
        <w:rPr/>
      </w:pPr>
      <w:r>
        <w:rPr/>
        <w:t>Первый заместитель директора –</w:t>
      </w:r>
    </w:p>
    <w:p>
      <w:pPr>
        <w:pStyle w:val="Normal"/>
        <w:jc w:val="right"/>
        <w:rPr/>
      </w:pPr>
      <w:r>
        <w:rPr/>
        <w:t xml:space="preserve"> </w:t>
      </w:r>
      <w:r>
        <w:rPr/>
        <w:t>Главный инженер</w:t>
      </w:r>
    </w:p>
    <w:p>
      <w:pPr>
        <w:pStyle w:val="Normal"/>
        <w:jc w:val="right"/>
        <w:rPr/>
      </w:pPr>
      <w:r>
        <w:rPr/>
        <w:t>______________Д.Н. Шелопугин</w:t>
      </w:r>
    </w:p>
    <w:p>
      <w:pPr>
        <w:pStyle w:val="Normal"/>
        <w:jc w:val="center"/>
        <w:rPr/>
      </w:pPr>
      <w:r>
        <w:rPr/>
        <w:t xml:space="preserve">                                                          </w:t>
      </w:r>
      <w:bookmarkStart w:id="0" w:name="_GoBack"/>
      <w:bookmarkEnd w:id="0"/>
      <w:r>
        <w:rPr/>
        <w:t>«      » июля 2026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keepNext w:val="true"/>
        <w:keepLines/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Технические требования </w:t>
      </w:r>
    </w:p>
    <w:p>
      <w:pPr>
        <w:pStyle w:val="Normal"/>
        <w:jc w:val="center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ОКПД2 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</w:rPr>
        <w:t xml:space="preserve">26.70.22.120 </w:t>
      </w:r>
      <w:r>
        <w:rPr>
          <w:sz w:val="28"/>
          <w:szCs w:val="28"/>
        </w:rPr>
        <w:t xml:space="preserve">Поставка приборов ночного видения для организации 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</w:rPr>
        <w:t xml:space="preserve">защиты от воздействия  беспилотных летательных аппаратов </w:t>
      </w:r>
      <w:r>
        <w:rPr>
          <w:sz w:val="28"/>
          <w:szCs w:val="28"/>
        </w:rPr>
        <w:t>для нужд филиала ПАО «РусГидро»-«Зейская ГЭС»</w:t>
      </w:r>
    </w:p>
    <w:p>
      <w:pPr>
        <w:pStyle w:val="Normal"/>
        <w:jc w:val="center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560"/>
              <w:tab w:val="clear" w:pos="9911"/>
              <w:tab w:val="right" w:pos="9354" w:leader="dot"/>
            </w:tabs>
            <w:rPr/>
          </w:pPr>
          <w:r>
            <w:fldChar w:fldCharType="begin"/>
          </w:r>
          <w:r>
            <w:rPr>
              <w:rStyle w:val="Style11"/>
              <w:vanish w:val="false"/>
            </w:rPr>
            <w:instrText xml:space="preserve"> TOC \o "1-4" \h</w:instrText>
          </w:r>
          <w:r>
            <w:rPr>
              <w:rStyle w:val="Style11"/>
              <w:vanish w:val="false"/>
            </w:rPr>
            <w:fldChar w:fldCharType="separate"/>
          </w:r>
          <w:hyperlink w:anchor="__RefHeading___Toc2325_790426124">
            <w:r>
              <w:rPr>
                <w:rStyle w:val="Style11"/>
                <w:vanish w:val="false"/>
              </w:rPr>
              <w:t>1. Общие сведения</w:t>
              <w:tab/>
              <w:t>3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354" w:leader="dot"/>
            </w:tabs>
            <w:rPr/>
          </w:pPr>
          <w:hyperlink w:anchor="__RefHeading___Toc2327_790426124">
            <w:r>
              <w:rPr>
                <w:rStyle w:val="Style11"/>
                <w:vanish w:val="false"/>
              </w:rPr>
              <w:t>1.1. Обозначения и сокращения</w:t>
              <w:tab/>
              <w:t>3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354" w:leader="dot"/>
            </w:tabs>
            <w:rPr/>
          </w:pPr>
          <w:hyperlink w:anchor="__RefHeading___Toc2329_790426124">
            <w:r>
              <w:rPr>
                <w:rStyle w:val="Style11"/>
                <w:vanish w:val="false"/>
              </w:rPr>
              <w:t>1.2. Наименование закупаемой продукции</w:t>
              <w:tab/>
              <w:t>3</w:t>
            </w:r>
          </w:hyperlink>
        </w:p>
        <w:p>
          <w:pPr>
            <w:pStyle w:val="TOC4"/>
            <w:tabs>
              <w:tab w:val="clear" w:pos="1120"/>
              <w:tab w:val="clear" w:pos="9911"/>
              <w:tab w:val="right" w:pos="9354" w:leader="dot"/>
            </w:tabs>
            <w:rPr/>
          </w:pPr>
          <w:hyperlink w:anchor="__RefHeading___Toc2331_790426124">
            <w:r>
              <w:rPr>
                <w:rStyle w:val="Style11"/>
                <w:vanish w:val="false"/>
              </w:rPr>
              <w:t>1.1. Цель использования закупаемой продукции</w:t>
              <w:tab/>
              <w:t>3</w:t>
            </w:r>
          </w:hyperlink>
        </w:p>
        <w:p>
          <w:pPr>
            <w:pStyle w:val="TOC1"/>
            <w:tabs>
              <w:tab w:val="clear" w:pos="560"/>
              <w:tab w:val="clear" w:pos="9911"/>
              <w:tab w:val="right" w:pos="9354" w:leader="dot"/>
            </w:tabs>
            <w:rPr/>
          </w:pPr>
          <w:hyperlink w:anchor="__RefHeading___Toc2333_790426124">
            <w:r>
              <w:rPr>
                <w:rStyle w:val="Style11"/>
                <w:vanish w:val="false"/>
              </w:rPr>
              <w:t>2. Требования к продукции</w:t>
              <w:tab/>
              <w:t>4</w:t>
            </w:r>
          </w:hyperlink>
          <w:r>
            <w:rPr>
              <w:rStyle w:val="Style11"/>
              <w:vanish w:val="false"/>
            </w:rPr>
            <w:fldChar w:fldCharType="end"/>
          </w:r>
        </w:p>
      </w:sdtContent>
    </w:sdt>
    <w:p>
      <w:pPr>
        <w:pStyle w:val="Normal"/>
        <w:rPr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Heading1"/>
        <w:keepLines/>
        <w:numPr>
          <w:ilvl w:val="0"/>
          <w:numId w:val="4"/>
        </w:numPr>
        <w:tabs>
          <w:tab w:val="clear" w:pos="708"/>
          <w:tab w:val="left" w:pos="284" w:leader="none"/>
        </w:tabs>
        <w:ind w:left="0" w:right="0" w:hanging="0"/>
        <w:jc w:val="center"/>
        <w:rPr>
          <w:caps/>
          <w:lang w:val="ru-RU"/>
        </w:rPr>
      </w:pPr>
      <w:bookmarkStart w:id="1" w:name="__RefHeading___Toc2325_790426124"/>
      <w:bookmarkStart w:id="2" w:name="_Toc168411748"/>
      <w:bookmarkStart w:id="3" w:name="_Toc194994746"/>
      <w:bookmarkEnd w:id="1"/>
      <w:r>
        <w:rPr>
          <w:lang w:val="ru-RU"/>
        </w:rPr>
        <w:t>Общие сведения</w:t>
      </w:r>
      <w:bookmarkEnd w:id="2"/>
      <w:bookmarkEnd w:id="3"/>
    </w:p>
    <w:p>
      <w:pPr>
        <w:pStyle w:val="Heading4"/>
        <w:numPr>
          <w:ilvl w:val="1"/>
          <w:numId w:val="4"/>
        </w:numPr>
        <w:rPr/>
      </w:pPr>
      <w:bookmarkStart w:id="4" w:name="__RefHeading___Toc2327_790426124"/>
      <w:bookmarkStart w:id="5" w:name="_Toc168411749"/>
      <w:bookmarkStart w:id="6" w:name="_Toc194994747"/>
      <w:bookmarkEnd w:id="4"/>
      <w:r>
        <w:rPr/>
        <w:t>Обозначения и сокращения</w:t>
      </w:r>
      <w:bookmarkEnd w:id="5"/>
      <w:bookmarkEnd w:id="6"/>
    </w:p>
    <w:p>
      <w:pPr>
        <w:pStyle w:val="Normal"/>
        <w:shd w:val="clear" w:fill="FFFFFF"/>
        <w:spacing w:before="120" w:after="60"/>
        <w:contextualSpacing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878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4"/>
        <w:gridCol w:w="6949"/>
      </w:tblGrid>
      <w:tr>
        <w:trPr>
          <w:cantSplit w:val="true"/>
        </w:trPr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ТТ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Технические требования</w:t>
            </w:r>
          </w:p>
        </w:tc>
      </w:tr>
      <w:tr>
        <w:trPr>
          <w:cantSplit w:val="true"/>
        </w:trPr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Филиал</w:t>
            </w:r>
          </w:p>
        </w:tc>
        <w:tc>
          <w:tcPr>
            <w:tcW w:w="6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spacing w:before="120" w:after="6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филиал ПАО «РусГидро» - «Зейская ГЭС»</w:t>
            </w:r>
          </w:p>
        </w:tc>
      </w:tr>
    </w:tbl>
    <w:p>
      <w:pPr>
        <w:pStyle w:val="Normal"/>
        <w:shd w:val="clear" w:fill="FFFFFF"/>
        <w:spacing w:before="120" w:after="60"/>
        <w:contextualSpacing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1"/>
          <w:numId w:val="4"/>
        </w:numPr>
        <w:ind w:left="431" w:right="0" w:hanging="431"/>
        <w:rPr/>
      </w:pPr>
      <w:bookmarkStart w:id="7" w:name="__RefHeading___Toc2329_790426124"/>
      <w:bookmarkStart w:id="8" w:name="_Toc194994748"/>
      <w:bookmarkStart w:id="9" w:name="_Toc168411750"/>
      <w:bookmarkEnd w:id="7"/>
      <w:r>
        <w:rPr/>
        <w:t>Наименование закупаемой продукции</w:t>
      </w:r>
      <w:bookmarkEnd w:id="8"/>
      <w:bookmarkEnd w:id="9"/>
    </w:p>
    <w:p>
      <w:pPr>
        <w:pStyle w:val="Normal"/>
        <w:widowControl/>
        <w:suppressAutoHyphens w:val="true"/>
        <w:bidi w:val="0"/>
        <w:spacing w:before="0" w:after="0"/>
        <w:ind w:left="0" w:right="0" w:firstLine="45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ОКПД2 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</w:rPr>
        <w:t xml:space="preserve">26.70.22.120 </w:t>
      </w:r>
      <w:r>
        <w:rPr>
          <w:sz w:val="24"/>
          <w:szCs w:val="24"/>
        </w:rPr>
        <w:t xml:space="preserve">Поставка приборов ночного видения для организации 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</w:rPr>
        <w:t xml:space="preserve">защиты от воздействия  беспилотных летательных аппаратов </w:t>
      </w:r>
      <w:r>
        <w:rPr>
          <w:sz w:val="24"/>
          <w:szCs w:val="24"/>
        </w:rPr>
        <w:t>для нужд филиала ПАО «РусГидро»-«Зейская ГЭС»</w:t>
      </w:r>
    </w:p>
    <w:p>
      <w:pPr>
        <w:pStyle w:val="Heading4"/>
        <w:numPr>
          <w:ilvl w:val="1"/>
          <w:numId w:val="2"/>
        </w:numPr>
        <w:ind w:left="431" w:right="0" w:hanging="431"/>
        <w:rPr/>
      </w:pPr>
      <w:bookmarkStart w:id="10" w:name="__RefHeading___Toc2331_790426124"/>
      <w:bookmarkEnd w:id="10"/>
      <w:r>
        <w:rPr/>
        <w:t>Цель использования закупаемой продукции</w:t>
      </w:r>
    </w:p>
    <w:p>
      <w:pPr>
        <w:sectPr>
          <w:type w:val="nextPage"/>
          <w:pgSz w:w="11906" w:h="16838"/>
          <w:pgMar w:left="1701" w:right="851" w:gutter="0" w:header="0" w:top="1134" w:footer="0" w:bottom="851"/>
          <w:pgNumType w:fmt="decimal"/>
          <w:formProt w:val="false"/>
          <w:textDirection w:val="lrTb"/>
          <w:docGrid w:type="default" w:linePitch="381" w:charSpace="0"/>
        </w:sectPr>
        <w:pStyle w:val="Normal"/>
        <w:ind w:left="0" w:right="0" w:firstLine="431"/>
        <w:jc w:val="both"/>
        <w:rPr>
          <w:sz w:val="24"/>
          <w:szCs w:val="24"/>
        </w:rPr>
      </w:pPr>
      <w:r>
        <w:rPr>
          <w:sz w:val="24"/>
          <w:szCs w:val="24"/>
        </w:rPr>
        <w:t>Повышения безопасности объектов Филиала от возможного воздействия, причиненного беспилотными летательными аппаратами.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numPr>
          <w:ilvl w:val="0"/>
          <w:numId w:val="0"/>
        </w:numPr>
        <w:tabs>
          <w:tab w:val="clear" w:pos="708"/>
          <w:tab w:val="left" w:pos="284" w:leader="none"/>
        </w:tabs>
        <w:ind w:left="0" w:right="0" w:hanging="0"/>
        <w:jc w:val="center"/>
        <w:rPr>
          <w:caps/>
        </w:rPr>
      </w:pPr>
      <w:bookmarkStart w:id="11" w:name="__RefHeading___Toc2333_790426124"/>
      <w:bookmarkStart w:id="12" w:name="_Toc168411752"/>
      <w:bookmarkStart w:id="13" w:name="_Toc194994750"/>
      <w:bookmarkEnd w:id="11"/>
      <w:r>
        <w:rPr>
          <w:lang w:val="ru-RU"/>
        </w:rPr>
        <w:t xml:space="preserve">2. </w:t>
      </w:r>
      <w:r>
        <w:rPr/>
        <w:t>Требования к продукции</w:t>
      </w:r>
      <w:bookmarkEnd w:id="12"/>
      <w:bookmarkEnd w:id="13"/>
    </w:p>
    <w:p>
      <w:pPr>
        <w:pStyle w:val="Normal"/>
        <w:spacing w:before="120" w:after="60"/>
        <w:ind w:left="567" w:right="0" w:hanging="567"/>
        <w:rPr>
          <w:b/>
          <w:sz w:val="24"/>
          <w:szCs w:val="24"/>
        </w:rPr>
      </w:pPr>
      <w:r>
        <w:rPr>
          <w:b/>
          <w:sz w:val="24"/>
          <w:szCs w:val="24"/>
        </w:rPr>
        <w:t>2.1. Требования к объемам и срокам поставки</w:t>
      </w:r>
    </w:p>
    <w:p>
      <w:pPr>
        <w:pStyle w:val="Normal"/>
        <w:spacing w:before="120" w:after="60"/>
        <w:ind w:left="284" w:right="0" w:hanging="0"/>
        <w:rPr>
          <w:b/>
          <w:sz w:val="24"/>
          <w:szCs w:val="24"/>
        </w:rPr>
      </w:pPr>
      <w:r>
        <w:rPr>
          <w:b/>
          <w:sz w:val="24"/>
          <w:szCs w:val="24"/>
        </w:rPr>
        <w:t>2.1.1. Перечень и объем закупаемой продукции</w:t>
      </w:r>
    </w:p>
    <w:p>
      <w:pPr>
        <w:pStyle w:val="Normal"/>
        <w:spacing w:before="120" w:after="60"/>
        <w:rPr>
          <w:b/>
          <w:sz w:val="24"/>
          <w:szCs w:val="24"/>
        </w:rPr>
      </w:pPr>
      <w:r>
        <w:rPr>
          <w:b/>
          <w:sz w:val="24"/>
          <w:szCs w:val="24"/>
        </w:rPr>
        <w:t>Таблица 1. «Перечень и объем закупаемой продукции»</w:t>
      </w:r>
    </w:p>
    <w:tbl>
      <w:tblPr>
        <w:tblW w:w="9632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4"/>
        <w:gridCol w:w="2468"/>
        <w:gridCol w:w="4072"/>
        <w:gridCol w:w="1138"/>
        <w:gridCol w:w="1390"/>
      </w:tblGrid>
      <w:tr>
        <w:trPr>
          <w:trHeight w:val="56" w:hRule="atLeast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Тип, марка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>
          <w:trHeight w:val="56" w:hRule="atLeast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>
          <w:trHeight w:val="6920" w:hRule="atLeast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 xml:space="preserve">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Тепловизор RikaNV Surok L15 (либо эквивалент)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Тепловизионная камера высокосветосильным объективом 15 мм F/0.9, сенсором 256×192 и сменным аккумулятором формата 18650.</w:t>
              <w:br/>
              <w:t>Производитель — RikaNV;</w:t>
              <w:br/>
              <w:t>Назначение - Тепловизионная фотокамера;</w:t>
              <w:br/>
              <w:t>Сенсор - 256x192, 12μm, NETD &lt; 25mK;</w:t>
              <w:br/>
              <w:t>Объектив — 15mm/F0.9;</w:t>
              <w:br/>
              <w:t>Увеличение - 1.0 — 2.2;</w:t>
              <w:br/>
              <w:t>Дистанция обнаружения — 750 м;</w:t>
              <w:br/>
              <w:t>Wi-Fi — Да;</w:t>
              <w:br/>
              <w:t>Видеозапись — Да;</w:t>
              <w:br/>
              <w:t>Время работы - 10 часов;</w:t>
              <w:br/>
              <w:t>Защита — IP67;</w:t>
              <w:br/>
              <w:t>Диапазон рабочих температур, °С -25 — +50;</w:t>
              <w:br/>
              <w:t>Частота обновления - 50 Гц;</w:t>
              <w:br/>
              <w:t>Поле зрения - 11.7°x8.8° ( 20.4 м x 15.4 м);</w:t>
              <w:br/>
              <w:t>Дисплей - 1024x768 AMOLED;</w:t>
              <w:br/>
              <w:t>Материал корпуса - Прочный пластик;</w:t>
              <w:br/>
              <w:t>Видеопамять - 32 Гб;</w:t>
              <w:br/>
              <w:t>Элемент питания — 18650.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>
        <w:trPr>
          <w:trHeight w:val="56" w:hRule="atLeast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0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RikaNV Surok M35 LRF: Тепловизионная камера фото и видео фиксации с лазерным дальномером (либо эквивалент)</w:t>
            </w:r>
          </w:p>
        </w:tc>
        <w:tc>
          <w:tcPr>
            <w:tcW w:w="40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Тепловизионная камера фото и видео фиксации профессионального класса с интегрированным лазерным дальномером.</w:t>
              <w:br/>
              <w:t>Производитель — RikaNV;</w:t>
              <w:br/>
              <w:t>Назначение - Тепловизионная фотокамера;</w:t>
              <w:br/>
              <w:t>Сенсор - 384x288, 12μm, NETD &lt; 25mK;</w:t>
              <w:br/>
              <w:t>Объектив — 35mm/F0.9;</w:t>
              <w:br/>
              <w:t>Увеличение - 3.3 - 13.2;</w:t>
              <w:br/>
              <w:t>Дистанция обнаружения - 1800 м;</w:t>
              <w:br/>
              <w:t>Wi-Fi — Да;</w:t>
              <w:br/>
              <w:t>Видеозапись — Да;</w:t>
              <w:br/>
              <w:t>Время работы - 10 часов;</w:t>
              <w:br/>
              <w:t>Габариты - 377 грамм;</w:t>
              <w:br/>
              <w:t>Диапазон рабочих температур, °С -25 — +50;</w:t>
              <w:br/>
              <w:t>Защита — IP67;</w:t>
              <w:br/>
              <w:t>Поле зрения - 7.5°x5.7° / 13.2x9.9 м;</w:t>
              <w:br/>
              <w:t>Дисплей - 1024x768 AMOLED;</w:t>
              <w:br/>
              <w:t>Материал корпуса - Прочный пластик;</w:t>
              <w:br/>
              <w:t>Видеопамять - 32 Гб;</w:t>
              <w:br/>
              <w:t>Лазерный дальномер — Да</w:t>
              <w:br/>
              <w:t>Элемент питания — 18650.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widowControl w:val="false"/>
        <w:tabs>
          <w:tab w:val="clear" w:pos="708"/>
          <w:tab w:val="left" w:pos="338" w:leader="none"/>
          <w:tab w:val="left" w:pos="426" w:leader="none"/>
        </w:tabs>
        <w:spacing w:before="120" w:after="60"/>
        <w:ind w:left="0" w:right="0" w:firstLine="283"/>
        <w:rPr>
          <w:b/>
          <w:sz w:val="24"/>
          <w:szCs w:val="24"/>
        </w:rPr>
      </w:pPr>
      <w:r>
        <w:rPr>
          <w:b/>
          <w:sz w:val="24"/>
          <w:szCs w:val="24"/>
        </w:rPr>
        <w:t>2.1.2. Требования по срокам поставки продукции</w:t>
      </w:r>
    </w:p>
    <w:p>
      <w:pPr>
        <w:pStyle w:val="Normal"/>
        <w:spacing w:before="120" w:after="60"/>
        <w:jc w:val="both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645" w:type="dxa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64"/>
        <w:gridCol w:w="3175"/>
        <w:gridCol w:w="2547"/>
        <w:gridCol w:w="3358"/>
      </w:tblGrid>
      <w:tr>
        <w:trPr/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>
            <w:pPr>
              <w:pStyle w:val="Style20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продукции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началу срока поставки продукции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окончанию срока поставки продукции</w:t>
            </w:r>
          </w:p>
        </w:tc>
      </w:tr>
      <w:tr>
        <w:trPr>
          <w:trHeight w:val="243" w:hRule="atLeast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1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54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3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</w:tr>
      <w:tr>
        <w:trPr>
          <w:trHeight w:val="402" w:hRule="atLeast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1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 xml:space="preserve">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Тепловизор RikaNV Surok L15 (либо эквивалент)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4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widowControl w:val="false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33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widowControl w:val="false"/>
              <w:jc w:val="center"/>
              <w:rPr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15.11.2026</w:t>
            </w:r>
          </w:p>
          <w:p>
            <w:pPr>
              <w:pStyle w:val="Style20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402" w:hRule="atLeast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0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RikaNV Surok M35 LRF: Тепловизионная камера фото и видео фиксации с лазерным дальномером (либо эквивалент)</w:t>
            </w:r>
          </w:p>
        </w:tc>
        <w:tc>
          <w:tcPr>
            <w:tcW w:w="254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"/>
              <w:widowControl w:val="false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33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widowControl w:val="false"/>
              <w:jc w:val="center"/>
              <w:rPr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15.11.2026</w:t>
            </w:r>
          </w:p>
          <w:p>
            <w:pPr>
              <w:pStyle w:val="Style20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spacing w:before="120" w:after="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120" w:after="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120" w:after="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120" w:after="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120" w:after="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120" w:after="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120" w:after="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120" w:after="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120" w:after="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120" w:after="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120" w:after="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120" w:after="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120" w:after="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120" w:after="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120" w:after="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120" w:after="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sectPr>
          <w:headerReference w:type="default" r:id="rId2"/>
          <w:type w:val="nextPage"/>
          <w:pgSz w:w="11906" w:h="16838"/>
          <w:pgMar w:left="1134" w:right="851" w:gutter="0" w:header="680" w:top="737" w:footer="0" w:bottom="992"/>
          <w:pgNumType w:fmt="decimal"/>
          <w:formProt w:val="false"/>
          <w:textDirection w:val="lrTb"/>
          <w:docGrid w:type="default" w:linePitch="381" w:charSpace="0"/>
        </w:sectPr>
        <w:pStyle w:val="Normal"/>
        <w:spacing w:before="120" w:after="6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120" w:after="60"/>
        <w:rPr>
          <w:b/>
          <w:sz w:val="24"/>
          <w:szCs w:val="24"/>
        </w:rPr>
      </w:pPr>
      <w:r>
        <w:rPr>
          <w:b/>
          <w:sz w:val="24"/>
          <w:szCs w:val="24"/>
        </w:rPr>
        <w:t>2.2. Требования к качеству продукции</w:t>
      </w:r>
    </w:p>
    <w:p>
      <w:pPr>
        <w:pStyle w:val="Normal"/>
        <w:spacing w:before="120" w:after="60"/>
        <w:rPr>
          <w:b/>
          <w:sz w:val="24"/>
          <w:szCs w:val="24"/>
        </w:rPr>
      </w:pPr>
      <w:r>
        <w:rPr/>
        <w:t>Таблица 2. «Требования к продукции»</w:t>
      </w:r>
    </w:p>
    <w:p>
      <w:pPr>
        <w:pStyle w:val="Normal"/>
        <w:spacing w:before="120" w:after="120"/>
        <w:rPr>
          <w:bCs/>
          <w:iCs/>
          <w:sz w:val="24"/>
          <w:szCs w:val="24"/>
          <w:lang w:eastAsia="zh-CN"/>
        </w:rPr>
      </w:pPr>
      <w:r>
        <w:rPr>
          <w:b/>
          <w:bCs/>
          <w:iCs/>
          <w:sz w:val="24"/>
          <w:szCs w:val="24"/>
          <w:lang w:eastAsia="zh-CN"/>
        </w:rPr>
        <w:t xml:space="preserve">Наименование продукции: </w:t>
      </w:r>
      <w:r>
        <w:rPr>
          <w:b/>
          <w:bCs/>
          <w:i/>
          <w:iCs/>
          <w:sz w:val="24"/>
          <w:szCs w:val="24"/>
          <w:lang w:eastAsia="zh-CN"/>
        </w:rPr>
        <w:t>Таблица 1 «Перечень и объем закупаемой продукции»:</w:t>
      </w:r>
    </w:p>
    <w:tbl>
      <w:tblPr>
        <w:tblW w:w="15460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1"/>
        <w:gridCol w:w="2327"/>
        <w:gridCol w:w="6176"/>
        <w:gridCol w:w="2118"/>
        <w:gridCol w:w="2141"/>
        <w:gridCol w:w="2076"/>
      </w:tblGrid>
      <w:tr>
        <w:trPr>
          <w:tblHeader w:val="true"/>
        </w:trPr>
        <w:tc>
          <w:tcPr>
            <w:tcW w:w="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 xml:space="preserve">№ </w:t>
            </w: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п/п</w:t>
            </w:r>
          </w:p>
        </w:tc>
        <w:tc>
          <w:tcPr>
            <w:tcW w:w="2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Наименование параметра</w:t>
            </w:r>
          </w:p>
        </w:tc>
        <w:tc>
          <w:tcPr>
            <w:tcW w:w="61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Требование Заказчика</w:t>
            </w:r>
          </w:p>
        </w:tc>
        <w:tc>
          <w:tcPr>
            <w:tcW w:w="4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0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-114" w:right="0" w:hanging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Предложение Участника по характеристикам и параметрам</w:t>
            </w:r>
          </w:p>
        </w:tc>
      </w:tr>
      <w:tr>
        <w:trPr>
          <w:tblHeader w:val="true"/>
        </w:trPr>
        <w:tc>
          <w:tcPr>
            <w:tcW w:w="6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61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Согласие с требованием/ указание характеристик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0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blHeader w:val="true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kern w:val="0"/>
                <w:lang w:val="ru-RU" w:bidi="ar-SA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2</w:t>
            </w:r>
          </w:p>
        </w:tc>
        <w:tc>
          <w:tcPr>
            <w:tcW w:w="6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3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5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6</w:t>
            </w:r>
          </w:p>
        </w:tc>
      </w:tr>
      <w:tr>
        <w:trPr/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60" w:after="60"/>
              <w:ind w:left="0" w:right="0" w:firstLine="179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8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Общие требования к продукции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right="0" w:firstLine="142"/>
              <w:contextualSpacing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 xml:space="preserve">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Тепловизор RikaNV Surok L15 (либо эквивалент)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Тепловизионная камера высокосветосильным объективом 15 мм F/0.9, сенсором 256×192 и сменным аккумулятором формата 18650.</w:t>
              <w:br/>
              <w:t>Производитель — RikaNV;</w:t>
              <w:br/>
              <w:t>Назначение - Тепловизионная фотокамера;</w:t>
              <w:br/>
              <w:t>Сенсор - 256x192, 12μm, NETD &lt; 25mK;</w:t>
              <w:br/>
              <w:t>Объектив — 15mm/F0.9;</w:t>
              <w:br/>
              <w:t>Увеличение - 1.0 — 2.2;</w:t>
              <w:br/>
              <w:t>Дистанция обнаружения - 750 м;</w:t>
              <w:br/>
              <w:t>Wi-Fi — Да;</w:t>
              <w:br/>
              <w:t>Видеозапись — Да;</w:t>
              <w:br/>
              <w:t>Время работы - 10 часов;</w:t>
              <w:br/>
              <w:t>Защита — IP67;</w:t>
              <w:br/>
              <w:t>Диапазон рабочих температур, °С -25 — +50;</w:t>
              <w:br/>
              <w:t>Частота обновления - 50 Гц;</w:t>
              <w:br/>
              <w:t>Поле зрения - 11.7°x8.8° ( 20.4 м x 15.4 м);</w:t>
              <w:br/>
              <w:t>Дисплей - 1024x768 AMOLED;</w:t>
              <w:br/>
              <w:t>Материал корпуса - Прочный пластик;</w:t>
              <w:br/>
              <w:t>Видеопамять - 32 Гб;</w:t>
              <w:br/>
              <w:t>Элемент питания — 18650.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kern w:val="0"/>
                <w:sz w:val="22"/>
                <w:szCs w:val="24"/>
                <w:u w:val="none"/>
                <w:em w:val="none"/>
                <w:lang w:val="ru-RU" w:bidi="ar-SA"/>
              </w:rPr>
              <w:t>Не требуется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паспорт, руководство по эксплуатации</w:t>
            </w:r>
          </w:p>
        </w:tc>
      </w:tr>
      <w:tr>
        <w:trPr/>
        <w:tc>
          <w:tcPr>
            <w:tcW w:w="6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right="0" w:firstLine="142"/>
              <w:contextualSpacing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23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RikaNV Surok M35 LRF: Тепловизионная камера фото и видео фиксации с лазерным дальномером (либо эквивалент)</w:t>
            </w:r>
          </w:p>
        </w:tc>
        <w:tc>
          <w:tcPr>
            <w:tcW w:w="61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widowControl w:val="false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Тепловизионная камера фото и видео фиксации профессионального класса с интегрированным лазерным дальномером.</w:t>
              <w:br/>
              <w:t>Производитель — RikaNV;</w:t>
              <w:br/>
              <w:t>Назначение - Тепловизионная фотокамера;</w:t>
              <w:br/>
              <w:t>Сенсор - 384x288, 12μm, NETD &lt; 25mK;</w:t>
              <w:br/>
              <w:t>Объектив — 35mm/F0.9;</w:t>
              <w:br/>
              <w:t>Увеличение - 3.3 - 13.2;</w:t>
              <w:br/>
              <w:t>Дистанция обнаружения - 1800 м;</w:t>
              <w:br/>
              <w:t>Wi-Fi — Да;</w:t>
              <w:br/>
              <w:t>Видеозапись — Да;</w:t>
              <w:br/>
              <w:t>Время работы - 10 часов;</w:t>
              <w:br/>
              <w:t>Габариты - 377 грамм;</w:t>
              <w:br/>
              <w:t>Диапазон рабочих температур, °С -25 — +50;</w:t>
              <w:br/>
              <w:t>Защита — IP67;</w:t>
              <w:br/>
              <w:t>Поле зрения - 7.5°x5.7° / 13.2x9.9 м;</w:t>
              <w:br/>
              <w:t>Дисплей - 1024x768 AMOLED;</w:t>
              <w:br/>
              <w:t>Материал корпуса - Прочный пластик;</w:t>
              <w:br/>
              <w:t>Видеопамять - 32 Гб;</w:t>
              <w:br/>
              <w:t>Лазерный дальномер — Да</w:t>
              <w:br/>
              <w:t>Элемент питания — 18650.</w:t>
            </w: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kern w:val="0"/>
                <w:sz w:val="22"/>
                <w:szCs w:val="24"/>
                <w:u w:val="none"/>
                <w:em w:val="none"/>
                <w:lang w:val="ru-RU" w:bidi="ar-SA"/>
              </w:rPr>
              <w:t>Не требуется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паспорт, руководство по эксплуатации</w:t>
            </w:r>
          </w:p>
        </w:tc>
      </w:tr>
      <w:tr>
        <w:trPr/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60" w:after="60"/>
              <w:ind w:left="0" w:right="0" w:firstLine="37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8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Требования к доставке, упаковке, транспортировке, перемещению, условиям хранения, приемке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>
          <w:trHeight w:val="517" w:hRule="atLeast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right="0" w:firstLine="142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zh-CN" w:bidi="ar-SA"/>
              </w:rPr>
              <w:t>Место поставки</w:t>
            </w:r>
          </w:p>
        </w:tc>
        <w:tc>
          <w:tcPr>
            <w:tcW w:w="6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Calibri"/>
                <w:kern w:val="0"/>
                <w:sz w:val="24"/>
                <w:szCs w:val="22"/>
                <w:lang w:val="ru-RU" w:eastAsia="en-US" w:bidi="ar-SA"/>
              </w:rPr>
              <w:t>До склада филиала ПАО «РусГидро» - «Зейская ГЭС», находящегося по адресу: 676244, АМУРСКАЯ ОБЛАСТЬ, Г.О. ГОРОД ЗЕЯ, Г. ЗЕЯ, УЛ. МАГИСТРАЛЬНАЯ, СООР. 1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i/>
                <w:i/>
                <w:sz w:val="24"/>
                <w:szCs w:val="24"/>
              </w:rPr>
            </w:pPr>
            <w:r>
              <w:rPr>
                <w:i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–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</w:t>
            </w:r>
          </w:p>
        </w:tc>
      </w:tr>
      <w:tr>
        <w:trPr/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right="0" w:firstLine="142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eastAsia="zh-CN" w:bidi="ar-SA"/>
              </w:rPr>
              <w:t>Требования к упаковке и доставке</w:t>
            </w:r>
          </w:p>
        </w:tc>
        <w:tc>
          <w:tcPr>
            <w:tcW w:w="6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firstLine="173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Упаковка продукции должна соответствовать способу транспортировки и выдерживать, без каких-либо ограничений, интенсивную подъёмно-транспортную обработку.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0" w:right="0" w:firstLine="173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Поставщик несёт ответственность за качество упаковки.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0" w:right="0" w:firstLine="173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Поставщик должен обеспечить поставку продукции собственными силами и средствами.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0" w:right="0" w:firstLine="173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При любом способе доставки продукции Поставщик обязуется согласовывать с Покупателем в письменном виде дату, время доставки, вид и государственный регистрационный номер автотранспорта, ФИО работников, доставляющих заказ, не позднее 3-х дней, предшествующих дню поставки.</w:t>
            </w:r>
          </w:p>
          <w:p>
            <w:pPr>
              <w:pStyle w:val="ListParagraph"/>
              <w:widowControl w:val="false"/>
              <w:tabs>
                <w:tab w:val="clear" w:pos="708"/>
                <w:tab w:val="left" w:pos="457" w:leader="none"/>
              </w:tabs>
              <w:suppressAutoHyphens w:val="true"/>
              <w:spacing w:before="0" w:after="0"/>
              <w:ind w:left="28" w:right="0" w:firstLine="173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Поставка производится на склад Грузополучателя г.Зея, в рабочие дни с 8-00 до 12-00 и с 13-00 до 16-00 (по местному времени).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i/>
                <w:i/>
                <w:sz w:val="24"/>
                <w:szCs w:val="24"/>
              </w:rPr>
            </w:pPr>
            <w:r>
              <w:rPr>
                <w:i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–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60" w:after="60"/>
              <w:ind w:left="0" w:right="0" w:firstLine="37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8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right="0" w:firstLine="142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Срок гарантии</w:t>
            </w:r>
          </w:p>
        </w:tc>
        <w:tc>
          <w:tcPr>
            <w:tcW w:w="6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Гарантийный срок на продукцию должен соответствовать гарантии, заявленной производителем, и исчисляется со дня подписания соответствующих Товарных накладных унифицированной формы ТОРГ-12 (или УПД).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i/>
                <w:i/>
                <w:sz w:val="24"/>
                <w:szCs w:val="24"/>
              </w:rPr>
            </w:pPr>
            <w:r>
              <w:rPr>
                <w:i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–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60" w:after="60"/>
              <w:ind w:left="0" w:right="0" w:firstLine="37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8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right="0" w:firstLine="142"/>
              <w:contextualSpacing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23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/>
                <w:iCs/>
                <w:kern w:val="0"/>
                <w:sz w:val="24"/>
                <w:szCs w:val="24"/>
                <w:lang w:val="ru-RU" w:eastAsia="en-US" w:bidi="ar-SA"/>
              </w:rPr>
              <w:t>Документы, передаваемые вместе с продукцией</w:t>
            </w:r>
          </w:p>
        </w:tc>
        <w:tc>
          <w:tcPr>
            <w:tcW w:w="6176" w:type="dxa"/>
            <w:tcBorders>
              <w:top w:val="outset" w:sz="6" w:space="0" w:color="000000"/>
              <w:left w:val="single" w:sz="4" w:space="0" w:color="000000"/>
              <w:bottom w:val="outset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Поставщик обязан одновременно с передачей продукции предоставить: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-Товарную накладную унифицированной формы ТОРГ-12 (или УПД) в 2 экз.;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- Паспорта, руководство по эксплуатции.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–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5.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firstLine="17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Иные условия</w:t>
            </w:r>
          </w:p>
        </w:tc>
        <w:tc>
          <w:tcPr>
            <w:tcW w:w="6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6.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firstLine="17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Иные условия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kern w:val="0"/>
                <w:sz w:val="24"/>
                <w:szCs w:val="24"/>
                <w:lang w:val="ru-RU" w:bidi="ar-SA"/>
              </w:rPr>
              <w:t>5.1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firstLine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firstLine="175"/>
              <w:jc w:val="both"/>
              <w:rPr>
                <w:sz w:val="24"/>
                <w:szCs w:val="24"/>
              </w:rPr>
            </w:pPr>
            <w:r>
              <w:rPr>
                <w:bCs/>
                <w:kern w:val="0"/>
                <w:sz w:val="24"/>
                <w:szCs w:val="24"/>
                <w:lang w:val="ru-RU" w:bidi="ar-SA"/>
              </w:rPr>
              <w:t>Товар должен быть новым, не бывшим в употреблении, пригодным для использования по своему назначению. Поставщик гарантирует, что Товар принадлежит ему на законном основании, в споре, залоге или под арестом не состоит, правами третьих лиц не обременен.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i/>
                <w:i/>
                <w:sz w:val="24"/>
                <w:szCs w:val="24"/>
              </w:rPr>
            </w:pPr>
            <w:r>
              <w:rPr>
                <w:bCs/>
                <w:i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firstLine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</w:tr>
      <w:tr>
        <w:trPr/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kern w:val="0"/>
                <w:sz w:val="24"/>
                <w:szCs w:val="24"/>
                <w:lang w:val="ru-RU" w:bidi="ar-SA"/>
              </w:rPr>
              <w:t>5.</w:t>
            </w:r>
            <w:r>
              <w:rPr>
                <w:bCs/>
                <w:kern w:val="0"/>
                <w:sz w:val="24"/>
                <w:szCs w:val="24"/>
                <w:lang w:val="en-US" w:bidi="ar-SA"/>
              </w:rPr>
              <w:t>2</w:t>
            </w:r>
            <w:r>
              <w:rPr>
                <w:bCs/>
                <w:kern w:val="0"/>
                <w:sz w:val="24"/>
                <w:szCs w:val="24"/>
                <w:lang w:val="ru-RU" w:bidi="ar-SA"/>
              </w:rPr>
              <w:t>.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firstLine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firstLine="175"/>
              <w:jc w:val="both"/>
              <w:rPr>
                <w:sz w:val="24"/>
                <w:szCs w:val="24"/>
              </w:rPr>
            </w:pPr>
            <w:r>
              <w:rPr>
                <w:bCs/>
                <w:kern w:val="0"/>
                <w:sz w:val="24"/>
                <w:szCs w:val="24"/>
                <w:lang w:val="ru-RU" w:bidi="ar-SA"/>
              </w:rPr>
              <w:t>Предоставление эквивалента возможно при условии полной совместимости по техническим характеристикам и конструктивным параметрам.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i/>
                <w:i/>
                <w:sz w:val="24"/>
                <w:szCs w:val="24"/>
              </w:rPr>
            </w:pPr>
            <w:r>
              <w:rPr>
                <w:bCs/>
                <w:i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firstLine="1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</w:tr>
    </w:tbl>
    <w:p>
      <w:pPr>
        <w:sectPr>
          <w:headerReference w:type="default" r:id="rId3"/>
          <w:headerReference w:type="first" r:id="rId4"/>
          <w:type w:val="nextPage"/>
          <w:pgSz w:orient="landscape" w:w="16838" w:h="11906"/>
          <w:pgMar w:left="992" w:right="567" w:gutter="0" w:header="680" w:top="1134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Normal"/>
        <w:spacing w:before="120" w:after="60"/>
        <w:rPr>
          <w:b/>
        </w:rPr>
      </w:pPr>
      <w:r>
        <w:rPr>
          <w:b/>
        </w:rPr>
      </w:r>
      <w:bookmarkStart w:id="14" w:name="_Toc51339699"/>
      <w:bookmarkStart w:id="15" w:name="_Toc46743519"/>
      <w:bookmarkStart w:id="16" w:name="_Toc51339699"/>
      <w:bookmarkStart w:id="17" w:name="_Toc46743519"/>
      <w:bookmarkEnd w:id="16"/>
      <w:bookmarkEnd w:id="17"/>
    </w:p>
    <w:p>
      <w:pPr>
        <w:pStyle w:val="Normal"/>
        <w:spacing w:before="120" w:after="60"/>
        <w:jc w:val="center"/>
        <w:rPr>
          <w:b/>
        </w:rPr>
      </w:pPr>
      <w:r>
        <w:rPr>
          <w:b/>
        </w:rPr>
        <w:t>6. Требования к документации по ценообразованию на этапе закупки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6.1. Стоимость продукции должна включать затраты на транспортировку, упаковку, маркировку, страхование, уплату налогов, таможенных пошлин, сборов и все остальные расходы, связанные с исполнением обязательств УчастникаTimes New Roman по договору.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6.2.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6.3. Дополнительные документы по ценообразованию в состав заявки не включаются.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/>
      </w:pPr>
      <w:r>
        <w:rPr/>
      </w:r>
    </w:p>
    <w:sectPr>
      <w:headerReference w:type="default" r:id="rId5"/>
      <w:headerReference w:type="first" r:id="rId6"/>
      <w:footerReference w:type="default" r:id="rId7"/>
      <w:type w:val="nextPage"/>
      <w:pgSz w:w="11906" w:h="16838"/>
      <w:pgMar w:left="1701" w:right="850" w:gutter="0" w:header="0" w:top="1134" w:footer="708" w:bottom="1134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sz w:val="24"/>
        <w:szCs w:val="24"/>
      </w:rPr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10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8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71" w:hanging="504"/>
      </w:pPr>
      <w:rPr>
        <w:sz w:val="24"/>
        <w:b w:val="false"/>
        <w:szCs w:val="24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b w:val="fals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99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pPr>
      <w:numPr>
        <w:ilvl w:val="0"/>
        <w:numId w:val="2"/>
      </w:numPr>
      <w:outlineLvl w:val="0"/>
    </w:pPr>
    <w:rPr>
      <w:sz w:val="28"/>
      <w:szCs w:val="28"/>
    </w:rPr>
  </w:style>
  <w:style w:type="paragraph" w:styleId="Heading3">
    <w:name w:val="Heading 3"/>
    <w:basedOn w:val="Normal"/>
    <w:next w:val="Normal"/>
    <w:link w:val="3"/>
    <w:autoRedefine/>
    <w:qFormat/>
    <w:pPr>
      <w:keepNext w:val="true"/>
      <w:numPr>
        <w:ilvl w:val="2"/>
        <w:numId w:val="2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pPr>
      <w:numPr>
        <w:ilvl w:val="1"/>
        <w:numId w:val="2"/>
      </w:numPr>
      <w:outlineLvl w:val="3"/>
    </w:pPr>
    <w:rPr>
      <w:bCs/>
    </w:rPr>
  </w:style>
  <w:style w:type="character" w:styleId="DefaultParagraphFont">
    <w:name w:val="Default Paragraph Font"/>
    <w:qFormat/>
    <w:rPr/>
  </w:style>
  <w:style w:type="character" w:styleId="Hyperlink">
    <w:name w:val="Hyperlink"/>
    <w:rPr>
      <w:color w:val="0000FF"/>
      <w:u w:val="single"/>
    </w:rPr>
  </w:style>
  <w:style w:type="character" w:styleId="Style6">
    <w:name w:val="Верхний колонтитул Знак"/>
    <w:basedOn w:val="DefaultParagraphFont"/>
    <w:qFormat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Style7">
    <w:name w:val="Нижний колонтитул Знак"/>
    <w:basedOn w:val="DefaultParagraphFont"/>
    <w:qFormat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1">
    <w:name w:val="Заголовок 1 Знак"/>
    <w:basedOn w:val="DefaultParagraphFont"/>
    <w:qFormat/>
    <w:rPr>
      <w:rFonts w:ascii="Times New Roman" w:hAnsi="Times New Roman" w:eastAsia="Calibri" w:cs="Times New Roman"/>
      <w:b/>
      <w:sz w:val="28"/>
      <w:szCs w:val="28"/>
      <w:lang w:val="x-none" w:eastAsia="x-none"/>
    </w:rPr>
  </w:style>
  <w:style w:type="character" w:styleId="3">
    <w:name w:val="Заголовок 3 Знак"/>
    <w:basedOn w:val="DefaultParagraphFont"/>
    <w:qFormat/>
    <w:rPr>
      <w:rFonts w:ascii="Times New Roman" w:hAnsi="Times New Roman" w:eastAsia="Calibri" w:cs="Times New Roman"/>
      <w:b/>
      <w:sz w:val="24"/>
      <w:szCs w:val="24"/>
      <w:lang w:val="x-none" w:eastAsia="x-none"/>
    </w:rPr>
  </w:style>
  <w:style w:type="character" w:styleId="4">
    <w:name w:val="Заголовок 4 Знак"/>
    <w:basedOn w:val="DefaultParagraphFont"/>
    <w:qFormat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Style8">
    <w:name w:val="Текст выноски Знак"/>
    <w:basedOn w:val="DefaultParagraphFont"/>
    <w:link w:val="BalloonText"/>
    <w:qFormat/>
    <w:rPr>
      <w:rFonts w:ascii="Segoe UI" w:hAnsi="Segoe UI" w:eastAsia="Times New Roman" w:cs="Segoe UI"/>
      <w:sz w:val="18"/>
      <w:szCs w:val="18"/>
      <w:lang w:eastAsia="ru-RU"/>
    </w:rPr>
  </w:style>
  <w:style w:type="character" w:styleId="Annotationreference">
    <w:name w:val="annotation reference"/>
    <w:basedOn w:val="DefaultParagraphFont"/>
    <w:qFormat/>
    <w:rPr>
      <w:sz w:val="16"/>
      <w:szCs w:val="16"/>
    </w:rPr>
  </w:style>
  <w:style w:type="character" w:styleId="Style9">
    <w:name w:val="Текст примечания Знак"/>
    <w:basedOn w:val="DefaultParagraphFont"/>
    <w:link w:val="Annotationtex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0">
    <w:name w:val="Тема примечания Знак"/>
    <w:basedOn w:val="Style9"/>
    <w:link w:val="Annotationsubject"/>
    <w:qFormat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Style11">
    <w:name w:val="Ссылка указателя"/>
    <w:qFormat/>
    <w:rPr/>
  </w:style>
  <w:style w:type="character" w:styleId="Style12">
    <w:name w:val="Абзац списка Знак"/>
    <w:link w:val="ListParagraph"/>
    <w:qFormat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Style13">
    <w:name w:val="комментарий"/>
    <w:qFormat/>
    <w:rPr>
      <w:b/>
      <w:i/>
      <w:shd w:fill="FFFF99" w:val="clear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TOC1">
    <w:name w:val="TOC 1"/>
    <w:basedOn w:val="Normal"/>
    <w:next w:val="Normal"/>
    <w:autoRedefine/>
    <w:pPr>
      <w:tabs>
        <w:tab w:val="clear" w:pos="708"/>
        <w:tab w:val="left" w:pos="560" w:leader="none"/>
        <w:tab w:val="right" w:pos="9911" w:leader="dot"/>
      </w:tabs>
      <w:spacing w:before="120" w:after="0"/>
      <w:ind w:left="0" w:right="0" w:firstLine="426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pPr>
      <w:tabs>
        <w:tab w:val="clear" w:pos="708"/>
        <w:tab w:val="left" w:pos="1120" w:leader="none"/>
        <w:tab w:val="right" w:pos="9911" w:leader="dot"/>
      </w:tabs>
      <w:ind w:left="280" w:right="0" w:hanging="0"/>
    </w:pPr>
    <w:rPr>
      <w:rFonts w:cs="Calibri"/>
      <w:sz w:val="20"/>
      <w:szCs w:val="20"/>
    </w:rPr>
  </w:style>
  <w:style w:type="paragraph" w:styleId="TOC4">
    <w:name w:val="TOC 4"/>
    <w:basedOn w:val="Normal"/>
    <w:next w:val="Normal"/>
    <w:autoRedefine/>
    <w:pPr>
      <w:tabs>
        <w:tab w:val="clear" w:pos="708"/>
        <w:tab w:val="left" w:pos="1120" w:leader="none"/>
        <w:tab w:val="right" w:pos="9911" w:leader="dot"/>
      </w:tabs>
      <w:ind w:left="560" w:right="0" w:hanging="0"/>
    </w:pPr>
    <w:rPr>
      <w:rFonts w:cs="Calibri"/>
      <w:iCs/>
      <w:sz w:val="20"/>
      <w:szCs w:val="20"/>
    </w:rPr>
  </w:style>
  <w:style w:type="paragraph" w:styleId="Style16">
    <w:name w:val="Колонтитул"/>
    <w:basedOn w:val="Normal"/>
    <w:qFormat/>
    <w:pPr/>
    <w:rPr/>
  </w:style>
  <w:style w:type="paragraph" w:styleId="Header">
    <w:name w:val="Header"/>
    <w:basedOn w:val="Normal"/>
    <w:link w:val="Style6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7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17">
    <w:name w:val="Раздел положения"/>
    <w:basedOn w:val="Normal"/>
    <w:autoRedefine/>
    <w:qFormat/>
    <w:pPr>
      <w:numPr>
        <w:ilvl w:val="0"/>
        <w:numId w:val="3"/>
      </w:numPr>
      <w:spacing w:before="80" w:after="80"/>
      <w:jc w:val="center"/>
    </w:pPr>
    <w:rPr>
      <w:b/>
      <w:sz w:val="32"/>
      <w:szCs w:val="32"/>
    </w:rPr>
  </w:style>
  <w:style w:type="paragraph" w:styleId="Style18">
    <w:name w:val="Подраздел раздела положения"/>
    <w:basedOn w:val="Normal"/>
    <w:autoRedefine/>
    <w:qFormat/>
    <w:pPr>
      <w:numPr>
        <w:ilvl w:val="1"/>
        <w:numId w:val="3"/>
      </w:numPr>
      <w:spacing w:before="80" w:after="80"/>
      <w:jc w:val="both"/>
    </w:pPr>
    <w:rPr/>
  </w:style>
  <w:style w:type="paragraph" w:styleId="Style19">
    <w:name w:val="Таблица шапка"/>
    <w:basedOn w:val="Normal"/>
    <w:qFormat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BalloonText">
    <w:name w:val="Balloon Text"/>
    <w:basedOn w:val="Normal"/>
    <w:link w:val="Style8"/>
    <w:qFormat/>
    <w:pPr/>
    <w:rPr>
      <w:rFonts w:ascii="Segoe UI" w:hAnsi="Segoe UI" w:cs="Segoe UI"/>
      <w:sz w:val="18"/>
      <w:szCs w:val="18"/>
    </w:rPr>
  </w:style>
  <w:style w:type="paragraph" w:styleId="Annotationtext">
    <w:name w:val="annotation text"/>
    <w:basedOn w:val="Normal"/>
    <w:link w:val="Style9"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0"/>
    <w:qFormat/>
    <w:pPr/>
    <w:rPr>
      <w:b/>
      <w:bCs/>
    </w:rPr>
  </w:style>
  <w:style w:type="paragraph" w:styleId="Revision">
    <w:name w:val="Revision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ListParagraph">
    <w:name w:val="List Paragraph"/>
    <w:basedOn w:val="Normal"/>
    <w:link w:val="Style12"/>
    <w:qFormat/>
    <w:pPr>
      <w:spacing w:before="0" w:after="0"/>
      <w:ind w:left="720" w:right="0" w:hanging="0"/>
      <w:contextualSpacing/>
    </w:pPr>
    <w:rPr/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BlockText">
    <w:name w:val="Block Text"/>
    <w:basedOn w:val="Normal"/>
    <w:qFormat/>
    <w:pPr>
      <w:suppressAutoHyphens w:val="false"/>
      <w:ind w:left="-567" w:right="-766" w:hanging="0"/>
      <w:jc w:val="center"/>
    </w:pPr>
    <w:rPr>
      <w:b/>
      <w:bCs/>
      <w:sz w:val="24"/>
      <w:szCs w:val="20"/>
    </w:rPr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footer" Target="footer1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Application>AlterOffice/3.4.0.9$Linux_X86_64 LibreOffice_project/b8daf9e823b1a5463a2f48435ddc2e8696e7d4fc</Application>
  <AppVersion>15.0000</AppVersion>
  <Pages>9</Pages>
  <Words>1042</Words>
  <Characters>6675</Characters>
  <CharactersWithSpaces>7675</CharactersWithSpaces>
  <Paragraphs>161</Paragraphs>
  <Company>RusHydro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2024-04-24T06:55:00Z</dcterms:created>
  <dc:creator>Смирнов Константин Русланович</dc:creator>
  <dc:description/>
  <dc:language>ru-RU</dc:language>
  <cp:lastModifiedBy>putroan@corp.gidroogk.com</cp:lastModifiedBy>
  <cp:lastPrinted>2023-01-12T00:12:00Z</cp:lastPrinted>
  <dcterms:modified xsi:type="dcterms:W3CDTF">2026-07-23T10:53:47Z</dcterms:modified>
  <cp:revision>33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