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right"/>
        <w:outlineLvl w:val="0"/>
        <w:rPr/>
      </w:pPr>
      <w:bookmarkStart w:id="0" w:name="_Toc127869920"/>
      <w:bookmarkStart w:id="1" w:name="_Toc127869900"/>
      <w:r>
        <w:rPr>
          <w:lang w:eastAsia="x-none"/>
        </w:rPr>
        <w:t>УТВЕРЖДАЮ</w:t>
      </w:r>
      <w:bookmarkEnd w:id="0"/>
      <w:bookmarkEnd w:id="1"/>
    </w:p>
    <w:p>
      <w:pPr>
        <w:pStyle w:val="Normal"/>
        <w:spacing w:lineRule="auto" w:line="360"/>
        <w:ind w:left="5245" w:hanging="0"/>
        <w:jc w:val="right"/>
        <w:rPr/>
      </w:pPr>
      <w:r>
        <w:rPr>
          <w:lang w:eastAsia="x-none"/>
        </w:rPr>
        <w:t>Директор Дальневосточного филиала АО «ТК РусГидро»</w:t>
      </w:r>
    </w:p>
    <w:p>
      <w:pPr>
        <w:pStyle w:val="Normal"/>
        <w:spacing w:lineRule="auto" w:line="360"/>
        <w:ind w:left="5245" w:hanging="0"/>
        <w:jc w:val="right"/>
        <w:rPr/>
      </w:pPr>
      <w:r>
        <w:rPr>
          <w:lang w:eastAsia="x-none"/>
        </w:rPr>
        <w:t xml:space="preserve">____________В.Ю. Золотарев         </w:t>
      </w:r>
    </w:p>
    <w:p>
      <w:pPr>
        <w:pStyle w:val="Normal"/>
        <w:keepNext w:val="true"/>
        <w:keepLines/>
        <w:spacing w:lineRule="auto" w:line="360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u w:val="none"/>
          <w:lang w:val="ru-RU" w:eastAsia="x-none"/>
        </w:rPr>
        <w:t xml:space="preserve">    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bookmarkStart w:id="2" w:name="_Toc137554584"/>
      <w:bookmarkStart w:id="3" w:name="_Toc141696704"/>
      <w:bookmarkStart w:id="4" w:name="_Toc139856287"/>
      <w:r>
        <w:rPr>
          <w:rFonts w:eastAsia="Calibri"/>
          <w:b/>
        </w:rPr>
        <w:t xml:space="preserve">Технические требования на </w:t>
      </w:r>
      <w:bookmarkEnd w:id="2"/>
      <w:bookmarkEnd w:id="3"/>
      <w:bookmarkEnd w:id="4"/>
    </w:p>
    <w:p>
      <w:pPr>
        <w:pStyle w:val="Normal"/>
        <w:jc w:val="center"/>
        <w:rPr/>
      </w:pPr>
      <w:r>
        <w:rPr>
          <w:rFonts w:eastAsia="Calibri"/>
          <w:b/>
          <w:bCs/>
          <w:i w:val="false"/>
          <w:iCs w:val="false"/>
          <w:sz w:val="28"/>
          <w:szCs w:val="28"/>
          <w:lang w:val="ru-RU" w:eastAsia="en-US" w:bidi="ar-SA"/>
        </w:rPr>
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</w:r>
    </w:p>
    <w:p>
      <w:pPr>
        <w:pStyle w:val="Normal"/>
        <w:jc w:val="center"/>
        <w:rPr/>
      </w:pPr>
      <w:r>
        <w:rPr>
          <w:rFonts w:eastAsia="Calibri"/>
          <w:b/>
          <w:bCs/>
          <w:i w:val="false"/>
          <w:iCs w:val="false"/>
          <w:sz w:val="28"/>
          <w:szCs w:val="28"/>
          <w:lang w:val="ru-RU" w:eastAsia="en-US" w:bidi="ar-SA"/>
        </w:rPr>
        <w:t>Лот № 3035-ЭКСП ПРОД-2027-ТК_Дальневост_фил</w:t>
      </w:r>
      <w:r>
        <w:br w:type="page"/>
      </w:r>
    </w:p>
    <w:p>
      <w:pPr>
        <w:pStyle w:val="Normal"/>
        <w:keepNext w:val="true"/>
        <w:keepLines/>
        <w:rPr>
          <w:rFonts w:eastAsia="Calibri"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983858">
            <w:r>
              <w:rPr>
                <w:webHidden/>
                <w:rStyle w:val="Style14"/>
                <w:vanish w:val="false"/>
              </w:rPr>
              <w:t>1.Общие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0"/>
                <w:szCs w:val="20"/>
              </w:rPr>
              <w:tab/>
              <w:t xml:space="preserve">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5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сокращения………………………………………………………………………………………………3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6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продукции………………………………………………………………………………….3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6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</w:rPr>
              <w:t>Цель оказания услуг……………………………………………………………………………………………………</w:t>
            </w:r>
          </w:hyperlink>
          <w:r>
            <w:rPr/>
            <w:t xml:space="preserve">.. </w:t>
          </w:r>
          <w:hyperlink w:anchor="_Toc12598386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_Toc125983861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sz w:val="20"/>
              <w:szCs w:val="20"/>
            </w:rPr>
          </w:pPr>
          <w:r>
            <w:rPr>
              <w:sz w:val="20"/>
              <w:szCs w:val="20"/>
            </w:rPr>
            <w:t>1.4. Существующее положение……………………………………………………………………………………………...3</w:t>
          </w:r>
        </w:p>
        <w:p>
          <w:pPr>
            <w:pStyle w:val="TOC4"/>
            <w:ind w:left="0" w:hanging="0"/>
            <w:rPr/>
          </w:pPr>
          <w:hyperlink w:anchor="_Toc125983863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lang w:eastAsia="ar-SA"/>
              </w:rPr>
              <w:t>Таблица</w:t>
            </w:r>
          </w:hyperlink>
          <w:r>
            <w:rPr>
              <w:b/>
              <w:bCs/>
              <w:sz w:val="24"/>
              <w:szCs w:val="24"/>
              <w:lang w:eastAsia="ar-SA"/>
            </w:rPr>
            <w:t xml:space="preserve"> 1 Перечень объектов заказчика </w:t>
          </w:r>
          <w:r>
            <w:rPr>
              <w:lang w:eastAsia="ar-SA"/>
            </w:rPr>
            <w:t>……………………………………………………………………. .3</w:t>
          </w:r>
        </w:p>
        <w:p>
          <w:pPr>
            <w:pStyle w:val="Normal"/>
            <w:rPr/>
          </w:pPr>
          <w:r>
            <w:rPr>
              <w:b/>
              <w:bCs/>
              <w:sz w:val="24"/>
              <w:szCs w:val="24"/>
            </w:rPr>
            <w:t>2. Требования к продукции</w:t>
          </w:r>
          <w:r>
            <w:rPr>
              <w:b/>
              <w:bCs/>
              <w:sz w:val="20"/>
              <w:szCs w:val="20"/>
            </w:rPr>
            <w:t>……………………………………………………………………………………….. ..3</w:t>
          </w:r>
        </w:p>
        <w:p>
          <w:pPr>
            <w:pStyle w:val="TOC4"/>
            <w:ind w:left="0" w:hanging="0"/>
            <w:rPr/>
          </w:pPr>
          <w:r>
            <w:rPr>
              <w:iCs/>
            </w:rPr>
            <w:t>2.1</w:t>
          </w:r>
          <w:hyperlink w:anchor="_Toc125983867">
            <w:r>
              <w:rPr>
                <w:webHidden/>
                <w:rStyle w:val="Style14"/>
                <w:iCs/>
                <w:vanish w:val="false"/>
              </w:rPr>
              <w:t xml:space="preserve">. </w:t>
            </w:r>
            <w:r>
              <w:rPr>
                <w:rStyle w:val="Style14"/>
              </w:rPr>
              <w:t>Требования к объемам и срокам оказания услуг……………………………………………………………………</w:t>
            </w:r>
          </w:hyperlink>
          <w:r>
            <w:rPr/>
            <w:t>.. .3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r>
            <w:rPr/>
            <w:t>2.1</w:t>
          </w:r>
          <w:hyperlink w:anchor="_Toc125983868">
            <w:r>
              <w:rPr>
                <w:webHidden/>
                <w:rStyle w:val="Style14"/>
                <w:vanish w:val="false"/>
              </w:rPr>
              <w:t>.1.Требования к перечню и объему услуг………………………………………………………………………………</w:t>
            </w:r>
          </w:hyperlink>
          <w:r>
            <w:rPr/>
            <w:t>. 3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hyperlink w:anchor="_Toc125983869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 2. Перечень и объем оказываемых услуг</w:t>
            </w:r>
            <w:r>
              <w:rPr>
                <w:rStyle w:val="Style14"/>
                <w:b w:val="false"/>
                <w:bCs w:val="false"/>
                <w:vanish w:val="false"/>
                <w:sz w:val="24"/>
                <w:szCs w:val="24"/>
              </w:rPr>
              <w:t>………………………………………………</w:t>
            </w:r>
          </w:hyperlink>
          <w:r>
            <w:rPr>
              <w:b w:val="false"/>
              <w:bCs w:val="false"/>
              <w:sz w:val="24"/>
              <w:szCs w:val="24"/>
            </w:rPr>
            <w:t xml:space="preserve">. </w:t>
          </w:r>
          <w:r>
            <w:rPr>
              <w:b/>
              <w:bCs/>
            </w:rPr>
            <w:t>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r>
            <w:rPr/>
            <w:t xml:space="preserve">2.1.2 </w:t>
          </w:r>
          <w:hyperlink w:anchor="_Toc125983870">
            <w:r>
              <w:rPr>
                <w:webHidden/>
                <w:rStyle w:val="Style14"/>
                <w:vanish w:val="false"/>
              </w:rPr>
              <w:t>Требования к срокам оказания услуг</w:t>
              <w:tab/>
            </w:r>
          </w:hyperlink>
          <w:r>
            <w:rPr/>
            <w:t>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hyperlink w:anchor="_Toc125983871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 3. Требования к срокам оказания услуг</w:t>
            </w:r>
            <w:r>
              <w:rPr>
                <w:rStyle w:val="Style14"/>
              </w:rPr>
              <w:tab/>
            </w:r>
          </w:hyperlink>
          <w:r>
            <w:rPr/>
            <w:t>4</w:t>
          </w:r>
        </w:p>
        <w:p>
          <w:pPr>
            <w:pStyle w:val="TOC4"/>
            <w:ind w:left="0" w:hanging="0"/>
            <w:rPr/>
          </w:pPr>
          <w:r>
            <w:rPr>
              <w:iCs/>
            </w:rPr>
            <w:t xml:space="preserve">2.2. </w:t>
          </w:r>
          <w:hyperlink w:anchor="_Toc125983872">
            <w:r>
              <w:rPr>
                <w:webHidden/>
                <w:rStyle w:val="Style14"/>
                <w:vanish w:val="false"/>
              </w:rPr>
              <w:t>Требования к качеству услуг……………………………………………………………………………………………</w:t>
            </w:r>
          </w:hyperlink>
          <w:r>
            <w:rPr/>
            <w:t>.4</w:t>
          </w:r>
        </w:p>
        <w:p>
          <w:pPr>
            <w:pStyle w:val="TOC4"/>
            <w:ind w:left="0" w:hanging="0"/>
            <w:rPr/>
          </w:pPr>
          <w:hyperlink w:anchor="_Toc125983873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 4. Требования к качеству услуг 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РусГидро"…………………………………..……</w:t>
            </w:r>
            <w:r>
              <w:rPr>
                <w:rStyle w:val="Style14"/>
                <w:b/>
                <w:bCs/>
              </w:rPr>
              <w:t>...</w:t>
            </w:r>
          </w:hyperlink>
          <w:r>
            <w:rPr>
              <w:b/>
              <w:bCs/>
            </w:rPr>
            <w:t xml:space="preserve"> ..4</w:t>
          </w:r>
        </w:p>
        <w:p>
          <w:pPr>
            <w:pStyle w:val="Normal"/>
            <w:rPr/>
          </w:pPr>
          <w:r>
            <w:rPr>
              <w:b/>
              <w:bCs/>
              <w:sz w:val="24"/>
              <w:szCs w:val="24"/>
            </w:rPr>
            <w:t>3. Требования к документации по ценообразованию на этапе закупки..</w:t>
          </w:r>
          <w:r>
            <w:rPr>
              <w:sz w:val="20"/>
              <w:szCs w:val="20"/>
            </w:rPr>
            <w:t>…………………………..11</w:t>
          </w:r>
          <w:r>
            <w:rPr>
              <w:sz w:val="20"/>
              <w:szCs w:val="20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bookmarkStart w:id="5" w:name="_GoBack"/>
      <w:bookmarkStart w:id="6" w:name="_GoBack"/>
      <w:bookmarkEnd w:id="6"/>
      <w:r>
        <w:br w:type="page"/>
      </w:r>
    </w:p>
    <w:p>
      <w:pPr>
        <w:pStyle w:val="Heading1"/>
        <w:numPr>
          <w:ilvl w:val="0"/>
          <w:numId w:val="1"/>
        </w:numPr>
        <w:ind w:left="5038" w:hanging="360"/>
        <w:rPr>
          <w:b/>
          <w:bCs/>
        </w:rPr>
      </w:pPr>
      <w:bookmarkStart w:id="7" w:name="_Toc125983858"/>
      <w:r>
        <w:rPr>
          <w:b/>
          <w:bCs/>
          <w:sz w:val="24"/>
          <w:szCs w:val="24"/>
        </w:rPr>
        <w:t>Общие сведения</w:t>
      </w:r>
      <w:bookmarkEnd w:id="7"/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r>
        <w:rPr>
          <w:b/>
        </w:rPr>
        <w:t>Обозначения и сокращения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</w:t>
      </w:r>
      <w:r>
        <w:rPr>
          <w:b w:val="false"/>
          <w:bCs w:val="false"/>
          <w:sz w:val="24"/>
          <w:szCs w:val="24"/>
        </w:rPr>
        <w:t>Ф - Российская Федерация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ФЗ - Федеральный закон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ТТ - Технические требования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ТС - Транспортное средство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ФНП - Федеральные нормы и правил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НВОС - негативное воздействие на окружающую среду</w:t>
      </w:r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bookmarkStart w:id="8" w:name="_Toc46743506"/>
      <w:bookmarkStart w:id="9" w:name="_Toc125983860"/>
      <w:r>
        <w:rPr>
          <w:b/>
        </w:rPr>
        <w:t>Наименование закупаемой продукции</w:t>
      </w:r>
      <w:bookmarkEnd w:id="8"/>
      <w:bookmarkEnd w:id="9"/>
    </w:p>
    <w:p>
      <w:pPr>
        <w:pStyle w:val="Normal"/>
        <w:keepNext w:val="true"/>
        <w:keepLines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</w:r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bookmarkStart w:id="10" w:name="_Toc125983861"/>
      <w:bookmarkStart w:id="11" w:name="_Toc46743507"/>
      <w:r>
        <w:rPr>
          <w:b/>
        </w:rPr>
        <w:t xml:space="preserve">Цель </w:t>
      </w:r>
      <w:bookmarkEnd w:id="11"/>
      <w:r>
        <w:rPr>
          <w:b/>
        </w:rPr>
        <w:t>оказания услуг</w:t>
      </w:r>
      <w:bookmarkEnd w:id="10"/>
    </w:p>
    <w:p>
      <w:pPr>
        <w:pStyle w:val="Heading4"/>
        <w:numPr>
          <w:ilvl w:val="0"/>
          <w:numId w:val="0"/>
        </w:numPr>
        <w:ind w:left="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требований Федерального закона от 10.01.2002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7-ФЗ «Об охране окружающей среды», Федерального закона от 04.05.1999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96-ФЗ «Об охране атмосферного воздуха», Федерального закона от 30.03.1999 No 52-ФЗ «О санитарно- эпидемиологическом благополучии населения»; Приказа Минприроды России от 19.11.2021 г.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871 «Об утверждении Порядка проведения инвентаризации стационарных источников и выбросов загрязняющих веществ в атмосферный воздух», Приказа Минприроды России от 18.02.2022 N 109, Постановление Правительства РФ от 09.12.2020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2055 «О предельно допустимых выбросах, временно разрешенных выбросах, предельно допустимых нормативах вредных физических воздействий на выбросы загрязняющих веществ в атмосферный воздух», Распоряжение Правительства РФ от 20.10.2023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2909-р «Об утверждении перечня загрязняющих веществ,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последующей постановки  объекта НВОС на учёт в соответствии с Постановлением Правительства от 31.12.2020 г. № 2398 «Об утверждении критериев отнесения объектов, оказывающих негативное воздействие на окружающую среду, к объектам I, II, III и IV категорий».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lang w:val="ru-RU"/>
        </w:rPr>
      </w:pPr>
      <w:r>
        <w:rPr/>
      </w:r>
    </w:p>
    <w:p>
      <w:pPr>
        <w:pStyle w:val="Heading4"/>
        <w:numPr>
          <w:ilvl w:val="0"/>
          <w:numId w:val="0"/>
        </w:numPr>
        <w:ind w:left="-11" w:hanging="0"/>
        <w:rPr>
          <w:b/>
          <w:bCs/>
        </w:rPr>
      </w:pPr>
      <w:r>
        <w:rPr>
          <w:b/>
          <w:bCs/>
          <w:color w:val="000000"/>
          <w:lang w:val="ru-RU"/>
        </w:rPr>
        <w:t>1.</w:t>
      </w:r>
      <w:r>
        <w:rPr>
          <w:b/>
          <w:bCs/>
          <w:color w:val="000000"/>
          <w:lang w:val="ru-RU"/>
        </w:rPr>
        <w:t>4</w:t>
      </w:r>
      <w:r>
        <w:rPr>
          <w:b/>
          <w:bCs/>
          <w:color w:val="000000"/>
          <w:lang w:val="ru-RU"/>
        </w:rPr>
        <w:t xml:space="preserve">. </w:t>
      </w:r>
      <w:bookmarkStart w:id="12" w:name="_Toc162698177"/>
      <w:r>
        <w:rPr>
          <w:b/>
          <w:bCs/>
          <w:color w:val="000000"/>
          <w:lang w:val="ru-RU"/>
        </w:rPr>
        <w:t>С</w:t>
      </w:r>
      <w:bookmarkEnd w:id="12"/>
      <w:r>
        <w:rPr>
          <w:b/>
          <w:bCs/>
          <w:color w:val="000000"/>
          <w:lang w:val="ru-RU"/>
        </w:rPr>
        <w:t>уществующее положение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№ 1.  Перечень объектов Заказчика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18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976"/>
        <w:gridCol w:w="2874"/>
        <w:gridCol w:w="1616"/>
        <w:gridCol w:w="2181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1868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 (место оказания услуг)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Зейский транспортный участок, Амурская область, г. Зея</w:t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выбросов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Бурейский транспортный участок, Амурская область, п. Талакан</w:t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выбросов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Нижне-Бурейский транспортный участок, Амурская область, Бурейский район, п. Николаевка</w:t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выбросов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Нерюнгринский район, п. Серебряный Бор, Республика Саха (Якутия), Нерюнгринский район, п. Серебряный Бор</w:t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выбросов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before="0" w:after="0"/>
        <w:contextualSpacing/>
        <w:jc w:val="center"/>
        <w:textAlignment w:val="baseline"/>
        <w:rPr>
          <w:b/>
          <w:bCs/>
          <w:szCs w:val="24"/>
        </w:rPr>
      </w:pPr>
      <w:r>
        <w:rPr/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jc w:val="center"/>
        <w:textAlignment w:val="baseline"/>
        <w:rPr/>
      </w:pPr>
      <w:r>
        <w:rPr>
          <w:b/>
          <w:bCs/>
          <w:sz w:val="24"/>
          <w:szCs w:val="24"/>
        </w:rPr>
        <w:t xml:space="preserve">2. </w:t>
      </w:r>
      <w:bookmarkStart w:id="13" w:name="_Toc51339693"/>
      <w:bookmarkStart w:id="14" w:name="_Toc125983866"/>
      <w:r>
        <w:rPr>
          <w:b/>
          <w:bCs/>
          <w:sz w:val="24"/>
          <w:szCs w:val="24"/>
        </w:rPr>
        <w:t>Требования к продукции</w:t>
      </w:r>
      <w:bookmarkEnd w:id="13"/>
      <w:bookmarkEnd w:id="14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bookmarkStart w:id="15" w:name="_Toc125983867"/>
      <w:r>
        <w:rPr>
          <w:b/>
          <w:bCs/>
          <w:sz w:val="24"/>
          <w:szCs w:val="24"/>
        </w:rPr>
        <w:t>. Требования к объемам и срокам оказания услуг</w:t>
      </w:r>
      <w:bookmarkEnd w:id="15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2.1.1</w:t>
      </w:r>
      <w:bookmarkStart w:id="16" w:name="_Toc125983868"/>
      <w:r>
        <w:rPr>
          <w:b/>
          <w:bCs/>
          <w:sz w:val="24"/>
          <w:szCs w:val="24"/>
        </w:rPr>
        <w:t>. Требования к перечню и объему услуг</w:t>
      </w:r>
      <w:bookmarkEnd w:id="16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bookmarkStart w:id="17" w:name="_Toc51339695_Копия_1"/>
      <w:bookmarkStart w:id="18" w:name="_Toc125983869_Копия_1"/>
      <w:r>
        <w:rPr>
          <w:b/>
          <w:bCs/>
          <w:sz w:val="24"/>
          <w:szCs w:val="24"/>
        </w:rPr>
        <w:t xml:space="preserve">Таблица 2. Перечень </w:t>
      </w:r>
      <w:bookmarkEnd w:id="17"/>
      <w:r>
        <w:rPr>
          <w:b/>
          <w:bCs/>
          <w:sz w:val="24"/>
          <w:szCs w:val="24"/>
        </w:rPr>
        <w:t>и объем оказываемых услуг</w:t>
      </w:r>
      <w:bookmarkEnd w:id="18"/>
    </w:p>
    <w:tbl>
      <w:tblPr>
        <w:tblW w:w="103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5"/>
        <w:gridCol w:w="3259"/>
        <w:gridCol w:w="1921"/>
        <w:gridCol w:w="2373"/>
        <w:gridCol w:w="2372"/>
      </w:tblGrid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есто оказания услуг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Зейский транспортный участок, Амурская область, г. Зея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Передвижные источники: </w:t>
            </w:r>
            <w:r>
              <w:rPr>
                <w:sz w:val="24"/>
                <w:szCs w:val="24"/>
              </w:rPr>
              <w:t xml:space="preserve">42 транспортных средств; </w:t>
            </w:r>
            <w:r>
              <w:rPr>
                <w:sz w:val="24"/>
                <w:szCs w:val="24"/>
              </w:rPr>
              <w:t>стационарные источники: до 5 источников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Ремонтные работы техники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(транспортных средств),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обслуживание, </w:t>
            </w: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/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Бурейский транспортный участок, Амурская область, п. Талакан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Передвижные источники:</w:t>
            </w:r>
            <w:r>
              <w:rPr>
                <w:sz w:val="24"/>
                <w:szCs w:val="24"/>
              </w:rPr>
              <w:t xml:space="preserve">48 транспортных средств; </w:t>
            </w:r>
            <w:r>
              <w:rPr>
                <w:sz w:val="24"/>
                <w:szCs w:val="24"/>
              </w:rPr>
              <w:t>стационарные источники: до 5 источников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Ремонтные работы техники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(транспортных средств),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обслуживание, </w:t>
            </w: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/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Нижне-Бурейский транспортный участок, Амурская область, Бурейский район, п. Николаевка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Передвижные источники: </w:t>
            </w:r>
            <w:r>
              <w:rPr>
                <w:sz w:val="24"/>
                <w:szCs w:val="24"/>
              </w:rPr>
              <w:t xml:space="preserve">15 транспортных средств; </w:t>
            </w:r>
            <w:r>
              <w:rPr>
                <w:sz w:val="24"/>
                <w:szCs w:val="24"/>
              </w:rPr>
              <w:t>стационарные источники: до 5 источников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Ремонтные работы техники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(транспортных средств), </w:t>
            </w: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/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8"/>
                <w:tab w:val="left" w:pos="10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Нерюнгринский район, п. Серебряный Бор, Республика Саха (Якутия), Нерюнгринский район, п. Серебряный Бор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Передвижные источники: </w:t>
            </w:r>
            <w:r>
              <w:rPr>
                <w:sz w:val="24"/>
                <w:szCs w:val="24"/>
              </w:rPr>
              <w:t xml:space="preserve">25 транспортных средств; </w:t>
            </w:r>
            <w:r>
              <w:rPr>
                <w:sz w:val="24"/>
                <w:szCs w:val="24"/>
              </w:rPr>
              <w:t>стационарные источники: до 5 источников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Строительно-монтажные работы на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территории стройки, техническое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обслуживание, текущий ремонт</w:t>
            </w:r>
          </w:p>
        </w:tc>
      </w:tr>
    </w:tbl>
    <w:p>
      <w:pPr>
        <w:pStyle w:val="Heading3"/>
        <w:keepNext w:val="true"/>
        <w:widowControl/>
        <w:tabs>
          <w:tab w:val="clear" w:pos="0"/>
        </w:tabs>
        <w:suppressAutoHyphens w:val="true"/>
        <w:bidi w:val="0"/>
        <w:spacing w:before="120" w:after="60"/>
        <w:ind w:left="0" w:firstLine="720"/>
        <w:jc w:val="both"/>
        <w:rPr>
          <w:rFonts w:ascii="Times New Roman" w:hAnsi="Times New Roman" w:eastAsia="Calibri" w:cs="Times New Roman"/>
          <w:i/>
          <w:i/>
          <w:iCs/>
          <w:color w:val="auto"/>
          <w:kern w:val="0"/>
          <w:lang w:val="ru-RU" w:eastAsia="ru-RU" w:bidi="ar-SA"/>
        </w:rPr>
      </w:pPr>
      <w:bookmarkStart w:id="19" w:name="__RefHeading___Toc15362_4018742652"/>
      <w:bookmarkEnd w:id="19"/>
      <w:r>
        <w:rPr>
          <w:rFonts w:eastAsia="Calibri" w:cs="Times New Roman"/>
          <w:i/>
          <w:iCs/>
          <w:color w:val="auto"/>
          <w:kern w:val="0"/>
          <w:lang w:val="ru-RU" w:eastAsia="ru-RU" w:bidi="ar-SA"/>
        </w:rPr>
        <w:t>*Количество источников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</w:tabs>
        <w:suppressAutoHyphens w:val="true"/>
        <w:bidi w:val="0"/>
        <w:spacing w:before="120" w:after="60"/>
        <w:ind w:left="0" w:firstLine="720"/>
        <w:jc w:val="both"/>
        <w:outlineLvl w:val="2"/>
        <w:rPr>
          <w:rFonts w:ascii="Times New Roman" w:hAnsi="Times New Roman" w:eastAsia="Calibri" w:cs="Times New Roman"/>
          <w:i/>
          <w:i/>
          <w:iCs/>
          <w:color w:val="auto"/>
          <w:kern w:val="0"/>
          <w:lang w:val="ru-RU" w:eastAsia="ru-RU" w:bidi="ar-SA"/>
        </w:rPr>
      </w:pPr>
      <w:r>
        <w:rPr>
          <w:rFonts w:eastAsia="Calibri" w:cs="Times New Roman"/>
          <w:i/>
          <w:iCs/>
          <w:color w:val="auto"/>
          <w:kern w:val="0"/>
          <w:lang w:val="ru-RU" w:eastAsia="ru-RU" w:bidi="ar-SA"/>
        </w:rPr>
      </w:r>
    </w:p>
    <w:p>
      <w:pPr>
        <w:pStyle w:val="Heading3"/>
        <w:tabs>
          <w:tab w:val="clear" w:pos="0"/>
        </w:tabs>
        <w:ind w:left="0" w:hanging="0"/>
        <w:rPr>
          <w:b/>
          <w:bCs/>
        </w:rPr>
      </w:pPr>
      <w:r>
        <w:rPr>
          <w:b/>
          <w:bCs/>
          <w:lang w:val="ru-RU"/>
        </w:rPr>
        <w:t>2.1.2</w:t>
      </w:r>
      <w:bookmarkStart w:id="20" w:name="_Toc125983870_Копия_1"/>
      <w:bookmarkStart w:id="21" w:name="_Toc51339696_Копия_1"/>
      <w:r>
        <w:rPr>
          <w:b/>
          <w:bCs/>
          <w:lang w:val="ru-RU"/>
        </w:rPr>
        <w:t xml:space="preserve">. </w:t>
      </w:r>
      <w:r>
        <w:rPr>
          <w:b/>
          <w:bCs/>
        </w:rPr>
        <w:t xml:space="preserve">Требования </w:t>
      </w:r>
      <w:bookmarkEnd w:id="21"/>
      <w:r>
        <w:rPr>
          <w:b/>
          <w:bCs/>
        </w:rPr>
        <w:t>к срокам оказания услуг</w:t>
      </w:r>
      <w:bookmarkEnd w:id="20"/>
    </w:p>
    <w:p>
      <w:pPr>
        <w:pStyle w:val="Heading1"/>
        <w:tabs>
          <w:tab w:val="clear" w:pos="0"/>
        </w:tabs>
        <w:ind w:left="0" w:hanging="0"/>
        <w:rPr>
          <w:b/>
          <w:bCs/>
        </w:rPr>
      </w:pPr>
      <w:bookmarkStart w:id="22" w:name="_Toc50125126_Копия_1_Копия_1"/>
      <w:bookmarkStart w:id="23" w:name="_Toc50125127_Копия_1"/>
      <w:bookmarkStart w:id="24" w:name="_Toc51339697_Копия_1"/>
      <w:bookmarkStart w:id="25" w:name="_Toc125983871_Копия_1"/>
      <w:bookmarkEnd w:id="22"/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</w:rPr>
        <w:t xml:space="preserve">. </w:t>
      </w:r>
      <w:bookmarkStart w:id="26" w:name="_Hlk50465284_Копия_1"/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3"/>
      <w:bookmarkEnd w:id="24"/>
      <w:bookmarkEnd w:id="26"/>
      <w:r>
        <w:rPr>
          <w:b/>
          <w:bCs/>
          <w:sz w:val="24"/>
          <w:szCs w:val="24"/>
          <w:lang w:val="ru-RU"/>
        </w:rPr>
        <w:t>оказания услуг</w:t>
      </w:r>
      <w:bookmarkEnd w:id="25"/>
    </w:p>
    <w:tbl>
      <w:tblPr>
        <w:tblW w:w="101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557"/>
        <w:gridCol w:w="2553"/>
        <w:gridCol w:w="2548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7"/>
              <w:widowControl w:val="false"/>
              <w:tabs>
                <w:tab w:val="clear" w:pos="567"/>
                <w:tab w:val="left" w:pos="708" w:leader="none"/>
              </w:tabs>
              <w:spacing w:before="0" w:after="0"/>
              <w:ind w:left="0" w:right="0" w:hanging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05.04</w:t>
            </w:r>
            <w:r>
              <w:rPr>
                <w:color w:val="000000"/>
                <w:sz w:val="24"/>
                <w:szCs w:val="24"/>
              </w:rPr>
              <w:t>.2027 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31.09</w:t>
            </w:r>
            <w:r>
              <w:rPr>
                <w:sz w:val="24"/>
                <w:szCs w:val="24"/>
              </w:rPr>
              <w:t>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spacing w:before="0" w:after="0"/>
        <w:ind w:left="0" w:hanging="0"/>
        <w:rPr>
          <w:b/>
        </w:rPr>
      </w:pPr>
      <w:r>
        <w:rPr>
          <w:b/>
          <w:lang w:val="ru-RU"/>
        </w:rPr>
        <w:t>2.2</w:t>
      </w:r>
      <w:bookmarkStart w:id="27" w:name="_Toc51339698_Копия_2"/>
      <w:bookmarkStart w:id="28" w:name="_Toc46743511_Копия_2"/>
      <w:bookmarkStart w:id="29" w:name="_Toc125983872_Копия_2"/>
      <w:bookmarkStart w:id="30" w:name="_Toc50125131_Копия_2"/>
      <w:r>
        <w:rPr>
          <w:b/>
          <w:lang w:val="ru-RU"/>
        </w:rPr>
        <w:t xml:space="preserve">. </w:t>
      </w:r>
      <w:r>
        <w:rPr>
          <w:b/>
        </w:rPr>
        <w:t xml:space="preserve">Требования к </w:t>
      </w:r>
      <w:bookmarkEnd w:id="28"/>
      <w:r>
        <w:rPr>
          <w:b/>
          <w:lang w:val="ru-RU"/>
        </w:rPr>
        <w:t>качеству услуг</w:t>
      </w:r>
      <w:bookmarkEnd w:id="29"/>
    </w:p>
    <w:p>
      <w:pPr>
        <w:pStyle w:val="Heading1"/>
        <w:tabs>
          <w:tab w:val="clear" w:pos="0"/>
        </w:tabs>
        <w:spacing w:before="0" w:after="0"/>
        <w:ind w:left="0" w:hanging="0"/>
        <w:rPr>
          <w:b/>
          <w:bCs/>
        </w:rPr>
      </w:pPr>
      <w:bookmarkStart w:id="31" w:name="_Toc125983873_Копия_2"/>
      <w:r>
        <w:rPr>
          <w:b/>
          <w:bCs/>
          <w:sz w:val="24"/>
          <w:szCs w:val="24"/>
        </w:rPr>
        <w:t>Таблица </w:t>
      </w:r>
      <w:r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</w:rPr>
        <w:t xml:space="preserve">. Требования к </w:t>
      </w:r>
      <w:bookmarkEnd w:id="27"/>
      <w:bookmarkEnd w:id="30"/>
      <w:r>
        <w:rPr>
          <w:b/>
          <w:bCs/>
          <w:sz w:val="24"/>
          <w:szCs w:val="24"/>
          <w:lang w:val="ru-RU"/>
        </w:rPr>
        <w:t>качеству услуг</w:t>
      </w:r>
      <w:bookmarkEnd w:id="31"/>
    </w:p>
    <w:p>
      <w:pPr>
        <w:pStyle w:val="Heading1"/>
        <w:tabs>
          <w:tab w:val="clear" w:pos="0"/>
        </w:tabs>
        <w:spacing w:before="0" w:after="0"/>
        <w:ind w:left="0" w:hanging="0"/>
        <w:rPr/>
      </w:pPr>
      <w:r>
        <w:rPr>
          <w:b/>
          <w:bCs/>
          <w:sz w:val="24"/>
          <w:szCs w:val="24"/>
          <w:lang w:val="ru-RU" w:eastAsia="ru-RU"/>
        </w:rPr>
        <w:t xml:space="preserve">Наименование услуг/этапа услуг (позиция №1 Таблицы 2): </w:t>
      </w:r>
      <w:r>
        <w:rPr>
          <w:b w:val="false"/>
          <w:bCs w:val="false"/>
          <w:sz w:val="24"/>
          <w:szCs w:val="24"/>
          <w:lang w:val="ru-RU" w:eastAsia="ru-RU"/>
        </w:rPr>
        <w:t>ОКПД 2 39.00.23.900 Оказание услуг по инвентаризации источников и выбросов загрязняющих веществ в атмосферный воздух для нужд Дальневосточного филиала АО "ТК РусГидро"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5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7"/>
        <w:gridCol w:w="5462"/>
        <w:gridCol w:w="4775"/>
        <w:gridCol w:w="2181"/>
        <w:gridCol w:w="1385"/>
      </w:tblGrid>
      <w:tr>
        <w:trPr>
          <w:trHeight w:val="276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пп</w:t>
            </w:r>
          </w:p>
        </w:tc>
        <w:tc>
          <w:tcPr>
            <w:tcW w:w="5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32" w:name="_Toc53499667_Копия_1"/>
            <w:r>
              <w:rPr>
                <w:b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3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При оказании услуг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сполнитель должен руководствоваться следующими НПА: Федеральный закон от 10.01.2002 No 7-ФЗ «Об охране окружающей среды»; Федеральный закон от 04.05.1999 No 96-ФЗ «Об охране атмосферного воздуха»; Федеральный закон от 30.03.1999 No 52-ФЗ «О санитарно-эпидемиологическом благополучии населения»; Приказ Минприроды России от 19.11.2021 г. No 871 «Об утверждении Порядка проведения инвентаризации стационарных источников и выбросов загрязняющих веществ в 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тмосферный воздух»; Распоряжение Правительства РФ от 20.10.2023 N 2909-р «Об утверждении перечня загрязняющих веществ,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РФ»; Приказ Минприроды России от 18.02.2022 N 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контроля; Постановление Правительства РФ от 09.12.2020 No 2055 «О предельно допустимых выбросах, временно разрешенных выбросах, предельно допустимых нормативах вредных физических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оздействий на выбросы загрязняющих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веществ в атмосферный воздух».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34" w:hRule="atLeast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Наличие опыта (не менее 2-ти лет) по разработке отчетов по инвентаризации источников выбросов, проектов  нормативов предельно допустимых выбросов;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Наличие необходимой материальной и программной базы для выполнения данных видов услуг;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Исполнитель выполняет услуги в соответствии с действующими нормами и природоохранным законодательством;</w:t>
            </w:r>
          </w:p>
          <w:p>
            <w:pPr>
              <w:pStyle w:val="Style34"/>
              <w:spacing w:lineRule="atLeast" w:line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Исполнитель работ проходит экспертизы и согласование проектной документации согласно действующему законодательству РФ;</w:t>
            </w:r>
          </w:p>
          <w:p>
            <w:pPr>
              <w:pStyle w:val="Style34"/>
              <w:spacing w:lineRule="atLeast" w:line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В случае получения отрицательного заключения экспертиз, согласований проектная организация проходит все повторные экспертизы за свой счет;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Необходимые корректировки проектных решений, возникшие в процессе согласований, проектная организация выполняет без дополнительной оплаты.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 Исполнитель работ должен иметь соответствующую аккредитацию на проведение лабораторных исследований и внесенное в федеральный реестр Росаккредитация, в случае отсутствия собственной аккредитованной лаборатории Исполнитель должен иметь заключенный договор со сторонней организацией, имеющей аккредитованную лабораторию и опыт в данном виде деятельности не менее 5 лет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Инвентаризация источников выбросов загрязняющих веществ в атмосферный воздух в проводится в соответствии с государственными требованиями охраны окружающей среды.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 из географической или территориальной привязки Заказчика, участник закупки должен иметь возможность очно осуществлять деятельность по выполнению замеров.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Исполнитель должен иметь аккредитованную лабораторию, соответствующую НПА по осуществлению данного вида деятельности. В случае отсутствия собственной аккредитованной лаборатории Исполнитель должен иметь заключенный договор со сторонней организацией, имеющей аккредитованную лабораторию и опыт в данном виде деятельности не менее 2 лет.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Исполнитель  </w:t>
            </w:r>
            <w:r>
              <w:rPr>
                <w:color w:val="000000"/>
                <w:sz w:val="24"/>
                <w:szCs w:val="24"/>
              </w:rPr>
              <w:t>должен обладать необходимым минимальным количеством оборудования, для выполнения услуг, соответствующим НПА в области проведения инвентаризации стационарных источников и выбросов загрязняющих веществ в атмосферный воздух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 </w:t>
            </w:r>
            <w:r>
              <w:rPr>
                <w:sz w:val="24"/>
                <w:szCs w:val="24"/>
              </w:rPr>
              <w:t>должен обладать необходимым минимальным количеством работников, прошедших соответствующее обучение, для соответствия требованиям по выполнению услуг по инвентаризации стационарных источников и выбросов загрязняющих веществ в атмосферный воздух.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Результатом выполнения работ дол</w:t>
            </w:r>
            <w:r>
              <w:rPr>
                <w:sz w:val="24"/>
                <w:szCs w:val="24"/>
                <w:shd w:fill="FFFFFF" w:val="clear"/>
              </w:rPr>
              <w:t>жен</w:t>
            </w:r>
            <w:r>
              <w:rPr>
                <w:sz w:val="24"/>
                <w:szCs w:val="24"/>
                <w:shd w:fill="FFFFFF" w:val="clear"/>
              </w:rPr>
              <w:t xml:space="preserve"> являться: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технический отчет по инвентаризации </w:t>
            </w:r>
            <w:r>
              <w:rPr>
                <w:sz w:val="24"/>
                <w:szCs w:val="24"/>
                <w:shd w:fill="FFFFFF" w:val="clear"/>
              </w:rPr>
              <w:t>с</w:t>
            </w:r>
            <w:r>
              <w:rPr>
                <w:sz w:val="24"/>
                <w:szCs w:val="24"/>
                <w:shd w:fill="FFFFFF" w:val="clear"/>
              </w:rPr>
              <w:t xml:space="preserve">тационарных источников и выбросов вредных (загрязняющих) веществ в атмосферный воздух </w:t>
            </w:r>
            <w:r>
              <w:rPr>
                <w:sz w:val="24"/>
                <w:szCs w:val="24"/>
                <w:shd w:fill="FFFFFF" w:val="clear"/>
              </w:rPr>
              <w:t>с указанием характеристик по каждому объекту в формате Word  и оригинал в распечатанном виде.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В техническом отчёте должна быть отражена информация о том, к какой категории объекта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НВОС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 относится транспортный или строительный участок.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В стоимость услуг должны быть включены все расходы, связанные с оказанием услуг, в том числе, но не ограничиваясь следующим: расходы на оплату услуг специалистов, стоимость используемых изделий, фоновые и климатические характеристики (при необходимости), инструментальные замеры (при необходимости),  оформление документов, доставка работников Исполнителя и оборудования к месту проведения работ, командировочные расходы на питание и проживание, и тд.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информационной безопасности должны обеспечиваться на всех стадиях проведения услуг.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пересылке файлов не допускается использование открытых файлообменных сервисов.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за исключением случаев, предусмотренных законодательством Российской Федерации. Исполнитель обязуются сохранять конфиденциальность информации, полученной в ходе исполнения услуг.</w:t>
            </w:r>
          </w:p>
        </w:tc>
        <w:tc>
          <w:tcPr>
            <w:tcW w:w="218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проведению инвентаризации источников и выбросов загрязняющих веществ в атмосферный воздух должны быть безопасны и должны исключать возможность причинения вреда здоровью или окружающей среде.</w:t>
            </w:r>
          </w:p>
        </w:tc>
        <w:tc>
          <w:tcPr>
            <w:tcW w:w="218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</w:t>
            </w:r>
            <w:r>
              <w:rPr>
                <w:sz w:val="24"/>
                <w:szCs w:val="24"/>
              </w:rPr>
              <w:t xml:space="preserve"> Заказчику </w:t>
            </w:r>
            <w:r>
              <w:rPr>
                <w:sz w:val="24"/>
                <w:szCs w:val="24"/>
              </w:rPr>
              <w:t>счет на оплату, а</w:t>
            </w:r>
            <w:r>
              <w:rPr>
                <w:sz w:val="24"/>
                <w:szCs w:val="24"/>
              </w:rPr>
              <w:t xml:space="preserve">кт </w:t>
            </w:r>
            <w:r>
              <w:rPr>
                <w:sz w:val="24"/>
                <w:szCs w:val="24"/>
              </w:rPr>
              <w:t>выполненных работ, а также п</w:t>
            </w:r>
            <w:r>
              <w:rPr>
                <w:sz w:val="24"/>
                <w:szCs w:val="24"/>
              </w:rPr>
              <w:t>ередача документов может осуществляться посредством электронной почты, средств ведения электронного документооборота, почтой в бумажном варианте. Необходима возможность осуществления дублирования документов по запросу Заказчика.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rPr/>
            </w:pPr>
            <w:r>
              <w:rPr/>
              <w:t>3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требуемых услуг.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keepLines/>
        <w:tabs>
          <w:tab w:val="clear" w:pos="708"/>
        </w:tabs>
        <w:ind w:left="357" w:hanging="0"/>
        <w:jc w:val="center"/>
        <w:rPr>
          <w:b/>
          <w:bCs/>
        </w:rPr>
      </w:pPr>
      <w:r>
        <w:rPr>
          <w:b/>
          <w:bCs/>
          <w:iCs/>
          <w:sz w:val="24"/>
          <w:szCs w:val="24"/>
          <w:lang w:val="ru-RU" w:eastAsia="x-none"/>
        </w:rPr>
        <w:t>3. Требования к документации по ценообразованию на этапе закупки</w:t>
      </w:r>
    </w:p>
    <w:p>
      <w:pPr>
        <w:pStyle w:val="Normal"/>
        <w:tabs>
          <w:tab w:val="clear" w:pos="708"/>
        </w:tabs>
        <w:ind w:left="357" w:hanging="0"/>
        <w:jc w:val="center"/>
        <w:rPr>
          <w:iCs/>
          <w:sz w:val="24"/>
          <w:szCs w:val="24"/>
          <w:lang w:val="ru-RU" w:eastAsia="x-none"/>
        </w:rPr>
      </w:pPr>
      <w:r>
        <w:rPr>
          <w:iCs/>
          <w:sz w:val="24"/>
          <w:szCs w:val="24"/>
          <w:lang w:val="ru-RU" w:eastAsia="x-none"/>
        </w:rPr>
      </w:r>
    </w:p>
    <w:p>
      <w:pPr>
        <w:pStyle w:val="Normal"/>
        <w:tabs>
          <w:tab w:val="clear" w:pos="708"/>
        </w:tabs>
        <w:ind w:left="357" w:hanging="0"/>
        <w:jc w:val="both"/>
        <w:rPr/>
      </w:pPr>
      <w:r>
        <w:rPr>
          <w:b w:val="false"/>
          <w:bCs w:val="false"/>
          <w:iCs/>
          <w:sz w:val="24"/>
          <w:szCs w:val="24"/>
          <w:lang w:val="ru-RU" w:eastAsia="x-none"/>
        </w:rPr>
        <w:tab/>
        <w:t>3.1. В стоимость услуг должны быть включены все затраты, связанные с исполнением обязательств по Договору, в том числе, все налоги, сборы и пошлины,  иные расходы, связанные с исполнением обязательств по Договору.</w:t>
      </w:r>
    </w:p>
    <w:p>
      <w:pPr>
        <w:pStyle w:val="Normal"/>
        <w:tabs>
          <w:tab w:val="clear" w:pos="708"/>
        </w:tabs>
        <w:ind w:left="357" w:hanging="0"/>
        <w:jc w:val="both"/>
        <w:rPr/>
      </w:pPr>
      <w:r>
        <w:rPr>
          <w:rFonts w:eastAsia="Calibri"/>
          <w:b w:val="false"/>
          <w:bCs w:val="false"/>
          <w:iCs/>
          <w:sz w:val="24"/>
          <w:szCs w:val="24"/>
          <w:lang w:val="ru-RU" w:eastAsia="x-none"/>
        </w:rPr>
        <w:tab/>
        <w:t>3.2. Цена остается фиксированной и не подлежит изменению на весь срок действия договора.</w:t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Подпись Ответственного исполнителя: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Ведущий инженер группы ОТ и БД</w:t>
        <w:tab/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Дальневосточного филиала АО «ТК РусГидро»</w:t>
        <w:tab/>
        <w:t xml:space="preserve"> </w:t>
        <w:tab/>
        <w:t xml:space="preserve">                                     К.В. Мирославская 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Согласовано:</w:t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Руководитель группы ОТ и БД</w:t>
        <w:tab/>
      </w:r>
    </w:p>
    <w:p>
      <w:pPr>
        <w:pStyle w:val="Normal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Дальневосточного филиала АО «ТК РусГидро»</w:t>
        <w:tab/>
        <w:t xml:space="preserve"> </w:t>
        <w:tab/>
        <w:t xml:space="preserve">                                              П.А. Ослопов 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ab/>
        <w:t xml:space="preserve">                                             </w:t>
        <w:tab/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 id="shape_0" coordsize="4919,4919" path="m4918,4918l0,4918l0,0l4918,0l4918,4918e" stroked="f" o:allowincell="f" style="position:absolute;margin-left:-140.25pt;margin-top:-140.25pt;width:139.4pt;height:139.4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00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09" w:hanging="432"/>
      </w:pPr>
      <w:rPr>
        <w:sz w:val="24"/>
        <w:i w:val="false"/>
        <w:b/>
        <w:szCs w:val="24"/>
        <w:iCs/>
        <w:bCs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 w:customStyle="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 w:customStyle="1">
    <w:name w:val="Heading 2"/>
    <w:basedOn w:val="Heading4"/>
    <w:next w:val="Normal"/>
    <w:link w:val="2"/>
    <w:qFormat/>
    <w:rsid w:val="00ea61a8"/>
    <w:pPr>
      <w:numPr>
        <w:ilvl w:val="0"/>
      </w:numPr>
      <w:ind w:left="432" w:hanging="0"/>
      <w:outlineLvl w:val="1"/>
    </w:pPr>
    <w:rPr/>
  </w:style>
  <w:style w:type="paragraph" w:styleId="Heading3" w:customStyle="1">
    <w:name w:val="Heading 3"/>
    <w:basedOn w:val="Normal"/>
    <w:next w:val="Normal"/>
    <w:link w:val="3"/>
    <w:autoRedefine/>
    <w:qFormat/>
    <w:rsid w:val="00434d10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jc w:val="both"/>
      <w:outlineLvl w:val="2"/>
    </w:pPr>
    <w:rPr>
      <w:rFonts w:eastAsia="Calibri"/>
      <w:sz w:val="24"/>
      <w:szCs w:val="24"/>
    </w:rPr>
  </w:style>
  <w:style w:type="paragraph" w:styleId="Heading4" w:customStyle="1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504"/>
      <w:outlineLvl w:val="3"/>
    </w:pPr>
    <w:rPr>
      <w:bCs/>
    </w:rPr>
  </w:style>
  <w:style w:type="paragraph" w:styleId="Heading5" w:customStyle="1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 w:customStyle="1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 w:customStyle="1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 w:customStyle="1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 w:customStyle="1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e3184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</w:rPr>
  </w:style>
  <w:style w:type="character" w:styleId="1" w:customStyle="1">
    <w:name w:val="Заголовок 1 Знак"/>
    <w:qFormat/>
    <w:rsid w:val="00353a27"/>
    <w:rPr>
      <w:rFonts w:eastAsia="Calibri"/>
      <w:sz w:val="28"/>
      <w:szCs w:val="28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</w:rPr>
  </w:style>
  <w:style w:type="character" w:styleId="3" w:customStyle="1">
    <w:name w:val="Заголовок 3 Знак"/>
    <w:qFormat/>
    <w:rsid w:val="00434d10"/>
    <w:rPr>
      <w:rFonts w:eastAsia="Calibri"/>
      <w:sz w:val="24"/>
      <w:szCs w:val="24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e3184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sid w:val="00e31843"/>
    <w:rPr/>
  </w:style>
  <w:style w:type="character" w:styleId="Strong1" w:customStyle="1">
    <w:name w:val="Strong1"/>
    <w:qFormat/>
    <w:rsid w:val="00e31843"/>
    <w:rPr>
      <w:b/>
      <w:bCs/>
    </w:rPr>
  </w:style>
  <w:style w:type="paragraph" w:styleId="Style15" w:customStyle="1">
    <w:name w:val="Заголовок"/>
    <w:basedOn w:val="Normal"/>
    <w:next w:val="BodyText"/>
    <w:qFormat/>
    <w:rsid w:val="00e31843"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rsid w:val="00e31843"/>
    <w:pPr/>
    <w:rPr/>
  </w:style>
  <w:style w:type="paragraph" w:styleId="Caption" w:customStyle="1">
    <w:name w:val="Caption"/>
    <w:basedOn w:val="Normal"/>
    <w:qFormat/>
    <w:rsid w:val="00e31843"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Indexheading1">
    <w:name w:val="index heading1"/>
    <w:basedOn w:val="Normal"/>
    <w:qFormat/>
    <w:rsid w:val="00e31843"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 w:customStyle="1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</w:rPr>
  </w:style>
  <w:style w:type="paragraph" w:styleId="Style20" w:customStyle="1">
    <w:name w:val="Колонтитул"/>
    <w:basedOn w:val="Normal"/>
    <w:qFormat/>
    <w:rsid w:val="00e31843"/>
    <w:pPr/>
    <w:rPr/>
  </w:style>
  <w:style w:type="paragraph" w:styleId="Header" w:customStyle="1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 w:customStyle="1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 w:customStyle="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 w:customStyle="1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 w:customStyle="1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 w:customStyle="1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 w:customStyle="1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 w:customStyle="1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 w:customStyle="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 w:customStyle="1">
    <w:name w:val="Index Heading"/>
    <w:basedOn w:val="Style15"/>
    <w:rsid w:val="00e3184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 w:customStyle="1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kern w:val="2"/>
      <w:sz w:val="24"/>
      <w:szCs w:val="20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 w:customStyle="1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 w:customStyle="1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 w:customStyle="1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rsid w:val="00e31843"/>
    <w:pPr/>
    <w:rPr/>
  </w:style>
  <w:style w:type="paragraph" w:styleId="Style34" w:customStyle="1">
    <w:name w:val="Содержимое таблицы"/>
    <w:basedOn w:val="Normal"/>
    <w:qFormat/>
    <w:rsid w:val="00e31843"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rsid w:val="00e31843"/>
    <w:pPr>
      <w:jc w:val="center"/>
    </w:pPr>
    <w:rPr>
      <w:b/>
      <w:bCs/>
    </w:rPr>
  </w:style>
  <w:style w:type="paragraph" w:styleId="BodyText21" w:customStyle="1">
    <w:name w:val="Body Text 21"/>
    <w:basedOn w:val="Normal"/>
    <w:qFormat/>
    <w:rsid w:val="00e31843"/>
    <w:pPr>
      <w:widowControl w:val="false"/>
      <w:spacing w:lineRule="auto" w:line="36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0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8718-00F7-4B77-BEB8-7F0D8656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Application>AlterOffice/3.4.0.9$Linux_X86_64 LibreOffice_project/b8daf9e823b1a5463a2f48435ddc2e8696e7d4fc</Application>
  <AppVersion>15.0000</AppVersion>
  <Pages>11</Pages>
  <Words>1871</Words>
  <Characters>13369</Characters>
  <CharactersWithSpaces>15223</CharactersWithSpaces>
  <Paragraphs>236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2023-01-30T05:50:00Z</dcterms:created>
  <dc:creator>Быстров Олег Геннадьевич</dc:creator>
  <dc:description/>
  <dc:language>ru-RU</dc:language>
  <cp:lastModifiedBy/>
  <cp:lastPrinted>2024-12-12T15:27:00Z</cp:lastPrinted>
  <dcterms:modified xsi:type="dcterms:W3CDTF">2026-07-28T16:45:45Z</dcterms:modified>
  <cp:revision>155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