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header9.xml" ContentType="application/vnd.openxmlformats-officedocument.wordprocessingml.head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theme/theme1.xml" ContentType="application/vnd.openxmlformats-officedocument.theme+xml"/>
  <Override PartName="/word/header8.xml" ContentType="application/vnd.openxmlformats-officedocument.wordprocessingml.header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  <w:bookmarkStart w:id="0" w:name="_Toc1375545841"/>
      <w:bookmarkStart w:id="1" w:name="_Toc1398562871"/>
      <w:bookmarkStart w:id="2" w:name="_Toc1416967041"/>
      <w:bookmarkStart w:id="3" w:name="_Toc1375545841"/>
      <w:bookmarkStart w:id="4" w:name="_Toc1398562871"/>
      <w:bookmarkStart w:id="5" w:name="_Toc1416967041"/>
      <w:bookmarkEnd w:id="3"/>
      <w:bookmarkEnd w:id="4"/>
      <w:bookmarkEnd w:id="5"/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оказание услуг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>ОКПД2: 33.15.10 Услуга по замене ДВС и ремонт</w:t>
      </w:r>
      <w:r>
        <w:rPr>
          <w:b/>
          <w:bCs/>
          <w:sz w:val="26"/>
          <w:szCs w:val="26"/>
        </w:rPr>
        <w:t xml:space="preserve">у </w:t>
      </w:r>
      <w:r>
        <w:rPr>
          <w:b/>
          <w:bCs/>
          <w:sz w:val="26"/>
          <w:szCs w:val="26"/>
        </w:rPr>
        <w:t>водомета катера КС-701 для нужд Нижне-Бурейского транспортного участка  Дальневосточного филиала АО ТК «РусГидро».</w:t>
      </w:r>
    </w:p>
    <w:p>
      <w:pPr>
        <w:pStyle w:val="Normal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Heading1"/>
        <w:spacing w:before="244" w:after="0"/>
        <w:ind w:left="1114" w:right="1142" w:hanging="7"/>
        <w:jc w:val="center"/>
        <w:rPr>
          <w:rFonts w:eastAsia="Times New Roman"/>
          <w:bCs/>
          <w:sz w:val="26"/>
          <w:szCs w:val="26"/>
          <w:lang w:val="ru-RU" w:eastAsia="ru-RU"/>
        </w:rPr>
      </w:pPr>
      <w:r>
        <w:rPr/>
      </w:r>
    </w:p>
    <w:p>
      <w:pPr>
        <w:pStyle w:val="Normal"/>
        <w:jc w:val="center"/>
        <w:rPr>
          <w:color w:val="C9211E"/>
        </w:rPr>
      </w:pPr>
      <w:r>
        <w:rPr>
          <w:color w:val="C9211E"/>
        </w:rPr>
      </w:r>
    </w:p>
    <w:p>
      <w:pPr>
        <w:pStyle w:val="Normal"/>
        <w:jc w:val="center"/>
        <w:rPr>
          <w:color w:val="C9211E"/>
        </w:rPr>
      </w:pPr>
      <w:r>
        <w:rPr>
          <w:color w:val="C9211E"/>
        </w:rPr>
      </w:r>
    </w:p>
    <w:p>
      <w:pPr>
        <w:pStyle w:val="Normal"/>
        <w:widowControl w:val="false"/>
        <w:rPr>
          <w:rStyle w:val="Strong"/>
          <w:b w:val="false"/>
          <w:bCs w:val="false"/>
          <w:color w:val="C9211E"/>
        </w:rPr>
      </w:pPr>
      <w:r>
        <w:rPr>
          <w:b w:val="false"/>
          <w:bCs w:val="false"/>
          <w:color w:val="C9211E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r>
            <w:fldChar w:fldCharType="begin"/>
          </w:r>
          <w:r>
            <w:rPr>
              <w:webHidden/>
              <w:rStyle w:val="Style14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vanish w:val="false"/>
            </w:rPr>
            <w:fldChar w:fldCharType="separate"/>
          </w:r>
          <w:hyperlink w:anchor="_Toc54643694">
            <w:r>
              <w:rPr>
                <w:webHidden/>
                <w:rStyle w:val="Style14"/>
                <w:vanish w:val="false"/>
              </w:rPr>
              <w:t>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Общие сведения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695">
            <w:r>
              <w:rPr>
                <w:webHidden/>
                <w:rStyle w:val="Style14"/>
                <w:iCs/>
                <w:vanish w:val="false"/>
              </w:rPr>
              <w:t>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Обозначения и сокращения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696">
            <w:r>
              <w:rPr>
                <w:webHidden/>
                <w:rStyle w:val="Style14"/>
                <w:iCs/>
                <w:vanish w:val="false"/>
              </w:rPr>
              <w:t>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Наименование закупаемой продукции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/>
          </w:pPr>
          <w:hyperlink w:anchor="_Toc54643697">
            <w:r>
              <w:rPr>
                <w:webHidden/>
                <w:rStyle w:val="Style14"/>
                <w:iCs/>
                <w:vanish w:val="false"/>
              </w:rPr>
              <w:t>1.3.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Цель оказания услуг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Normal"/>
            <w:ind w:left="567" w:hanging="0"/>
            <w:rPr>
              <w:rFonts w:eastAsia="" w:eastAsiaTheme="minorEastAsia"/>
              <w:sz w:val="20"/>
              <w:szCs w:val="20"/>
            </w:rPr>
          </w:pPr>
          <w:r>
            <w:rPr>
              <w:rFonts w:eastAsia="" w:eastAsiaTheme="minorEastAsia"/>
              <w:sz w:val="20"/>
              <w:szCs w:val="20"/>
            </w:rPr>
            <w:t>1.4.     Существующее положение                                                                                                                               3</w:t>
          </w:r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69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_Toc54643699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1. Перечень объектов заказчика</w:t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2">
            <w:r>
              <w:rPr>
                <w:webHidden/>
                <w:rStyle w:val="Style14"/>
                <w:vanish w:val="false"/>
              </w:rPr>
              <w:t>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rStyle w:val="Style14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_Toc54643702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703">
            <w:r>
              <w:rPr>
                <w:webHidden/>
                <w:rStyle w:val="Style14"/>
                <w:iCs/>
                <w:vanish w:val="false"/>
              </w:rPr>
              <w:t>2.1.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объемам и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704">
            <w:r>
              <w:rPr>
                <w:webHidden/>
                <w:rStyle w:val="Style14"/>
                <w:vanish w:val="false"/>
              </w:rPr>
              <w:t>2.1.1.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перечню и объему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5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_Toc54643705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2. Перечень и объем оказываемых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706">
            <w:r>
              <w:rPr>
                <w:webHidden/>
                <w:rStyle w:val="Style14"/>
                <w:vanish w:val="false"/>
              </w:rPr>
              <w:t>2.1.2.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7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_Toc54643707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 3. Требования к срокам оказания услуг</w:t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rPr>
              <w:rFonts w:ascii="Calibri" w:hAnsi="Calibri" w:eastAsia="" w:cs="" w:asciiTheme="minorHAnsi" w:cstheme="minorBidi" w:eastAsiaTheme="minorEastAsia" w:hAnsiTheme="minorHAnsi"/>
              <w:sz w:val="24"/>
              <w:szCs w:val="24"/>
            </w:rPr>
          </w:pPr>
          <w:hyperlink w:anchor="_Toc54643708">
            <w:r>
              <w:rPr>
                <w:webHidden/>
                <w:rStyle w:val="Style14"/>
                <w:iCs/>
                <w:vanish w:val="false"/>
              </w:rPr>
              <w:t>2.2.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sz w:val="24"/>
                <w:szCs w:val="24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0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_Toc54643709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4"/>
                <w:vanish w:val="false"/>
              </w:rPr>
              <w:t>Таблица 4. Требования к качеству услуг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10">
            <w:r>
              <w:rPr>
                <w:webHidden/>
                <w:rStyle w:val="Style14"/>
                <w:vanish w:val="false"/>
              </w:rPr>
              <w:t>3.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закупки</w:t>
              <w:tab/>
              <w:t>9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>
              <w:rFonts w:ascii="Calibri" w:hAnsi="Calibri" w:eastAsia="" w:cs="" w:asciiTheme="minorHAnsi" w:cstheme="minorBidi" w:eastAsiaTheme="minorEastAsia" w:hAnsiTheme="minorHAnsi"/>
              <w:b w:val="false"/>
              <w:bCs w:val="false"/>
            </w:rPr>
          </w:pPr>
          <w:hyperlink w:anchor="_Toc54643711">
            <w:r>
              <w:rPr>
                <w:webHidden/>
                <w:rStyle w:val="Style14"/>
                <w:vanish w:val="false"/>
              </w:rPr>
              <w:t>4.</w:t>
            </w:r>
            <w:r>
              <w:rPr>
                <w:rStyle w:val="Style14"/>
                <w:rFonts w:eastAsia="" w:cs="" w:ascii="Calibri" w:hAnsi="Calibri" w:asciiTheme="minorHAnsi" w:cstheme="minorBidi" w:eastAsiaTheme="minorEastAsia" w:hAnsiTheme="minorHAnsi"/>
                <w:b w:val="false"/>
                <w:bCs w:val="false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_Toc54643711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Требования к документации по ценообразованию на этапе заключения (исполнения) договора</w:t>
              <w:tab/>
              <w:t>9</w:t>
            </w:r>
            <w:r>
              <w:rPr>
                <w:webHidden/>
              </w:rPr>
              <w:fldChar w:fldCharType="end"/>
            </w:r>
          </w:hyperlink>
          <w:r>
            <w:rPr>
              <w:rStyle w:val="Style14"/>
            </w:rPr>
            <w:fldChar w:fldCharType="end"/>
          </w:r>
        </w:p>
      </w:sdtContent>
    </w:sdt>
    <w:p>
      <w:pPr>
        <w:pStyle w:val="TOC1"/>
        <w:tabs>
          <w:tab w:val="clear" w:pos="709"/>
          <w:tab w:val="right" w:pos="9911" w:leader="dot"/>
        </w:tabs>
        <w:rPr>
          <w:rFonts w:ascii="Calibri" w:hAnsi="Calibri" w:eastAsia="" w:cs="" w:asciiTheme="minorHAnsi" w:cstheme="minorBidi" w:eastAsiaTheme="minorEastAsia" w:hAnsiTheme="minorHAnsi"/>
          <w:b w:val="false"/>
          <w:bCs w:val="false"/>
        </w:rPr>
      </w:pPr>
      <w:r>
        <w:rPr>
          <w:rFonts w:eastAsia="" w:cs="" w:cstheme="minorBidi" w:eastAsiaTheme="minorEastAsia" w:ascii="Calibri" w:hAnsi="Calibri"/>
          <w:b w:val="false"/>
          <w:bCs w:val="false"/>
        </w:rPr>
      </w:r>
    </w:p>
    <w:p>
      <w:pPr>
        <w:pStyle w:val="Heading2"/>
        <w:tabs>
          <w:tab w:val="clear" w:pos="0"/>
        </w:tabs>
        <w:rPr/>
      </w:pPr>
      <w:r>
        <w:rPr/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</w:p>
    <w:p>
      <w:pPr>
        <w:pStyle w:val="Normal"/>
        <w:jc w:val="center"/>
        <w:rPr>
          <w:rFonts w:eastAsia="Calibri"/>
          <w:b/>
          <w:i/>
          <w:i/>
        </w:rPr>
      </w:pPr>
      <w:r>
        <w:rPr>
          <w:rFonts w:eastAsia="Calibri"/>
          <w:b/>
          <w:i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rPr>
          <w:caps/>
        </w:rPr>
      </w:pPr>
      <w:bookmarkStart w:id="6" w:name="_Toc54643694"/>
      <w:r>
        <w:rPr/>
        <w:t>Общие сведения</w:t>
      </w:r>
      <w:bookmarkEnd w:id="6"/>
    </w:p>
    <w:p>
      <w:pPr>
        <w:pStyle w:val="Normal"/>
        <w:rPr>
          <w:caps/>
        </w:rPr>
      </w:pPr>
      <w:r>
        <w:rPr>
          <w:caps/>
        </w:rPr>
      </w:r>
    </w:p>
    <w:p>
      <w:pPr>
        <w:pStyle w:val="Heading4"/>
        <w:numPr>
          <w:ilvl w:val="1"/>
          <w:numId w:val="3"/>
        </w:numPr>
        <w:ind w:left="0" w:hanging="0"/>
        <w:rPr>
          <w:sz w:val="26"/>
          <w:szCs w:val="26"/>
        </w:rPr>
      </w:pPr>
      <w:bookmarkStart w:id="7" w:name="_Toc46743505"/>
      <w:bookmarkStart w:id="8" w:name="_Toc54643695"/>
      <w:r>
        <w:rPr>
          <w:sz w:val="26"/>
          <w:szCs w:val="26"/>
        </w:rPr>
        <w:t>Обозначения и сокращения</w:t>
      </w:r>
      <w:bookmarkEnd w:id="7"/>
      <w:bookmarkEnd w:id="8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  <w:shd w:fill="auto" w:val="clear"/>
              </w:rPr>
            </w:pPr>
            <w:r>
              <w:rPr>
                <w:sz w:val="26"/>
                <w:szCs w:val="26"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  <w:shd w:fill="auto" w:val="clear"/>
              </w:rPr>
            </w:pPr>
            <w:r>
              <w:rPr>
                <w:sz w:val="26"/>
                <w:szCs w:val="26"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  <w:shd w:fill="auto" w:val="clear"/>
              </w:rPr>
            </w:pPr>
            <w:r>
              <w:rPr>
                <w:bCs/>
                <w:sz w:val="26"/>
                <w:szCs w:val="26"/>
              </w:rPr>
              <w:t>ДВС</w:t>
            </w:r>
          </w:p>
        </w:tc>
        <w:tc>
          <w:tcPr>
            <w:tcW w:w="7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120" w:after="120"/>
              <w:jc w:val="both"/>
              <w:rPr>
                <w:rStyle w:val="Style8"/>
                <w:b w:val="false"/>
                <w:bCs/>
                <w:i w:val="false"/>
                <w:i w:val="false"/>
                <w:sz w:val="26"/>
                <w:szCs w:val="26"/>
                <w:shd w:fill="auto" w:val="clear"/>
              </w:rPr>
            </w:pPr>
            <w:r>
              <w:rPr>
                <w:bCs/>
                <w:sz w:val="26"/>
                <w:szCs w:val="26"/>
              </w:rPr>
              <w:t>Двигатель внутреннего сгорания</w:t>
            </w:r>
          </w:p>
        </w:tc>
      </w:tr>
    </w:tbl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4"/>
        <w:numPr>
          <w:ilvl w:val="1"/>
          <w:numId w:val="3"/>
        </w:numPr>
        <w:ind w:left="0" w:hanging="0"/>
        <w:rPr/>
      </w:pPr>
      <w:bookmarkStart w:id="9" w:name="_Toc46743506"/>
      <w:bookmarkStart w:id="10" w:name="_Toc54643696"/>
      <w:r>
        <w:rPr>
          <w:sz w:val="26"/>
          <w:szCs w:val="26"/>
        </w:rPr>
        <w:t>Наименование закупаемой продукции</w:t>
      </w:r>
      <w:bookmarkEnd w:id="9"/>
      <w:bookmarkEnd w:id="10"/>
    </w:p>
    <w:p>
      <w:pPr>
        <w:pStyle w:val="Normal"/>
        <w:rPr/>
      </w:pPr>
      <w:r>
        <w:rPr>
          <w:rStyle w:val="Style8"/>
          <w:b w:val="false"/>
          <w:i w:val="false"/>
          <w:color w:val="171717"/>
          <w:sz w:val="26"/>
          <w:szCs w:val="26"/>
          <w:shd w:fill="auto" w:val="clear"/>
        </w:rPr>
        <w:t>ОКПД2: 33.15.10</w:t>
      </w:r>
      <w:r>
        <w:rPr>
          <w:rStyle w:val="Style8"/>
          <w:rFonts w:eastAsia="Times New Roman" w:cs="Times New Roman"/>
          <w:b w:val="false"/>
          <w:i w:val="false"/>
          <w:color w:val="171717"/>
          <w:kern w:val="0"/>
          <w:sz w:val="26"/>
          <w:szCs w:val="26"/>
          <w:shd w:fill="auto" w:val="clear"/>
          <w:lang w:val="ru-RU" w:eastAsia="ru-RU" w:bidi="ar-SA"/>
        </w:rPr>
        <w:t xml:space="preserve"> Услуга по замене ДВС и ремонту водомета катера КС-701 для нужд Нижне-Бурейского транспортного участка  Дальневосточного филиала АО ТК «РусГидро».</w:t>
      </w:r>
      <w:bookmarkStart w:id="11" w:name="_Toc46743507"/>
    </w:p>
    <w:p>
      <w:pPr>
        <w:pStyle w:val="Normal"/>
        <w:jc w:val="both"/>
        <w:rPr>
          <w:rStyle w:val="Style8"/>
          <w:i w:val="false"/>
          <w:i w:val="false"/>
          <w:color w:val="171717" w:themeColor="background2" w:themeShade="1a"/>
          <w:sz w:val="26"/>
          <w:szCs w:val="26"/>
          <w:shd w:fill="FFFFFF" w:val="clear"/>
        </w:rPr>
      </w:pPr>
      <w:r>
        <w:rPr>
          <w:i w:val="false"/>
          <w:color w:val="171717" w:themeColor="background2" w:themeShade="1a"/>
          <w:sz w:val="26"/>
          <w:szCs w:val="26"/>
          <w:shd w:fill="FFFFFF" w:val="clear"/>
        </w:rPr>
      </w:r>
    </w:p>
    <w:p>
      <w:pPr>
        <w:pStyle w:val="Heading4"/>
        <w:numPr>
          <w:ilvl w:val="1"/>
          <w:numId w:val="3"/>
        </w:numPr>
        <w:ind w:left="0" w:hanging="0"/>
        <w:rPr>
          <w:i/>
          <w:i/>
          <w:sz w:val="26"/>
          <w:szCs w:val="26"/>
          <w:shd w:fill="FFFF99" w:val="clear"/>
        </w:rPr>
      </w:pPr>
      <w:bookmarkStart w:id="12" w:name="_Toc54643697"/>
      <w:r>
        <w:rPr>
          <w:sz w:val="26"/>
          <w:szCs w:val="26"/>
        </w:rPr>
        <w:t xml:space="preserve">Цель </w:t>
      </w:r>
      <w:bookmarkEnd w:id="11"/>
      <w:r>
        <w:rPr>
          <w:sz w:val="26"/>
          <w:szCs w:val="26"/>
        </w:rPr>
        <w:t xml:space="preserve">оказания услуг </w:t>
      </w:r>
      <w:bookmarkEnd w:id="12"/>
    </w:p>
    <w:p>
      <w:pPr>
        <w:pStyle w:val="Normal"/>
        <w:jc w:val="both"/>
        <w:rPr>
          <w:rFonts w:eastAsia="Calibri"/>
          <w:bCs/>
          <w:sz w:val="26"/>
          <w:szCs w:val="26"/>
          <w:lang w:val="x-none" w:eastAsia="x-none"/>
        </w:rPr>
      </w:pPr>
      <w:r>
        <w:rPr>
          <w:rFonts w:eastAsia="Calibri"/>
          <w:bCs/>
          <w:sz w:val="26"/>
          <w:szCs w:val="26"/>
        </w:rPr>
        <w:t xml:space="preserve">Замена ДВС и ремонт водомета (движитель ВД-01) катера КС-701 </w:t>
      </w:r>
      <w:r>
        <w:rPr>
          <w:rStyle w:val="Style8"/>
          <w:rFonts w:eastAsia="Calibri"/>
          <w:b w:val="false"/>
          <w:bCs/>
          <w:i w:val="false"/>
          <w:sz w:val="26"/>
          <w:szCs w:val="26"/>
          <w:shd w:fill="auto" w:val="clear"/>
          <w:lang w:val="x-none"/>
        </w:rPr>
        <w:t>с соблюдением правил оказания услуг, выполнения работ.</w:t>
      </w:r>
    </w:p>
    <w:p>
      <w:pPr>
        <w:pStyle w:val="Normal"/>
        <w:jc w:val="both"/>
        <w:rPr>
          <w:rFonts w:eastAsia="Calibri"/>
          <w:bCs/>
          <w:sz w:val="26"/>
          <w:szCs w:val="26"/>
          <w:lang w:val="x-none" w:eastAsia="x-none"/>
        </w:rPr>
      </w:pPr>
      <w:r>
        <w:rPr>
          <w:rFonts w:eastAsia="Calibri"/>
          <w:bCs/>
          <w:sz w:val="26"/>
          <w:szCs w:val="26"/>
          <w:lang w:val="x-none" w:eastAsia="x-none"/>
        </w:rPr>
        <w:t>1.4. Существующее положение</w:t>
      </w:r>
    </w:p>
    <w:p>
      <w:pPr>
        <w:pStyle w:val="Normal"/>
        <w:jc w:val="both"/>
        <w:rPr>
          <w:rFonts w:eastAsia="Calibri"/>
          <w:bCs/>
          <w:sz w:val="26"/>
          <w:szCs w:val="26"/>
          <w:lang w:val="x-none" w:eastAsia="x-none"/>
        </w:rPr>
      </w:pPr>
      <w:r>
        <w:rPr>
          <w:rFonts w:eastAsia="Calibri"/>
          <w:bCs/>
          <w:szCs w:val="26"/>
          <w:lang w:val="x-none" w:eastAsia="x-none"/>
        </w:rPr>
        <w:t>Эксплуатация катера осуществляется в рамках исполнения обязательств по доходному договор</w:t>
      </w:r>
      <w:r>
        <w:rPr>
          <w:rFonts w:eastAsia="Calibri"/>
          <w:bCs/>
          <w:lang w:val="x-none" w:eastAsia="x-none"/>
        </w:rPr>
        <w:t xml:space="preserve">у </w:t>
      </w:r>
      <w:r>
        <w:rPr>
          <w:rFonts w:eastAsia="Calibri"/>
          <w:bCs/>
          <w:lang w:eastAsia="x-none"/>
        </w:rPr>
        <w:t xml:space="preserve">№1010-798-2025 от 07.08.2025 </w:t>
      </w:r>
      <w:r>
        <w:rPr>
          <w:rFonts w:eastAsia="Calibri"/>
          <w:bCs/>
          <w:lang w:val="x-none" w:eastAsia="x-none"/>
        </w:rPr>
        <w:t>Срок действия 3 года</w:t>
      </w:r>
    </w:p>
    <w:p>
      <w:pPr>
        <w:pStyle w:val="Normal"/>
        <w:jc w:val="both"/>
        <w:rPr>
          <w:rFonts w:eastAsia="Calibri"/>
          <w:bCs/>
          <w:sz w:val="26"/>
          <w:szCs w:val="26"/>
          <w:lang w:val="x-none" w:eastAsia="x-none"/>
        </w:rPr>
      </w:pPr>
      <w:r>
        <w:rPr>
          <w:rFonts w:eastAsia="Calibri"/>
          <w:bCs/>
          <w:sz w:val="26"/>
          <w:szCs w:val="26"/>
          <w:lang w:val="x-none" w:eastAsia="x-none"/>
        </w:rPr>
      </w:r>
    </w:p>
    <w:p>
      <w:pPr>
        <w:pStyle w:val="Heading1"/>
        <w:tabs>
          <w:tab w:val="clear" w:pos="0"/>
        </w:tabs>
        <w:rPr>
          <w:rStyle w:val="Style8"/>
          <w:b/>
          <w:i w:val="false"/>
          <w:i w:val="false"/>
          <w:sz w:val="26"/>
          <w:szCs w:val="26"/>
          <w:shd w:fill="auto" w:val="clear"/>
          <w:lang w:val="ru-RU"/>
        </w:rPr>
      </w:pPr>
      <w:bookmarkStart w:id="13" w:name="_Toc54643699"/>
      <w:r>
        <w:rPr>
          <w:sz w:val="26"/>
          <w:szCs w:val="26"/>
        </w:rPr>
        <w:t>Таблица 1. Перечень объектов заказчика</w:t>
      </w:r>
      <w:bookmarkEnd w:id="13"/>
    </w:p>
    <w:tbl>
      <w:tblPr>
        <w:tblW w:w="10060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87"/>
        <w:gridCol w:w="2314"/>
        <w:gridCol w:w="1999"/>
        <w:gridCol w:w="4959"/>
      </w:tblGrid>
      <w:tr>
        <w:trPr/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  <w:p>
            <w:pPr>
              <w:pStyle w:val="Normal"/>
              <w:widowControl w:val="false"/>
              <w:rPr/>
            </w:pPr>
            <w:r>
              <w:rPr/>
              <w:t>п/п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Расположение объекта </w:t>
              <w:br/>
            </w:r>
            <w:r>
              <w:rPr>
                <w:i/>
                <w:iCs/>
              </w:rPr>
              <w:t>(место оказания услуг)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Наименование основного средства </w:t>
              <w:br/>
              <w:t>(в отношении которого оказываются услуги)</w:t>
            </w:r>
          </w:p>
        </w:tc>
      </w:tr>
      <w:tr>
        <w:trPr/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>
        <w:trPr>
          <w:trHeight w:val="566" w:hRule="atLeast"/>
        </w:trPr>
        <w:tc>
          <w:tcPr>
            <w:tcW w:w="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rPr/>
            </w:pPr>
            <w:r>
              <w:rPr/>
            </w:r>
          </w:p>
        </w:tc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i w:val="false"/>
                <w:iCs/>
                <w:color w:val="171717"/>
                <w:sz w:val="26"/>
                <w:szCs w:val="26"/>
                <w:shd w:fill="auto" w:val="clear"/>
              </w:rPr>
              <w:t>ОКПД2: 33.15.10</w:t>
            </w:r>
            <w:r>
              <w:rPr>
                <w:rStyle w:val="Style8"/>
                <w:b w:val="false"/>
                <w:i w:val="false"/>
                <w:iCs/>
                <w:color w:val="171717" w:themeColor="background2" w:themeShade="1a"/>
                <w:sz w:val="26"/>
                <w:szCs w:val="26"/>
                <w:shd w:fill="FFFFFF" w:val="clear"/>
              </w:rPr>
              <w:t xml:space="preserve">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iCs/>
                <w:color w:val="171717"/>
                <w:kern w:val="0"/>
                <w:sz w:val="26"/>
                <w:szCs w:val="26"/>
                <w:shd w:fill="auto" w:val="clear"/>
                <w:lang w:val="ru-RU" w:eastAsia="ru-RU" w:bidi="ar-SA"/>
              </w:rPr>
              <w:t>Услуга по замене ДВС и ремонту водомета катера КС-701 для нужд Нижне-Бурейского транспортного участка  Дальневосточного филиала АО ТК «РусГидро».</w:t>
            </w:r>
          </w:p>
        </w:tc>
        <w:tc>
          <w:tcPr>
            <w:tcW w:w="1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</w:rPr>
            </w:pPr>
            <w:r>
              <w:rPr>
                <w:iCs/>
              </w:rPr>
              <w:t>Место оказания услуг</w:t>
            </w:r>
          </w:p>
          <w:p>
            <w:pPr>
              <w:pStyle w:val="Normal"/>
              <w:widowControl w:val="false"/>
              <w:jc w:val="center"/>
              <w:rPr>
                <w:shd w:fill="FFFF00" w:val="clear"/>
              </w:rPr>
            </w:pPr>
            <w:r>
              <w:rPr>
                <w:iCs/>
              </w:rPr>
              <w:t>г.</w:t>
            </w:r>
            <w:r>
              <w:rPr>
                <w:iCs/>
              </w:rPr>
              <w:t xml:space="preserve"> </w:t>
            </w:r>
            <w:r>
              <w:rPr>
                <w:iCs/>
              </w:rPr>
              <w:t>Владивосток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tabs>
                <w:tab w:val="clear" w:pos="0"/>
              </w:tabs>
              <w:jc w:val="center"/>
              <w:rPr/>
            </w:pPr>
            <w:r>
              <w:rPr>
                <w:b w:val="false"/>
                <w:bCs w:val="false"/>
                <w:color w:val="000000"/>
                <w:shd w:fill="FFFFFF" w:val="clear"/>
                <w:lang w:val="ru-RU"/>
              </w:rPr>
              <w:t>Катер К</w:t>
            </w:r>
            <w:bookmarkStart w:id="14" w:name="_GoBack"/>
            <w:bookmarkEnd w:id="14"/>
            <w:r>
              <w:rPr>
                <w:b w:val="false"/>
                <w:bCs w:val="false"/>
                <w:color w:val="000000"/>
                <w:shd w:fill="FFFFFF" w:val="clear"/>
                <w:lang w:val="ru-RU"/>
              </w:rPr>
              <w:t>С-701 РАИ 0148</w:t>
            </w:r>
          </w:p>
        </w:tc>
      </w:tr>
    </w:tbl>
    <w:p>
      <w:pPr>
        <w:pStyle w:val="Heading4"/>
        <w:tabs>
          <w:tab w:val="clear" w:pos="0"/>
        </w:tabs>
        <w:ind w:left="432" w:hanging="0"/>
        <w:rPr/>
      </w:pPr>
      <w:r>
        <w:rPr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caps/>
          <w:lang w:val="ru-RU"/>
        </w:rPr>
      </w:pPr>
      <w:bookmarkStart w:id="15" w:name="_Toc54643702"/>
      <w:bookmarkStart w:id="16" w:name="_Toc51339693"/>
      <w:bookmarkStart w:id="17" w:name="_Toc50125126"/>
      <w:bookmarkStart w:id="18" w:name="_Toc46743510"/>
      <w:bookmarkEnd w:id="17"/>
      <w:bookmarkEnd w:id="18"/>
      <w:r>
        <w:rPr>
          <w:lang w:val="ru-RU"/>
        </w:rPr>
        <w:t>Требования</w:t>
      </w:r>
      <w:r>
        <w:rPr/>
        <w:t xml:space="preserve"> к продукции</w:t>
      </w:r>
      <w:bookmarkEnd w:id="15"/>
      <w:bookmarkEnd w:id="16"/>
    </w:p>
    <w:p>
      <w:pPr>
        <w:pStyle w:val="Heading4"/>
        <w:numPr>
          <w:ilvl w:val="1"/>
          <w:numId w:val="3"/>
        </w:numPr>
        <w:ind w:left="0" w:hanging="0"/>
        <w:rPr/>
      </w:pPr>
      <w:bookmarkStart w:id="19" w:name="_Toc54643703"/>
      <w:r>
        <w:rPr/>
        <w:t xml:space="preserve">Требования к объемам и срокам </w:t>
      </w:r>
      <w:r>
        <w:rPr>
          <w:lang w:val="ru-RU"/>
        </w:rPr>
        <w:t>оказания услуг</w:t>
      </w:r>
      <w:bookmarkEnd w:id="19"/>
    </w:p>
    <w:p>
      <w:pPr>
        <w:pStyle w:val="Heading3"/>
        <w:numPr>
          <w:ilvl w:val="2"/>
          <w:numId w:val="3"/>
        </w:numPr>
        <w:ind w:left="0" w:hanging="0"/>
        <w:rPr/>
      </w:pPr>
      <w:bookmarkStart w:id="20" w:name="_Toc54643704"/>
      <w:r>
        <w:rPr/>
        <w:t>Требования к перечню и объему услуг</w:t>
      </w:r>
      <w:bookmarkEnd w:id="20"/>
    </w:p>
    <w:p>
      <w:pPr>
        <w:pStyle w:val="Heading1"/>
        <w:tabs>
          <w:tab w:val="clear" w:pos="0"/>
        </w:tabs>
        <w:rPr/>
      </w:pPr>
      <w:bookmarkStart w:id="21" w:name="_Toc54643705"/>
      <w:bookmarkStart w:id="22" w:name="_Toc51339695"/>
      <w:r>
        <w:rPr/>
        <w:t xml:space="preserve">Таблица 2. Перечень </w:t>
      </w:r>
      <w:bookmarkEnd w:id="22"/>
      <w:r>
        <w:rPr/>
        <w:t>и объем оказываемых услуг</w:t>
      </w:r>
      <w:bookmarkEnd w:id="21"/>
    </w:p>
    <w:p>
      <w:pPr>
        <w:pStyle w:val="Heading3"/>
        <w:tabs>
          <w:tab w:val="clear" w:pos="0"/>
        </w:tabs>
        <w:rPr>
          <w:rStyle w:val="Strong"/>
          <w:i/>
          <w:i/>
        </w:rPr>
      </w:pPr>
      <w:r>
        <w:rPr>
          <w:i/>
        </w:rPr>
      </w:r>
    </w:p>
    <w:tbl>
      <w:tblPr>
        <w:tblW w:w="9923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51"/>
        <w:gridCol w:w="5814"/>
        <w:gridCol w:w="1711"/>
        <w:gridCol w:w="1546"/>
      </w:tblGrid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п/п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Наименование услуг / этапа услуг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Единица измерения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/>
              <w:t>Количество*</w:t>
            </w:r>
          </w:p>
        </w:tc>
      </w:tr>
      <w:tr>
        <w:trPr/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5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>
        <w:trPr>
          <w:trHeight w:val="397" w:hRule="atLeast"/>
        </w:trPr>
        <w:tc>
          <w:tcPr>
            <w:tcW w:w="99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  <w:shd w:fill="FFFFFF" w:val="clear"/>
              </w:rPr>
            </w:pPr>
            <w:r>
              <w:rPr>
                <w:b/>
                <w:shd w:fill="FFFFFF" w:val="clear"/>
              </w:rPr>
              <w:t>1. Перечень работ</w:t>
            </w:r>
          </w:p>
        </w:tc>
      </w:tr>
      <w:tr>
        <w:trPr>
          <w:trHeight w:val="501" w:hRule="atLeast"/>
        </w:trPr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ind w:left="0" w:right="27" w:hanging="0"/>
              <w:rPr/>
            </w:pPr>
            <w:r>
              <w:rPr/>
              <w:t>1</w:t>
            </w:r>
          </w:p>
        </w:tc>
        <w:tc>
          <w:tcPr>
            <w:tcW w:w="58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rFonts w:eastAsia="Calibri"/>
                <w:b w:val="false"/>
                <w:i w:val="false"/>
                <w:color w:val="171717" w:themeColor="background2" w:themeShade="1a"/>
                <w:sz w:val="26"/>
                <w:szCs w:val="26"/>
                <w:shd w:fill="FFFFFF" w:val="clear"/>
                <w:lang w:eastAsia="x-none"/>
              </w:rPr>
              <w:t xml:space="preserve">ОКПД2: 33.15.10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iCs/>
                <w:color w:val="171717"/>
                <w:kern w:val="0"/>
                <w:sz w:val="26"/>
                <w:szCs w:val="26"/>
                <w:shd w:fill="auto" w:val="clear"/>
                <w:lang w:val="ru-RU" w:eastAsia="ru-RU" w:bidi="ar-SA"/>
              </w:rPr>
              <w:t>Услуга по замене ДВС и ремонту водомета катера КС-701 для нужд Нижне-Бурейского транспортного участка  Дальневосточного филиала АО ТК «РусГидро».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Style w:val="Style8"/>
                <w:rFonts w:eastAsia="Calibri"/>
                <w:b w:val="false"/>
                <w:i w:val="false"/>
                <w:color w:val="171717" w:themeColor="background2" w:themeShade="1a"/>
                <w:sz w:val="26"/>
                <w:szCs w:val="26"/>
                <w:shd w:fill="auto" w:val="clear"/>
                <w:lang w:eastAsia="x-none"/>
              </w:rPr>
              <w:t>Перечень и объем оказываемых услуг указан в ведомости объемов работ, являющейся приложением к ТТ (Приложение №1)</w:t>
            </w:r>
          </w:p>
        </w:tc>
        <w:tc>
          <w:tcPr>
            <w:tcW w:w="1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lang w:val="en-GB"/>
              </w:rPr>
            </w:pPr>
            <w:r>
              <w:rPr>
                <w:sz w:val="22"/>
                <w:szCs w:val="20"/>
                <w:lang w:val="en-GB"/>
              </w:rPr>
              <w:t>Усл.</w:t>
            </w:r>
          </w:p>
        </w:tc>
        <w:tc>
          <w:tcPr>
            <w:tcW w:w="15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</w:tbl>
    <w:p>
      <w:pPr>
        <w:pStyle w:val="Normal"/>
        <w:rPr>
          <w:i/>
          <w:i/>
        </w:rPr>
      </w:pPr>
      <w:r>
        <w:rPr>
          <w:i/>
        </w:rPr>
      </w:r>
    </w:p>
    <w:p>
      <w:pPr>
        <w:pStyle w:val="Heading3"/>
        <w:numPr>
          <w:ilvl w:val="2"/>
          <w:numId w:val="3"/>
        </w:numPr>
        <w:ind w:left="0" w:hanging="0"/>
        <w:rPr>
          <w:sz w:val="26"/>
          <w:szCs w:val="26"/>
        </w:rPr>
      </w:pPr>
      <w:r>
        <w:rPr>
          <w:sz w:val="26"/>
          <w:szCs w:val="26"/>
        </w:rPr>
        <w:t>Требования к срокам оказания услуг</w:t>
      </w:r>
    </w:p>
    <w:p>
      <w:pPr>
        <w:pStyle w:val="Heading1"/>
        <w:tabs>
          <w:tab w:val="clear" w:pos="0"/>
        </w:tabs>
        <w:rPr>
          <w:sz w:val="26"/>
          <w:szCs w:val="26"/>
          <w:lang w:val="ru-RU"/>
        </w:rPr>
      </w:pPr>
      <w:bookmarkStart w:id="23" w:name="_Toc54643707"/>
      <w:bookmarkStart w:id="24" w:name="_Toc51339697"/>
      <w:bookmarkStart w:id="25" w:name="_Toc50125127"/>
      <w:bookmarkStart w:id="26" w:name="_Toc501251261"/>
      <w:bookmarkEnd w:id="26"/>
      <w:r>
        <w:rPr>
          <w:sz w:val="26"/>
          <w:szCs w:val="26"/>
        </w:rPr>
        <w:t xml:space="preserve">Таблица </w:t>
      </w:r>
      <w:r>
        <w:rPr>
          <w:sz w:val="26"/>
          <w:szCs w:val="26"/>
          <w:lang w:val="ru-RU"/>
        </w:rPr>
        <w:t>3</w:t>
      </w:r>
      <w:r>
        <w:rPr>
          <w:sz w:val="26"/>
          <w:szCs w:val="26"/>
        </w:rPr>
        <w:t xml:space="preserve">. </w:t>
      </w:r>
      <w:bookmarkStart w:id="27" w:name="_Hlk50465284"/>
      <w:r>
        <w:rPr>
          <w:sz w:val="26"/>
          <w:szCs w:val="26"/>
        </w:rPr>
        <w:t xml:space="preserve">Требования </w:t>
      </w:r>
      <w:r>
        <w:rPr>
          <w:sz w:val="26"/>
          <w:szCs w:val="26"/>
          <w:lang w:val="ru-RU"/>
        </w:rPr>
        <w:t>к</w:t>
      </w:r>
      <w:r>
        <w:rPr>
          <w:sz w:val="26"/>
          <w:szCs w:val="26"/>
        </w:rPr>
        <w:t xml:space="preserve"> срокам </w:t>
      </w:r>
      <w:bookmarkEnd w:id="24"/>
      <w:bookmarkEnd w:id="25"/>
      <w:bookmarkEnd w:id="27"/>
      <w:r>
        <w:rPr>
          <w:sz w:val="26"/>
          <w:szCs w:val="26"/>
          <w:lang w:val="ru-RU"/>
        </w:rPr>
        <w:t>оказания услуг</w:t>
      </w:r>
      <w:bookmarkEnd w:id="23"/>
    </w:p>
    <w:tbl>
      <w:tblPr>
        <w:tblW w:w="9918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01"/>
        <w:gridCol w:w="3009"/>
        <w:gridCol w:w="2977"/>
        <w:gridCol w:w="2830"/>
      </w:tblGrid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п/п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Наименование услуг/ этапа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началу срока оказания услуг/ этапа услуг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1</w:t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</w:rPr>
              <w:t>2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>
          <w:trHeight w:val="2651" w:hRule="atLeast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8"/>
              </w:numPr>
              <w:rPr/>
            </w:pPr>
            <w:r>
              <w:rPr/>
            </w:r>
          </w:p>
        </w:tc>
        <w:tc>
          <w:tcPr>
            <w:tcW w:w="30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>
                <w:rStyle w:val="Style8"/>
                <w:b w:val="false"/>
                <w:i w:val="false"/>
                <w:iCs/>
                <w:color w:val="171717"/>
                <w:sz w:val="26"/>
                <w:szCs w:val="26"/>
                <w:shd w:fill="auto" w:val="clear"/>
              </w:rPr>
              <w:t>ОКПД2: 33.15.10</w:t>
            </w:r>
            <w:r>
              <w:rPr>
                <w:rStyle w:val="Style8"/>
                <w:b w:val="false"/>
                <w:i w:val="false"/>
                <w:iCs/>
                <w:color w:val="171717" w:themeColor="background2" w:themeShade="1a"/>
                <w:sz w:val="26"/>
                <w:szCs w:val="26"/>
                <w:shd w:fill="FFFFFF" w:val="clear"/>
              </w:rPr>
              <w:t xml:space="preserve"> </w:t>
            </w:r>
            <w:r>
              <w:rPr>
                <w:rStyle w:val="Style8"/>
                <w:rFonts w:eastAsia="Times New Roman" w:cs="Times New Roman"/>
                <w:b w:val="false"/>
                <w:i w:val="false"/>
                <w:iCs/>
                <w:color w:val="171717"/>
                <w:kern w:val="0"/>
                <w:sz w:val="26"/>
                <w:szCs w:val="26"/>
                <w:shd w:fill="auto" w:val="clear"/>
                <w:lang w:val="ru-RU" w:eastAsia="ru-RU" w:bidi="ar-SA"/>
              </w:rPr>
              <w:t>Услуга по замене ДВС и ремонту водомета катера КС-701 для нужд Нижне-Бурейского транспортного участка  Дальневосточного филиала АО ТК «РусГидро».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2"/>
              </w:numPr>
              <w:shd w:val="clear" w:color="auto" w:fill="FFFFFF"/>
              <w:tabs>
                <w:tab w:val="clear" w:pos="709"/>
                <w:tab w:val="left" w:pos="1134" w:leader="none"/>
                <w:tab w:val="left" w:pos="1418" w:leader="none"/>
              </w:tabs>
              <w:ind w:left="0" w:hanging="0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С</w:t>
            </w:r>
            <w:r>
              <w:rPr>
                <w:bCs/>
                <w:sz w:val="24"/>
                <w:szCs w:val="24"/>
              </w:rPr>
              <w:t xml:space="preserve"> момента подачи заявки </w:t>
            </w: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на </w:t>
            </w: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оказание услуг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</w:rPr>
              <w:t>В течени</w:t>
            </w:r>
            <w:r>
              <w:rPr>
                <w:bCs/>
              </w:rPr>
              <w:t>е</w:t>
            </w:r>
            <w:r>
              <w:rPr>
                <w:bCs/>
              </w:rPr>
              <w:t xml:space="preserve"> 90 (девяносто) календарных дней с </w:t>
            </w:r>
            <w:r>
              <w:rPr>
                <w:bCs/>
                <w:sz w:val="24"/>
                <w:szCs w:val="24"/>
              </w:rPr>
              <w:t xml:space="preserve">момента подачи заявки </w:t>
            </w: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на </w:t>
            </w:r>
            <w:r>
              <w:rPr>
                <w:rFonts w:eastAsia="Times New Roman" w:cs="Times New Roman"/>
                <w:bCs/>
                <w:iCs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оказание услуг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994" w:footer="0" w:bottom="1276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4"/>
        <w:numPr>
          <w:ilvl w:val="1"/>
          <w:numId w:val="3"/>
        </w:numPr>
        <w:ind w:left="0" w:hanging="0"/>
        <w:rPr>
          <w:sz w:val="26"/>
          <w:szCs w:val="26"/>
        </w:rPr>
      </w:pPr>
      <w:r>
        <w:rPr>
          <w:sz w:val="26"/>
          <w:szCs w:val="26"/>
        </w:rPr>
        <w:t xml:space="preserve">Требования к </w:t>
      </w:r>
      <w:r>
        <w:rPr>
          <w:sz w:val="26"/>
          <w:szCs w:val="26"/>
          <w:lang w:val="ru-RU"/>
        </w:rPr>
        <w:t>качеству услуг</w:t>
      </w:r>
    </w:p>
    <w:p>
      <w:pPr>
        <w:pStyle w:val="Heading1"/>
        <w:tabs>
          <w:tab w:val="clear" w:pos="0"/>
        </w:tabs>
        <w:rPr>
          <w:sz w:val="26"/>
          <w:szCs w:val="26"/>
        </w:rPr>
      </w:pPr>
      <w:r>
        <w:rPr>
          <w:sz w:val="26"/>
          <w:szCs w:val="26"/>
        </w:rPr>
        <w:t>Таблица </w:t>
      </w:r>
      <w:r>
        <w:rPr>
          <w:sz w:val="26"/>
          <w:szCs w:val="26"/>
          <w:lang w:val="ru-RU"/>
        </w:rPr>
        <w:t>4</w:t>
      </w:r>
      <w:r>
        <w:rPr>
          <w:sz w:val="26"/>
          <w:szCs w:val="26"/>
        </w:rPr>
        <w:t xml:space="preserve">. Требования к </w:t>
      </w:r>
      <w:r>
        <w:rPr>
          <w:sz w:val="26"/>
          <w:szCs w:val="26"/>
          <w:lang w:val="ru-RU"/>
        </w:rPr>
        <w:t>качеству услуг</w:t>
      </w:r>
      <w:r>
        <w:rPr>
          <w:sz w:val="26"/>
          <w:szCs w:val="26"/>
        </w:rPr>
        <w:t xml:space="preserve"> </w:t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b/>
          <w:bCs/>
          <w:sz w:val="26"/>
          <w:szCs w:val="26"/>
        </w:rPr>
        <w:t>Наименование услуг/этапа услуг:</w:t>
      </w:r>
      <w:r>
        <w:rPr>
          <w:sz w:val="26"/>
          <w:szCs w:val="26"/>
        </w:rPr>
        <w:t xml:space="preserve"> </w:t>
      </w:r>
      <w:r>
        <w:rPr>
          <w:rStyle w:val="Style8"/>
          <w:b w:val="false"/>
          <w:i w:val="false"/>
          <w:iCs/>
          <w:color w:val="171717"/>
          <w:sz w:val="26"/>
          <w:szCs w:val="26"/>
          <w:shd w:fill="auto" w:val="clear"/>
        </w:rPr>
        <w:t>ОКПД2: 33.15.10</w:t>
      </w:r>
      <w:r>
        <w:rPr>
          <w:rStyle w:val="Style8"/>
          <w:b w:val="false"/>
          <w:i w:val="false"/>
          <w:iCs/>
          <w:color w:val="171717" w:themeColor="background2" w:themeShade="1a"/>
          <w:sz w:val="26"/>
          <w:szCs w:val="26"/>
          <w:shd w:fill="FFFFFF" w:val="clear"/>
        </w:rPr>
        <w:t xml:space="preserve"> Услуга по замене ДВС и ремонт</w:t>
      </w:r>
      <w:r>
        <w:rPr>
          <w:rStyle w:val="Style8"/>
          <w:b w:val="false"/>
          <w:i w:val="false"/>
          <w:iCs/>
          <w:color w:val="171717" w:themeColor="background2" w:themeShade="1a"/>
          <w:sz w:val="26"/>
          <w:szCs w:val="26"/>
          <w:shd w:fill="FFFFFF" w:val="clear"/>
        </w:rPr>
        <w:t>у</w:t>
      </w:r>
      <w:r>
        <w:rPr>
          <w:rStyle w:val="Style8"/>
          <w:b w:val="false"/>
          <w:i w:val="false"/>
          <w:iCs/>
          <w:color w:val="171717" w:themeColor="background2" w:themeShade="1a"/>
          <w:sz w:val="26"/>
          <w:szCs w:val="26"/>
          <w:shd w:fill="FFFFFF" w:val="clear"/>
        </w:rPr>
        <w:t xml:space="preserve"> водомета (движитель ВД-01)     катера КС-701 для нужд Нижне-Бурейского транспортного участка  Дальневосточного филиала АО ТК «РусГидро».</w:t>
      </w:r>
    </w:p>
    <w:tbl>
      <w:tblPr>
        <w:tblStyle w:val="affff9"/>
        <w:tblW w:w="14625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90"/>
        <w:gridCol w:w="3448"/>
        <w:gridCol w:w="4958"/>
        <w:gridCol w:w="1531"/>
        <w:gridCol w:w="1837"/>
        <w:gridCol w:w="2160"/>
      </w:tblGrid>
      <w:tr>
        <w:trPr>
          <w:trHeight w:val="551" w:hRule="atLeast"/>
        </w:trPr>
        <w:tc>
          <w:tcPr>
            <w:tcW w:w="69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п/п</w:t>
            </w:r>
          </w:p>
        </w:tc>
        <w:tc>
          <w:tcPr>
            <w:tcW w:w="344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4958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Требование заказчика</w:t>
            </w:r>
          </w:p>
        </w:tc>
        <w:tc>
          <w:tcPr>
            <w:tcW w:w="3368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ind w:right="-8" w:hanging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160" w:type="dxa"/>
            <w:vMerge w:val="restart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626" w:hRule="atLeast"/>
        </w:trPr>
        <w:tc>
          <w:tcPr>
            <w:tcW w:w="69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44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958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 с требованием/ указание характеристик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160" w:type="dxa"/>
            <w:vMerge w:val="continue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</w:rPr>
            </w:pPr>
            <w:bookmarkStart w:id="28" w:name="_Toc53499667"/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1</w:t>
            </w:r>
            <w:bookmarkEnd w:id="28"/>
          </w:p>
        </w:tc>
        <w:tc>
          <w:tcPr>
            <w:tcW w:w="344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2</w:t>
            </w:r>
          </w:p>
        </w:tc>
        <w:tc>
          <w:tcPr>
            <w:tcW w:w="495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3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lang w:val="en-US" w:eastAsia="ru-RU" w:bidi="ar-SA"/>
              </w:rPr>
              <w:t>4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lang w:val="en-US" w:eastAsia="ru-RU" w:bidi="ar-SA"/>
              </w:rPr>
              <w:t>5</w:t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lang w:val="en-US"/>
              </w:rPr>
            </w:pPr>
            <w:r>
              <w:rPr>
                <w:rFonts w:eastAsia="Times New Roman" w:cs="Times New Roman"/>
                <w:b/>
                <w:kern w:val="0"/>
                <w:lang w:val="en-US" w:eastAsia="ru-RU" w:bidi="ar-SA"/>
              </w:rPr>
              <w:t>6</w:t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934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оказанию услуг</w:t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13934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Общие требования к оказанию услуг</w:t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Порядок оказания услуг</w:t>
            </w:r>
          </w:p>
        </w:tc>
        <w:tc>
          <w:tcPr>
            <w:tcW w:w="495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Исполнитель оказывает услуги </w:t>
            </w:r>
            <w:r>
              <w:rPr>
                <w:rFonts w:eastAsia="Calibri" w:cs="Times New Roman"/>
                <w:color w:val="000000"/>
                <w:kern w:val="0"/>
                <w:lang w:val="x-none" w:eastAsia="x-none" w:bidi="ar-SA"/>
              </w:rPr>
              <w:t>по з</w:t>
            </w:r>
            <w:r>
              <w:rPr>
                <w:rFonts w:eastAsia="Calibri" w:cs="Times New Roman"/>
                <w:iCs/>
                <w:color w:val="000000"/>
                <w:kern w:val="0"/>
                <w:lang w:val="ru-RU" w:eastAsia="x-none" w:bidi="ar-SA"/>
              </w:rPr>
              <w:t>амене ДВС и ремонту водомета (движитель ВД-01) катера КС-701</w:t>
            </w:r>
            <w:r>
              <w:rPr>
                <w:rFonts w:eastAsia="Calibri" w:cs="Times New Roman"/>
                <w:iCs/>
                <w:color w:val="000000"/>
                <w:kern w:val="0"/>
                <w:sz w:val="26"/>
                <w:szCs w:val="26"/>
                <w:lang w:val="ru-RU" w:eastAsia="x-none" w:bidi="ar-SA"/>
              </w:rPr>
              <w:t xml:space="preserve"> 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Условия проведения работ</w:t>
            </w:r>
          </w:p>
        </w:tc>
        <w:tc>
          <w:tcPr>
            <w:tcW w:w="495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cs="Times New Roman"/>
                <w:kern w:val="0"/>
                <w:lang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Контрагент обязан обеспечить проведение работ </w:t>
            </w:r>
            <w:r>
              <w:rPr>
                <w:rFonts w:eastAsia="Calibri" w:cs="Times New Roman"/>
                <w:color w:val="000000"/>
                <w:kern w:val="0"/>
                <w:lang w:val="x-none" w:eastAsia="x-none" w:bidi="ar-SA"/>
              </w:rPr>
              <w:t>по</w:t>
            </w:r>
            <w:r>
              <w:rPr>
                <w:rFonts w:eastAsia="Calibri" w:cs="Times New Roman"/>
                <w:iCs/>
                <w:color w:val="000000"/>
                <w:kern w:val="0"/>
                <w:lang w:val="x-none" w:eastAsia="x-none" w:bidi="ar-SA"/>
              </w:rPr>
              <w:t xml:space="preserve"> з</w:t>
            </w:r>
            <w:r>
              <w:rPr>
                <w:rFonts w:eastAsia="Calibri" w:cs="Times New Roman"/>
                <w:iCs/>
                <w:color w:val="000000"/>
                <w:kern w:val="0"/>
                <w:lang w:val="ru-RU" w:eastAsia="x-none" w:bidi="ar-SA"/>
              </w:rPr>
              <w:t>амене ДВС и ремонту водомета (движитель ВД-01) катера КС-701</w:t>
            </w:r>
            <w:r>
              <w:rPr>
                <w:rFonts w:eastAsia="Calibri" w:cs="Times New Roman"/>
                <w:color w:val="000000"/>
                <w:kern w:val="0"/>
                <w:lang w:val="x-none" w:eastAsia="x-none" w:bidi="ar-SA"/>
              </w:rPr>
              <w:t xml:space="preserve"> </w:t>
            </w:r>
            <w:r>
              <w:rPr>
                <w:rFonts w:eastAsia="Calibri" w:cs="Times New Roman"/>
                <w:color w:val="000000"/>
                <w:kern w:val="0"/>
                <w:lang w:val="ru-RU" w:eastAsia="x-none" w:bidi="ar-SA"/>
              </w:rPr>
              <w:t>в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соответствии с нормами и правилами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841" w:hRule="atLeast"/>
        </w:trPr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Требования к обеспечению сохранности и комплектности КС-701 на период оказания услуг</w:t>
            </w:r>
          </w:p>
        </w:tc>
        <w:tc>
          <w:tcPr>
            <w:tcW w:w="4958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Исполнитель обязан обеспечить сохранность и комплектность </w:t>
            </w:r>
            <w:r>
              <w:rPr>
                <w:rFonts w:eastAsia="Times New Roman" w:cs="Times New Roman"/>
                <w:iCs/>
                <w:kern w:val="0"/>
                <w:lang w:val="x-none" w:eastAsia="ru-RU" w:bidi="ar-SA"/>
              </w:rPr>
              <w:t>катера КС-701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 Заказчика на период оказания услуги по капитальному ремонту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841" w:hRule="atLeast"/>
        </w:trPr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Осуществление контроля.</w:t>
            </w:r>
          </w:p>
        </w:tc>
        <w:tc>
          <w:tcPr>
            <w:tcW w:w="495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Осуществлять допуск Заказчика к проведению контроля за выполняемыми работами при оказании услуги по замене ДВС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1039" w:hRule="atLeast"/>
        </w:trPr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Требования к качеству оказания услуг</w:t>
            </w:r>
          </w:p>
        </w:tc>
        <w:tc>
          <w:tcPr>
            <w:tcW w:w="4958" w:type="dxa"/>
            <w:tcBorders/>
            <w:shd w:color="auto" w:fill="auto" w:val="clear"/>
          </w:tcPr>
          <w:p>
            <w:pPr>
              <w:pStyle w:val="Style27"/>
              <w:keepNext w:val="false"/>
              <w:widowControl w:val="false"/>
              <w:numPr>
                <w:ilvl w:val="0"/>
                <w:numId w:val="0"/>
              </w:numPr>
              <w:suppressAutoHyphens w:val="true"/>
              <w:spacing w:before="0" w:after="0"/>
              <w:ind w:left="0" w:hanging="0"/>
              <w:jc w:val="left"/>
              <w:outlineLvl w:val="2"/>
              <w:rPr>
                <w:rFonts w:eastAsia="Times New Roman"/>
                <w:b w:val="false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  <w:t>Качество оказанных Услуг должно соответствовать нормативно-технической и технологической документации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-104" w:hanging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1.1.5.</w:t>
            </w:r>
          </w:p>
        </w:tc>
        <w:tc>
          <w:tcPr>
            <w:tcW w:w="344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Требование к ДВС и водомету ВД-01 после выполнения ремонта</w:t>
            </w:r>
          </w:p>
        </w:tc>
        <w:tc>
          <w:tcPr>
            <w:tcW w:w="4958" w:type="dxa"/>
            <w:tcBorders/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ДВС и водомет ВД-01 после проведенных работ должно удовлетворять требованиям решения комиссии Таможенного союза от 18.10.2011 N 823 "О принятии технического регламента Таможенного союза "О безопасности машин и оборудования".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934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процедурам оказания услуг</w:t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Требование к оповещению Заказчика при возникновении ситуации которые могут привести к снижению безопасности эксплуатации ДВС</w:t>
            </w:r>
          </w:p>
        </w:tc>
        <w:tc>
          <w:tcPr>
            <w:tcW w:w="495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left"/>
              <w:rPr>
                <w:b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обязан извещать Заказчика о возникновении в ходе оказания Услуг новых обстоятельств, которые могут привести к снижению безопасности эксплуатации ДВС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529" w:hRule="atLeast"/>
        </w:trPr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406" w:type="dxa"/>
            <w:gridSpan w:val="2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1426" w:leader="none"/>
              </w:tabs>
              <w:spacing w:before="4" w:after="0"/>
              <w:ind w:right="125" w:hanging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самостоятельно и за счет собственных средств осуществляет хранение и утилизацию отходов, возникших при оказании Услуг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934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применяемым при оказании услуг оборудованию и материалам</w:t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Требования к характеристикам устанавливаемого оборудования и условиям его установки.</w:t>
            </w:r>
          </w:p>
        </w:tc>
        <w:tc>
          <w:tcPr>
            <w:tcW w:w="495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Запасные части и материалы должны соответствовать рекомендациям, изложенным в руководстве по эксплуатации, выданным заводом-изготовителем.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Требование к предоставлению материалов и запасных частей необходимых для замены ДВС и переделки водомета ВД-01</w:t>
            </w:r>
          </w:p>
        </w:tc>
        <w:tc>
          <w:tcPr>
            <w:tcW w:w="495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самостоятельно осуществляет закупку ДВС (контрактный) запчастей и материалов, необходимых для ремонта водомета ВД-01;</w:t>
            </w:r>
          </w:p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должен устанавливать сертифицированные запасные части (оригинальные или эквивалент). Исполнитель предъявляет по требованию Заказчика сертификаты качества используемых материалов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1.4</w:t>
            </w:r>
          </w:p>
        </w:tc>
        <w:tc>
          <w:tcPr>
            <w:tcW w:w="13934" w:type="dxa"/>
            <w:gridSpan w:val="5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персоналу исполнителя</w:t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ind w:left="-128" w:hanging="0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1.4.1</w:t>
            </w:r>
          </w:p>
        </w:tc>
        <w:tc>
          <w:tcPr>
            <w:tcW w:w="344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Требования к персоналу исполнителя</w:t>
            </w:r>
          </w:p>
        </w:tc>
        <w:tc>
          <w:tcPr>
            <w:tcW w:w="495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обязан привлекать квалифицированный персонал в оказании услуг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934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Требования к результатам у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слуг</w:t>
            </w:r>
          </w:p>
        </w:tc>
      </w:tr>
      <w:tr>
        <w:trPr>
          <w:trHeight w:val="303" w:hRule="atLeast"/>
        </w:trPr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934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Требования к безопасности использования результата оказания услуг</w:t>
            </w:r>
          </w:p>
        </w:tc>
      </w:tr>
      <w:tr>
        <w:trPr>
          <w:trHeight w:val="428" w:hRule="atLeast"/>
        </w:trPr>
        <w:tc>
          <w:tcPr>
            <w:tcW w:w="690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kern w:val="0"/>
                <w:sz w:val="22"/>
                <w:szCs w:val="22"/>
                <w:lang w:val="ru-RU" w:eastAsia="ru-RU" w:bidi="ar-SA"/>
              </w:rPr>
              <w:t>2.1.1</w:t>
            </w:r>
          </w:p>
        </w:tc>
        <w:tc>
          <w:tcPr>
            <w:tcW w:w="840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Качество и безопасность услуг должны соответствовать техническому регламенту  Таможенного союза (ТР ТС 026/2012) «О безопасности маломерных судов» 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934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bCs/>
                <w:kern w:val="0"/>
                <w:lang w:val="ru-RU" w:eastAsia="ru-RU" w:bidi="ar-SA"/>
              </w:rPr>
              <w:t>Требования к приемке результата оказания у</w:t>
            </w: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слуг</w:t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071" w:hanging="1199"/>
              <w:contextualSpacing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Проверка качества оказанных услуг</w:t>
            </w:r>
          </w:p>
        </w:tc>
        <w:tc>
          <w:tcPr>
            <w:tcW w:w="495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Приемка результатов оказания услуг путем подписания с двух сторон Акта сдачи-приемки Услуг, выставленного Исполнителем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071" w:hanging="1199"/>
              <w:contextualSpacing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Осмотр ДВС после оказании услуги.</w:t>
            </w:r>
          </w:p>
        </w:tc>
        <w:tc>
          <w:tcPr>
            <w:tcW w:w="4958" w:type="dxa"/>
            <w:tcBorders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После оказания услуг Заказчик проводит ходовые испытания катера КС-.701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0" w:type="dxa"/>
            <w:tcBorders>
              <w:top w:val="nil"/>
            </w:tcBorders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071" w:hanging="1199"/>
              <w:contextualSpacing/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Эксплуатация катера КС-701 после проведенных работ</w:t>
            </w:r>
          </w:p>
        </w:tc>
        <w:tc>
          <w:tcPr>
            <w:tcW w:w="4958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9"/>
                <w:tab w:val="left" w:pos="426" w:leader="none"/>
              </w:tabs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должен провести перерегистрацию катера в органах ГИМС МЧС России.</w:t>
            </w:r>
          </w:p>
        </w:tc>
        <w:tc>
          <w:tcPr>
            <w:tcW w:w="1531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60" w:type="dxa"/>
            <w:tcBorders>
              <w:top w:val="nil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6"/>
              </w:numPr>
              <w:spacing w:before="60" w:after="60"/>
              <w:ind w:left="-117" w:firstLine="142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934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документации, описывающей результат оказания услуг</w:t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Акт сдачи приемки оказанных услуг</w:t>
            </w:r>
          </w:p>
        </w:tc>
        <w:tc>
          <w:tcPr>
            <w:tcW w:w="495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передает Заказчику акт сдачи-приемки оказанных услуг в двух экземплярах.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Счет на оплату</w:t>
            </w:r>
          </w:p>
        </w:tc>
        <w:tc>
          <w:tcPr>
            <w:tcW w:w="495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передает Заказчику счет на оплату после оказания услуги.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>
          <w:trHeight w:val="581" w:hRule="atLeast"/>
        </w:trPr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344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Счет-фактура (если контрагент является плательщиком НДС)</w:t>
            </w:r>
          </w:p>
        </w:tc>
        <w:tc>
          <w:tcPr>
            <w:tcW w:w="495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Исполнитель передает счет-фактуру (если Исполнитель является плательщиком НДС)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spacing w:before="60" w:after="6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13934" w:type="dxa"/>
            <w:gridSpan w:val="5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b/>
                <w:kern w:val="0"/>
                <w:lang w:val="ru-RU" w:eastAsia="ru-RU" w:bidi="ar-SA"/>
              </w:rPr>
              <w:t>Требования к ответственности и гарантиям исполнителя</w:t>
            </w:r>
          </w:p>
        </w:tc>
      </w:tr>
      <w:tr>
        <w:trPr/>
        <w:tc>
          <w:tcPr>
            <w:tcW w:w="69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2"/>
                <w:numId w:val="6"/>
              </w:numPr>
              <w:spacing w:before="60" w:after="60"/>
              <w:ind w:left="1071" w:hanging="1199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8406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Гарантийный срок на оказанные Исполнителем услуги: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 на слесарные и механические работы – не менее 12 месяцев либо 1 000 м/ч, что наступит ранее;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- на устанавливаемые новые запасные части Исполнителем и расходные материалы, узлы и агрегаты - не менее 6 месяцев или сроком установленным заводом изготовителем;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Гарантийный срок исчисляется со дня подписания уполномоченными представителями Сторон Акта выполненных работ, при соблюдении Заказчиком технических условий эксплуатации и рекомендаций Исполнителя по завершению работ, не проведения Заказчиком или третьими лицами иных работ, при отсутствии перегрузки агрегатов и установки дополнительных запасных частей, комплектующих изделий и оборудования, связанного с вмешательством в результат работ Исполнителя.</w:t>
            </w:r>
          </w:p>
        </w:tc>
        <w:tc>
          <w:tcPr>
            <w:tcW w:w="1531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Согласие с требованием</w:t>
            </w:r>
          </w:p>
        </w:tc>
        <w:tc>
          <w:tcPr>
            <w:tcW w:w="1837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  <w:tc>
          <w:tcPr>
            <w:tcW w:w="2160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1276" w:right="992" w:gutter="0" w:header="680" w:top="1134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Heading1"/>
        <w:numPr>
          <w:ilvl w:val="0"/>
          <w:numId w:val="3"/>
        </w:numPr>
        <w:ind w:left="0" w:hanging="0"/>
        <w:jc w:val="center"/>
        <w:rPr/>
      </w:pPr>
      <w:bookmarkStart w:id="29" w:name="_Toc54643711"/>
      <w:bookmarkStart w:id="30" w:name="_Toc54281228"/>
      <w:r>
        <w:rPr/>
        <w:t>Требования к документации по ценообразованию на этапе заключения (исполнения) договора</w:t>
      </w:r>
      <w:bookmarkEnd w:id="29"/>
      <w:bookmarkEnd w:id="30"/>
    </w:p>
    <w:p>
      <w:pPr>
        <w:pStyle w:val="Normal"/>
        <w:rPr>
          <w:rFonts w:eastAsia="Calibri"/>
          <w:bCs/>
          <w:iCs/>
          <w:color w:val="000000" w:themeColor="text1"/>
          <w:sz w:val="26"/>
          <w:szCs w:val="26"/>
          <w:lang w:eastAsia="x-none"/>
        </w:rPr>
      </w:pPr>
      <w:r>
        <w:rPr>
          <w:rFonts w:eastAsia="Calibri"/>
          <w:bCs/>
          <w:iCs/>
          <w:color w:val="000000" w:themeColor="text1"/>
          <w:sz w:val="26"/>
          <w:szCs w:val="26"/>
          <w:lang w:eastAsia="x-none"/>
        </w:rPr>
        <w:t>3.1.      Общая цена за единицу услуг остаётся фиксированной на весь срок действия договора и не подлежит изменению.</w:t>
      </w:r>
    </w:p>
    <w:p>
      <w:pPr>
        <w:pStyle w:val="Normal"/>
        <w:rPr>
          <w:lang w:val="x-none" w:eastAsia="x-none"/>
        </w:rPr>
      </w:pPr>
      <w:r>
        <w:rPr>
          <w:rFonts w:eastAsia="Calibri"/>
          <w:bCs/>
          <w:iCs/>
          <w:color w:val="000000" w:themeColor="text1"/>
          <w:sz w:val="26"/>
          <w:szCs w:val="26"/>
          <w:lang w:eastAsia="x-none"/>
        </w:rPr>
        <w:t>3.2.      В стоимость услуги должны быть включены все затраты, необходимые для исполнения обязательств по Договору, в том числе: все налоги, сборы и пошлины, иные расходы.</w:t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p>
      <w:pPr>
        <w:pStyle w:val="Normal"/>
        <w:rPr>
          <w:iCs/>
          <w:sz w:val="26"/>
          <w:szCs w:val="26"/>
          <w:u w:val="single"/>
        </w:rPr>
      </w:pPr>
      <w:r>
        <w:rPr/>
      </w:r>
    </w:p>
    <w:p>
      <w:pPr>
        <w:pStyle w:val="Normal"/>
        <w:rPr>
          <w:iCs/>
          <w:sz w:val="26"/>
          <w:szCs w:val="26"/>
          <w:u w:val="single"/>
        </w:rPr>
      </w:pPr>
      <w:r>
        <w:rPr>
          <w:iCs/>
          <w:sz w:val="26"/>
          <w:szCs w:val="26"/>
          <w:u w:val="single"/>
        </w:rPr>
      </w:r>
    </w:p>
    <w:p>
      <w:pPr>
        <w:pStyle w:val="Normal"/>
        <w:rPr>
          <w:u w:val="single"/>
        </w:rPr>
      </w:pPr>
      <w:r>
        <w:rPr>
          <w:u w:val="single"/>
        </w:rPr>
      </w:r>
    </w:p>
    <w:p>
      <w:pPr>
        <w:pStyle w:val="Normal"/>
        <w:rPr>
          <w:iCs/>
          <w:sz w:val="26"/>
          <w:szCs w:val="26"/>
        </w:rPr>
      </w:pPr>
      <w:r>
        <w:rPr>
          <w:iCs/>
          <w:sz w:val="26"/>
          <w:szCs w:val="26"/>
        </w:rPr>
        <w:tab/>
        <w:tab/>
        <w:tab/>
        <w:tab/>
        <w:tab/>
        <w:tab/>
      </w:r>
    </w:p>
    <w:p>
      <w:pPr>
        <w:sectPr>
          <w:headerReference w:type="default" r:id="rId7"/>
          <w:headerReference w:type="first" r:id="rId8"/>
          <w:type w:val="nextPage"/>
          <w:pgSz w:w="11906" w:h="16838"/>
          <w:pgMar w:left="1134" w:right="851" w:gutter="0" w:header="0" w:top="680" w:footer="0" w:bottom="1276"/>
          <w:pgNumType w:fmt="decimal"/>
          <w:formProt w:val="false"/>
          <w:textDirection w:val="lrTb"/>
          <w:docGrid w:type="default" w:linePitch="381" w:charSpace="0"/>
        </w:sectPr>
        <w:pStyle w:val="Normal"/>
        <w:tabs>
          <w:tab w:val="clear" w:pos="709"/>
          <w:tab w:val="left" w:pos="7230" w:leader="none"/>
        </w:tabs>
        <w:rPr>
          <w:bCs/>
        </w:rPr>
      </w:pPr>
      <w:r>
        <w:rPr/>
      </w:r>
    </w:p>
    <w:p>
      <w:pPr>
        <w:pStyle w:val="Heading1"/>
        <w:tabs>
          <w:tab w:val="clear" w:pos="0"/>
        </w:tabs>
        <w:jc w:val="right"/>
        <w:rPr>
          <w:b w:val="false"/>
          <w:bCs/>
          <w:sz w:val="26"/>
          <w:szCs w:val="26"/>
          <w:lang w:val="ru-RU"/>
        </w:rPr>
      </w:pPr>
      <w:bookmarkStart w:id="31" w:name="_Toc190164892_Копия_3"/>
      <w:r>
        <w:rPr>
          <w:b w:val="false"/>
          <w:bCs/>
          <w:sz w:val="26"/>
          <w:szCs w:val="26"/>
          <w:lang w:val="ru-RU"/>
        </w:rPr>
        <w:t>Приложение №1</w:t>
      </w:r>
      <w:bookmarkEnd w:id="31"/>
      <w:r>
        <w:rPr>
          <w:b w:val="false"/>
          <w:bCs/>
          <w:sz w:val="26"/>
          <w:szCs w:val="26"/>
          <w:lang w:val="ru-RU"/>
        </w:rPr>
        <w:t xml:space="preserve"> </w:t>
      </w:r>
    </w:p>
    <w:p>
      <w:pPr>
        <w:pStyle w:val="Heading1"/>
        <w:tabs>
          <w:tab w:val="clear" w:pos="0"/>
        </w:tabs>
        <w:jc w:val="right"/>
        <w:rPr>
          <w:b w:val="false"/>
          <w:bCs/>
          <w:sz w:val="26"/>
          <w:szCs w:val="26"/>
          <w:lang w:val="ru-RU"/>
        </w:rPr>
      </w:pPr>
      <w:r>
        <w:rPr>
          <w:b w:val="false"/>
          <w:bCs/>
          <w:sz w:val="26"/>
          <w:szCs w:val="26"/>
          <w:lang w:val="ru-RU"/>
        </w:rPr>
        <w:t>к Техническим требованиям</w:t>
      </w:r>
    </w:p>
    <w:p>
      <w:pPr>
        <w:pStyle w:val="Normal"/>
        <w:rPr>
          <w:sz w:val="26"/>
          <w:szCs w:val="26"/>
          <w:lang w:eastAsia="x-none"/>
        </w:rPr>
      </w:pPr>
      <w:r>
        <w:rPr>
          <w:sz w:val="26"/>
          <w:szCs w:val="26"/>
          <w:lang w:eastAsia="x-none"/>
        </w:rPr>
      </w:r>
    </w:p>
    <w:p>
      <w:pPr>
        <w:pStyle w:val="Heading1"/>
        <w:tabs>
          <w:tab w:val="clear" w:pos="0"/>
        </w:tabs>
        <w:jc w:val="center"/>
        <w:rPr>
          <w:sz w:val="26"/>
          <w:szCs w:val="26"/>
        </w:rPr>
      </w:pPr>
      <w:bookmarkStart w:id="32" w:name="_Toc190164893_Копия_3"/>
      <w:bookmarkStart w:id="33" w:name="_Toc54643705_Копия_1_Копия_1_Копия_3"/>
      <w:bookmarkStart w:id="34" w:name="_Toc51339695_Копия_1_Копия_1_Копия_3"/>
      <w:r>
        <w:rPr>
          <w:sz w:val="26"/>
          <w:szCs w:val="26"/>
        </w:rPr>
        <w:t xml:space="preserve">Перечень </w:t>
      </w:r>
      <w:bookmarkEnd w:id="34"/>
      <w:r>
        <w:rPr>
          <w:sz w:val="26"/>
          <w:szCs w:val="26"/>
        </w:rPr>
        <w:t xml:space="preserve">и объем </w:t>
      </w:r>
      <w:bookmarkEnd w:id="33"/>
      <w:r>
        <w:rPr>
          <w:sz w:val="26"/>
          <w:szCs w:val="26"/>
        </w:rPr>
        <w:t>устанавливаемых запасных частей</w:t>
      </w:r>
      <w:bookmarkEnd w:id="32"/>
    </w:p>
    <w:p>
      <w:pPr>
        <w:pStyle w:val="Normal"/>
        <w:rPr>
          <w:lang w:val="x-none" w:eastAsia="x-none"/>
        </w:rPr>
      </w:pPr>
      <w:r>
        <w:rPr>
          <w:lang w:val="x-none" w:eastAsia="x-none"/>
        </w:rPr>
      </w:r>
    </w:p>
    <w:tbl>
      <w:tblPr>
        <w:tblW w:w="8790" w:type="dxa"/>
        <w:jc w:val="left"/>
        <w:tblInd w:w="11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noHBand="0" w:noVBand="1" w:firstColumn="1" w:lastRow="0" w:lastColumn="0" w:firstRow="1"/>
      </w:tblPr>
      <w:tblGrid>
        <w:gridCol w:w="618"/>
        <w:gridCol w:w="4991"/>
        <w:gridCol w:w="1712"/>
        <w:gridCol w:w="1468"/>
      </w:tblGrid>
      <w:tr>
        <w:trPr>
          <w:trHeight w:val="284" w:hRule="atLeast"/>
        </w:trPr>
        <w:tc>
          <w:tcPr>
            <w:tcW w:w="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№</w:t>
            </w:r>
          </w:p>
        </w:tc>
        <w:tc>
          <w:tcPr>
            <w:tcW w:w="49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17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 изм</w:t>
            </w:r>
          </w:p>
        </w:tc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Кол-во</w:t>
            </w:r>
          </w:p>
        </w:tc>
      </w:tr>
      <w:tr>
        <w:trPr>
          <w:trHeight w:val="284" w:hRule="atLeast"/>
        </w:trPr>
        <w:tc>
          <w:tcPr>
            <w:tcW w:w="61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991" w:type="dxa"/>
            <w:tcBorders>
              <w:left w:val="single" w:sz="8" w:space="0" w:color="000000"/>
              <w:bottom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Контрактный ДВС (Япония) мощность 280 – 320 Л.С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61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991" w:type="dxa"/>
            <w:tcBorders>
              <w:left w:val="single" w:sz="8" w:space="0" w:color="000000"/>
              <w:bottom w:val="single" w:sz="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Колокол под водомет с комплектом подушек 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61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991" w:type="dxa"/>
            <w:tcBorders>
              <w:left w:val="single" w:sz="8" w:space="0" w:color="000000"/>
              <w:bottom w:val="single" w:sz="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 xml:space="preserve">Гусаки выхлопные с выходом под глушители с орошением 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комплект</w:t>
            </w:r>
          </w:p>
        </w:tc>
        <w:tc>
          <w:tcPr>
            <w:tcW w:w="1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61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4991" w:type="dxa"/>
            <w:tcBorders>
              <w:left w:val="single" w:sz="8" w:space="0" w:color="000000"/>
              <w:bottom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 w:themeColor="text1"/>
              </w:rPr>
              <w:t>Маховик под водомет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61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4991" w:type="dxa"/>
            <w:tcBorders>
              <w:left w:val="single" w:sz="8" w:space="0" w:color="000000"/>
              <w:bottom w:val="single" w:sz="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Холодильник забортная вода – тосол (материал изготовления бронза)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>
        <w:trPr>
          <w:trHeight w:val="284" w:hRule="atLeast"/>
        </w:trPr>
        <w:tc>
          <w:tcPr>
            <w:tcW w:w="618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4991" w:type="dxa"/>
            <w:tcBorders>
              <w:left w:val="single" w:sz="8" w:space="0" w:color="000000"/>
              <w:bottom w:val="single" w:sz="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rPr/>
            </w:pPr>
            <w:r>
              <w:rPr/>
              <w:t>Глушители выхлопные с поджимом и орошением нерж. сталь</w:t>
            </w:r>
          </w:p>
        </w:tc>
        <w:tc>
          <w:tcPr>
            <w:tcW w:w="1712" w:type="dxa"/>
            <w:tcBorders>
              <w:left w:val="single" w:sz="8" w:space="0" w:color="000000"/>
              <w:bottom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шт</w:t>
            </w:r>
          </w:p>
        </w:tc>
        <w:tc>
          <w:tcPr>
            <w:tcW w:w="14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</w:tbl>
    <w:p>
      <w:pPr>
        <w:pStyle w:val="Normal"/>
        <w:rPr>
          <w:sz w:val="26"/>
          <w:szCs w:val="26"/>
          <w:lang w:val="x-none" w:eastAsia="x-none"/>
        </w:rPr>
      </w:pPr>
      <w:r>
        <w:rPr>
          <w:sz w:val="26"/>
          <w:szCs w:val="26"/>
          <w:lang w:val="x-none" w:eastAsia="x-none"/>
        </w:rPr>
        <mc:AlternateContent>
          <mc:Choice Requires="wps">
            <w:drawing>
              <wp:anchor behindDoc="0" distT="0" distB="0" distL="0" distR="0" simplePos="0" locked="0" layoutInCell="0" allowOverlap="1" relativeHeight="3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3" name="_x0000_tole_rId9" hidden="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9" path="m0,0l-2147483645,0l-2147483645,-2147483646l0,-2147483646xe" stroked="f" o:allowincell="f" style="position:absolute;margin-left:0pt;margin-top:0.05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</w:p>
    <w:p>
      <w:pPr>
        <w:pStyle w:val="Normal"/>
        <w:jc w:val="center"/>
        <w:rPr>
          <w:b/>
          <w:sz w:val="26"/>
          <w:szCs w:val="26"/>
          <w:lang w:eastAsia="x-none"/>
        </w:rPr>
      </w:pPr>
      <w:r>
        <w:rPr>
          <w:b/>
          <w:sz w:val="26"/>
          <w:szCs w:val="26"/>
          <w:lang w:eastAsia="x-none"/>
        </w:rPr>
        <w:t>Перечень производимых работ</w:t>
      </w:r>
    </w:p>
    <w:tbl>
      <w:tblPr>
        <w:tblW w:w="4550" w:type="pct"/>
        <w:jc w:val="left"/>
        <w:tblInd w:w="118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  <w:tblLook w:val="04a0" w:noHBand="0" w:noVBand="1" w:firstColumn="1" w:lastRow="0" w:lastColumn="0" w:firstRow="1"/>
      </w:tblPr>
      <w:tblGrid>
        <w:gridCol w:w="526"/>
        <w:gridCol w:w="5089"/>
        <w:gridCol w:w="1664"/>
        <w:gridCol w:w="1490"/>
      </w:tblGrid>
      <w:tr>
        <w:trPr>
          <w:trHeight w:val="191" w:hRule="atLeast"/>
        </w:trPr>
        <w:tc>
          <w:tcPr>
            <w:tcW w:w="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№ </w:t>
            </w:r>
            <w:r>
              <w:rPr>
                <w:b/>
                <w:bCs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0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Виды работ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Ед. изм</w:t>
            </w:r>
          </w:p>
        </w:tc>
        <w:tc>
          <w:tcPr>
            <w:tcW w:w="1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количество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08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Проектирование систем и агрегатов на весь проект, оформление.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услуга</w:t>
            </w:r>
          </w:p>
        </w:tc>
        <w:tc>
          <w:tcPr>
            <w:tcW w:w="14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08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Установка  ДВС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услуга</w:t>
            </w:r>
          </w:p>
        </w:tc>
        <w:tc>
          <w:tcPr>
            <w:tcW w:w="14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508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Ремонт водомета (движитель ВД-01) (замена импеллера, выпрямляющей насадки)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услуга</w:t>
            </w:r>
          </w:p>
        </w:tc>
        <w:tc>
          <w:tcPr>
            <w:tcW w:w="14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526" w:type="dxa"/>
            <w:tcBorders>
              <w:left w:val="single" w:sz="8" w:space="0" w:color="000000"/>
              <w:bottom w:val="single" w:sz="8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5089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Разработка технического паспорта для узаконивания переделок и дальнейшей перерегистрации катера КС-701 в ГИМС</w:t>
            </w:r>
          </w:p>
        </w:tc>
        <w:tc>
          <w:tcPr>
            <w:tcW w:w="1664" w:type="dxa"/>
            <w:tcBorders>
              <w:left w:val="single" w:sz="8" w:space="0" w:color="000000"/>
              <w:bottom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услуга</w:t>
            </w:r>
          </w:p>
        </w:tc>
        <w:tc>
          <w:tcPr>
            <w:tcW w:w="14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</w:tr>
    </w:tbl>
    <w:p>
      <w:pPr>
        <w:pStyle w:val="Normal"/>
        <w:rPr>
          <w:lang w:eastAsia="x-none"/>
        </w:rPr>
      </w:pPr>
      <w:r>
        <w:rPr/>
      </w:r>
    </w:p>
    <w:sectPr>
      <w:headerReference w:type="default" r:id="rId9"/>
      <w:headerReference w:type="first" r:id="rId10"/>
      <w:type w:val="nextPage"/>
      <w:pgSz w:w="11906" w:h="16838"/>
      <w:pgMar w:left="1134" w:right="1134" w:gutter="0" w:header="1134" w:top="1456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0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 w:val="false"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71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573c8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b93dc7"/>
    <w:pPr>
      <w:keepNext w:val="true"/>
      <w:tabs>
        <w:tab w:val="clear" w:pos="709"/>
        <w:tab w:val="left" w:pos="0" w:leader="none"/>
      </w:tabs>
      <w:outlineLvl w:val="2"/>
    </w:pPr>
    <w:rPr>
      <w:rFonts w:eastAsia="Calibri"/>
      <w:b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semiHidden/>
    <w:qFormat/>
    <w:rsid w:val="00b714b0"/>
    <w:rPr>
      <w:sz w:val="16"/>
      <w:szCs w:val="16"/>
    </w:rPr>
  </w:style>
  <w:style w:type="character" w:styleId="Strong">
    <w:name w:val="Strong"/>
    <w:uiPriority w:val="22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b93dc7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4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5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8"/>
    <w:qFormat/>
    <w:rsid w:val="004a17ae"/>
    <w:rPr>
      <w:rFonts w:eastAsia="Calibri"/>
      <w:caps/>
      <w:sz w:val="28"/>
      <w:szCs w:val="28"/>
      <w:lang w:eastAsia="en-US"/>
    </w:rPr>
  </w:style>
  <w:style w:type="character" w:styleId="FollowedHyperlink">
    <w:name w:val="FollowedHyperlink"/>
    <w:basedOn w:val="DefaultParagraphFont"/>
    <w:semiHidden/>
    <w:unhideWhenUsed/>
    <w:rsid w:val="001511a2"/>
    <w:rPr>
      <w:color w:val="954F72" w:themeColor="followedHyperlink"/>
      <w:u w:val="single"/>
    </w:rPr>
  </w:style>
  <w:style w:type="character" w:styleId="Style14" w:customStyle="1">
    <w:name w:val="Ссылка указателя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</w:rPr>
  </w:style>
  <w:style w:type="paragraph" w:styleId="Indexheading11" w:customStyle="1">
    <w:name w:val="index heading11"/>
    <w:basedOn w:val="Title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</w:rPr>
  </w:style>
  <w:style w:type="paragraph" w:styleId="Indexheading111" w:customStyle="1">
    <w:name w:val="index heading111"/>
    <w:basedOn w:val="Title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</w:rPr>
  </w:style>
  <w:style w:type="paragraph" w:styleId="Indexheading1111" w:customStyle="1">
    <w:name w:val="index heading1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rsid w:val="00d561d9"/>
    <w:pPr/>
    <w:rPr>
      <w:sz w:val="20"/>
      <w:szCs w:val="20"/>
    </w:rPr>
  </w:style>
  <w:style w:type="paragraph" w:styleId="13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2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</w:rPr>
  </w:style>
  <w:style w:type="paragraph" w:styleId="14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">
    <w:name w:val="Body Text Indent"/>
    <w:basedOn w:val="Normal"/>
    <w:rsid w:val="0076353a"/>
    <w:pPr>
      <w:ind w:left="360" w:hanging="0"/>
    </w:pPr>
    <w:rPr/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c517de"/>
    <w:pPr>
      <w:spacing w:before="120" w:after="0"/>
    </w:pPr>
    <w:rPr>
      <w:rFonts w:cs="Calibri Light (Заголовки)"/>
      <w:b/>
      <w:bCs/>
    </w:rPr>
  </w:style>
  <w:style w:type="paragraph" w:styleId="TOC3">
    <w:name w:val="TOC 3"/>
    <w:basedOn w:val="Normal"/>
    <w:next w:val="Normal"/>
    <w:autoRedefine/>
    <w:uiPriority w:val="39"/>
    <w:rsid w:val="0038154b"/>
    <w:pPr>
      <w:tabs>
        <w:tab w:val="clear" w:pos="709"/>
        <w:tab w:val="left" w:pos="1120" w:leader="none"/>
        <w:tab w:val="right" w:pos="9911" w:leader="dot"/>
      </w:tabs>
      <w:ind w:left="567" w:hanging="0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693883"/>
    <w:pPr>
      <w:spacing w:before="240" w:after="0"/>
    </w:pPr>
    <w:rPr>
      <w:rFonts w:cs="Calibri" w:cstheme="minorHAnsi"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5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0d64da"/>
    <w:pPr>
      <w:tabs>
        <w:tab w:val="clear" w:pos="709"/>
        <w:tab w:val="left" w:pos="1120" w:leader="none"/>
        <w:tab w:val="right" w:pos="9921" w:leader="none"/>
      </w:tabs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</w:rPr>
  </w:style>
  <w:style w:type="paragraph" w:styleId="Caption11111" w:customStyle="1">
    <w:name w:val="caption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3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4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6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5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7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/>
  </w:style>
  <w:style w:type="paragraph" w:styleId="18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Style36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9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9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header" Target="header8.xml"/><Relationship Id="rId10" Type="http://schemas.openxmlformats.org/officeDocument/2006/relationships/header" Target="header9.xml"/><Relationship Id="rId11" Type="http://schemas.openxmlformats.org/officeDocument/2006/relationships/numbering" Target="numbering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E832A5-4B72-473D-9767-331A37D4C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2020</TotalTime>
  <Application>AlterOffice/3.4.0.9$Linux_X86_64 LibreOffice_project/b8daf9e823b1a5463a2f48435ddc2e8696e7d4fc</Application>
  <AppVersion>15.0000</AppVersion>
  <Pages>10</Pages>
  <Words>1305</Words>
  <Characters>8427</Characters>
  <CharactersWithSpaces>9644</CharactersWithSpaces>
  <Paragraphs>249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2025-03-16T04:40:00Z</dcterms:created>
  <dc:creator>Быстров Олег Геннадьевич</dc:creator>
  <dc:description/>
  <dc:language>ru-RU</dc:language>
  <cp:lastModifiedBy>khizhnyakvn@corp.gidroogk.com</cp:lastModifiedBy>
  <cp:lastPrinted>2025-03-05T17:49:00Z</cp:lastPrinted>
  <dcterms:modified xsi:type="dcterms:W3CDTF">2026-07-28T18:37:06Z</dcterms:modified>
  <cp:revision>27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