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bCs/>
          <w:sz w:val="24"/>
          <w:szCs w:val="24"/>
        </w:rPr>
      </w:pPr>
      <w:r>
        <w:rPr>
          <w:b/>
          <w:bCs/>
          <w:sz w:val="24"/>
          <w:szCs w:val="24"/>
        </w:rPr>
        <w:t>ПРОЕКТ ДОГОВОРА</w:t>
      </w:r>
    </w:p>
    <w:p>
      <w:pPr>
        <w:pStyle w:val="Normal"/>
        <w:widowControl/>
        <w:jc w:val="center"/>
        <w:rPr>
          <w:b/>
          <w:bCs/>
          <w:sz w:val="24"/>
          <w:szCs w:val="24"/>
        </w:rPr>
      </w:pPr>
      <w:r>
        <w:rPr>
          <w:rFonts w:ascii="Times New Roman;serif" w:hAnsi="Times New Roman;serif"/>
          <w:b/>
          <w:bCs/>
          <w:color w:val="000000"/>
          <w:sz w:val="24"/>
          <w:szCs w:val="24"/>
          <w:shd w:fill="auto" w:val="clear"/>
        </w:rPr>
        <w:t xml:space="preserve">Поставка </w:t>
      </w:r>
      <w:r>
        <w:rPr>
          <w:rFonts w:eastAsia="Times New Roman" w:cs="Times New Roman" w:ascii="Times New Roman;serif" w:hAnsi="Times New Roman;serif"/>
          <w:b/>
          <w:bCs/>
          <w:color w:val="000000"/>
          <w:kern w:val="0"/>
          <w:sz w:val="24"/>
          <w:szCs w:val="24"/>
          <w:shd w:fill="auto" w:val="clear"/>
          <w:lang w:val="ru-RU" w:eastAsia="ru-RU" w:bidi="ar-SA"/>
        </w:rPr>
        <w:t>сетей защитных заградительных и шнуров от воздействия беспилотных летательных аппаратов для нужд филиала ПАО «РусГидро»-«Зейская ГЭС»</w:t>
      </w:r>
    </w:p>
    <w:p>
      <w:pPr>
        <w:pStyle w:val="Normal"/>
        <w:shd w:val="clear" w:color="auto" w:fill="FFFFFF"/>
        <w:tabs>
          <w:tab w:val="clear" w:pos="709"/>
          <w:tab w:val="left" w:pos="6926" w:leader="none"/>
        </w:tabs>
        <w:jc w:val="center"/>
        <w:rPr>
          <w:b/>
          <w:sz w:val="24"/>
          <w:szCs w:val="24"/>
        </w:rPr>
      </w:pPr>
      <w:r>
        <w:rPr>
          <w:b/>
          <w:sz w:val="24"/>
          <w:szCs w:val="24"/>
        </w:rPr>
      </w:r>
    </w:p>
    <w:p>
      <w:pPr>
        <w:pStyle w:val="Normal"/>
        <w:shd w:val="clear" w:color="auto" w:fill="FFFFFF"/>
        <w:tabs>
          <w:tab w:val="clear" w:pos="709"/>
          <w:tab w:val="left" w:pos="6926" w:leader="none"/>
        </w:tabs>
        <w:jc w:val="center"/>
        <w:rPr>
          <w:b/>
          <w:sz w:val="24"/>
          <w:szCs w:val="24"/>
        </w:rPr>
      </w:pPr>
      <w:r>
        <w:rPr>
          <w:b/>
          <w:sz w:val="24"/>
          <w:szCs w:val="24"/>
        </w:rPr>
      </w:r>
    </w:p>
    <w:p>
      <w:pPr>
        <w:pStyle w:val="Normal"/>
        <w:shd w:val="clear" w:color="auto" w:fill="FFFFFF"/>
        <w:tabs>
          <w:tab w:val="clear" w:pos="709"/>
          <w:tab w:val="left" w:pos="6926" w:leader="none"/>
        </w:tabs>
        <w:jc w:val="center"/>
        <w:rPr>
          <w:b/>
          <w:sz w:val="24"/>
          <w:szCs w:val="24"/>
        </w:rPr>
      </w:pPr>
      <w:r>
        <w:rPr>
          <w:b/>
          <w:sz w:val="24"/>
          <w:szCs w:val="24"/>
        </w:rPr>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Зея</w:t>
        <w:tab/>
        <w:t xml:space="preserve">   «___» _________ 20__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z w:val="24"/>
          <w:szCs w:val="24"/>
        </w:rPr>
      </w:pPr>
      <w:r>
        <w:rPr>
          <w:b/>
          <w:sz w:val="24"/>
          <w:szCs w:val="24"/>
        </w:rPr>
        <w:t xml:space="preserve">Публичное акционерное общество «Федеральная гидрогенерирующая </w:t>
        <w:br/>
        <w:t xml:space="preserve">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xml:space="preserve">, действующего на основании ________, с одной стороны, </w:t>
        <w:br/>
        <w:t>и</w:t>
      </w:r>
      <w:r>
        <w:rPr>
          <w:spacing w:val="10"/>
          <w:sz w:val="24"/>
          <w:szCs w:val="24"/>
        </w:rPr>
        <w:t xml:space="preserve"> </w:t>
      </w: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pacing w:val="10"/>
          <w:sz w:val="24"/>
          <w:szCs w:val="24"/>
        </w:rPr>
      </w:pPr>
      <w:r>
        <w:rPr>
          <w:sz w:val="24"/>
          <w:szCs w:val="24"/>
        </w:rPr>
        <w:t xml:space="preserve">совместно в дальнейшем именуемые «Стороны», а по отдельности – «Сторона», </w:t>
        <w:br/>
      </w:r>
      <w:r>
        <w:rPr>
          <w:sz w:val="24"/>
          <w:szCs w:val="24"/>
          <w:shd w:fill="auto" w:val="clear"/>
          <w:lang w:eastAsia="en-US"/>
        </w:rPr>
        <w:t xml:space="preserve">по результатам проведенной Покупателем закупочной процедуры по лоту № ____________ и на основании протокола __________ от «___» _________ г. №_______, </w:t>
      </w:r>
      <w:r>
        <w:rPr>
          <w:sz w:val="24"/>
          <w:szCs w:val="24"/>
          <w:shd w:fill="auto" w:val="clear"/>
        </w:rPr>
        <w:t>заключ</w:t>
      </w:r>
      <w:r>
        <w:rPr>
          <w:sz w:val="24"/>
          <w:szCs w:val="24"/>
        </w:rPr>
        <w:t>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w:t>
        <w:br/>
        <w:t>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567" w:leader="none"/>
          <w:tab w:val="left" w:pos="1134" w:leader="none"/>
        </w:tabs>
        <w:overflowPunct w:val="true"/>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 xml:space="preserve">от 25.12.1998 № 132, подписываемый Сторонами после завершения приемки Товара </w:t>
        <w:br/>
        <w:t>по количеству, качеству и комплектности.</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9"/>
          <w:tab w:val="left" w:pos="567" w:leader="none"/>
        </w:tabs>
        <w:overflowPunct w:val="true"/>
        <w:spacing w:before="0" w:after="0"/>
        <w:ind w:firstLine="708"/>
        <w:jc w:val="both"/>
        <w:textAlignment w:val="baseline"/>
        <w:rPr>
          <w:highlight w:val="none"/>
          <w:shd w:fill="auto" w:val="clear"/>
        </w:rPr>
      </w:pPr>
      <w:r>
        <w:rPr>
          <w:rFonts w:eastAsia="Times New Roman" w:cs="Times New Roman" w:ascii="Times New Roman" w:hAnsi="Times New Roman"/>
          <w:b/>
          <w:color w:val="000000"/>
          <w:kern w:val="0"/>
          <w:sz w:val="24"/>
          <w:szCs w:val="24"/>
          <w:shd w:fill="auto" w:val="clear"/>
          <w:lang w:val="ru-RU" w:eastAsia="en-US" w:bidi="ar-SA"/>
        </w:rPr>
        <w:t xml:space="preserve">«Универсальный передаточный документ», «УПД» </w:t>
      </w:r>
      <w:r>
        <w:rPr>
          <w:rFonts w:eastAsia="Times New Roman" w:cs="Times New Roman" w:ascii="Times New Roman" w:hAnsi="Times New Roman"/>
          <w:b w:val="false"/>
          <w:color w:val="000000"/>
          <w:kern w:val="0"/>
          <w:sz w:val="24"/>
          <w:szCs w:val="24"/>
          <w:shd w:fill="auto" w:val="clear"/>
          <w:lang w:val="ru-RU" w:eastAsia="en-US" w:bidi="ar-SA"/>
        </w:rPr>
        <w:t>–</w:t>
      </w:r>
      <w:r>
        <w:rPr>
          <w:rFonts w:eastAsia="Times New Roman" w:cs="Times New Roman" w:ascii="Times New Roman" w:hAnsi="Times New Roman"/>
          <w:b/>
          <w:color w:val="000000"/>
          <w:kern w:val="0"/>
          <w:sz w:val="24"/>
          <w:szCs w:val="24"/>
          <w:shd w:fill="auto" w:val="clear"/>
          <w:lang w:val="ru-RU" w:eastAsia="en-US" w:bidi="ar-SA"/>
        </w:rPr>
        <w:t xml:space="preserve"> </w:t>
      </w:r>
      <w:r>
        <w:rPr>
          <w:rFonts w:eastAsia="Times New Roman" w:cs="Times New Roman" w:ascii="Times New Roman" w:hAnsi="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b w:val="false"/>
          <w:bCs w:val="false"/>
          <w:color w:val="000000"/>
          <w:kern w:val="0"/>
          <w:sz w:val="24"/>
          <w:szCs w:val="24"/>
          <w:shd w:fill="auto" w:val="clear"/>
          <w:lang w:val="ru-RU" w:eastAsia="en-US" w:bidi="ar-SA"/>
        </w:rPr>
        <w:t>.</w:t>
      </w:r>
    </w:p>
    <w:p>
      <w:pPr>
        <w:pStyle w:val="Heading3"/>
        <w:tabs>
          <w:tab w:val="clear" w:pos="709"/>
          <w:tab w:val="left" w:pos="0" w:leader="none"/>
        </w:tabs>
        <w:overflowPunct w:val="true"/>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w:t>
        <w:br/>
        <w:t xml:space="preserve">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Поставщик обязуется в порядке и сроки, установленные Договором, передать </w:t>
        <w:br/>
        <w:t>в собственность Покупателю</w:t>
      </w:r>
      <w:r>
        <w:rPr>
          <w:rFonts w:eastAsia="Calibri"/>
          <w:bCs/>
          <w:sz w:val="24"/>
          <w:szCs w:val="24"/>
          <w:lang w:eastAsia="en-US"/>
        </w:rPr>
        <w:t xml:space="preserve"> </w:t>
      </w:r>
      <w:r>
        <w:rPr>
          <w:rFonts w:eastAsia="Times New Roman" w:cs="Times New Roman" w:ascii="Times New Roman;serif" w:hAnsi="Times New Roman;serif"/>
          <w:b/>
          <w:bCs/>
          <w:i w:val="false"/>
          <w:iCs w:val="false"/>
          <w:strike w:val="false"/>
          <w:dstrike w:val="false"/>
          <w:outline w:val="false"/>
          <w:shadow w:val="false"/>
          <w:color w:val="000000"/>
          <w:kern w:val="0"/>
          <w:sz w:val="24"/>
          <w:szCs w:val="24"/>
          <w:u w:val="none"/>
          <w:shd w:fill="auto" w:val="clear"/>
          <w:em w:val="none"/>
          <w:lang w:val="ru-RU" w:eastAsia="ru-RU" w:bidi="ar-SA"/>
        </w:rPr>
        <w:t>сет</w:t>
      </w:r>
      <w:r>
        <w:rPr>
          <w:rFonts w:eastAsia="Times New Roman" w:cs="Times New Roman" w:ascii="Times New Roman;serif" w:hAnsi="Times New Roman;serif"/>
          <w:b/>
          <w:bCs/>
          <w:i w:val="false"/>
          <w:iCs w:val="false"/>
          <w:strike w:val="false"/>
          <w:dstrike w:val="false"/>
          <w:outline w:val="false"/>
          <w:shadow w:val="false"/>
          <w:color w:val="000000"/>
          <w:kern w:val="0"/>
          <w:sz w:val="24"/>
          <w:szCs w:val="24"/>
          <w:u w:val="none"/>
          <w:shd w:fill="auto" w:val="clear"/>
          <w:em w:val="none"/>
          <w:lang w:val="ru-RU" w:eastAsia="ru-RU" w:bidi="ar-SA"/>
        </w:rPr>
        <w:t>и</w:t>
      </w:r>
      <w:r>
        <w:rPr>
          <w:rFonts w:eastAsia="Times New Roman" w:cs="Times New Roman" w:ascii="Times New Roman;serif" w:hAnsi="Times New Roman;serif"/>
          <w:b/>
          <w:bCs/>
          <w:i w:val="false"/>
          <w:iCs w:val="false"/>
          <w:strike w:val="false"/>
          <w:dstrike w:val="false"/>
          <w:outline w:val="false"/>
          <w:shadow w:val="false"/>
          <w:color w:val="000000"/>
          <w:kern w:val="0"/>
          <w:sz w:val="24"/>
          <w:szCs w:val="24"/>
          <w:u w:val="none"/>
          <w:shd w:fill="auto" w:val="clear"/>
          <w:em w:val="none"/>
          <w:lang w:val="ru-RU" w:eastAsia="ru-RU" w:bidi="ar-SA"/>
        </w:rPr>
        <w:t xml:space="preserve"> защитны</w:t>
      </w:r>
      <w:r>
        <w:rPr>
          <w:rFonts w:eastAsia="Times New Roman" w:cs="Times New Roman" w:ascii="Times New Roman;serif" w:hAnsi="Times New Roman;serif"/>
          <w:b/>
          <w:bCs/>
          <w:i w:val="false"/>
          <w:iCs w:val="false"/>
          <w:strike w:val="false"/>
          <w:dstrike w:val="false"/>
          <w:outline w:val="false"/>
          <w:shadow w:val="false"/>
          <w:color w:val="000000"/>
          <w:kern w:val="0"/>
          <w:sz w:val="24"/>
          <w:szCs w:val="24"/>
          <w:u w:val="none"/>
          <w:shd w:fill="auto" w:val="clear"/>
          <w:em w:val="none"/>
          <w:lang w:val="ru-RU" w:eastAsia="ru-RU" w:bidi="ar-SA"/>
        </w:rPr>
        <w:t>е</w:t>
      </w:r>
      <w:r>
        <w:rPr>
          <w:rFonts w:eastAsia="Times New Roman" w:cs="Times New Roman" w:ascii="Times New Roman;serif" w:hAnsi="Times New Roman;serif"/>
          <w:b/>
          <w:bCs/>
          <w:i w:val="false"/>
          <w:iCs w:val="false"/>
          <w:strike w:val="false"/>
          <w:dstrike w:val="false"/>
          <w:outline w:val="false"/>
          <w:shadow w:val="false"/>
          <w:color w:val="000000"/>
          <w:kern w:val="0"/>
          <w:sz w:val="24"/>
          <w:szCs w:val="24"/>
          <w:u w:val="none"/>
          <w:shd w:fill="auto" w:val="clear"/>
          <w:em w:val="none"/>
          <w:lang w:val="ru-RU" w:eastAsia="ru-RU" w:bidi="ar-SA"/>
        </w:rPr>
        <w:t xml:space="preserve"> заградительны</w:t>
      </w:r>
      <w:r>
        <w:rPr>
          <w:rFonts w:eastAsia="Times New Roman" w:cs="Times New Roman" w:ascii="Times New Roman;serif" w:hAnsi="Times New Roman;serif"/>
          <w:b/>
          <w:bCs/>
          <w:i w:val="false"/>
          <w:iCs w:val="false"/>
          <w:strike w:val="false"/>
          <w:dstrike w:val="false"/>
          <w:outline w:val="false"/>
          <w:shadow w:val="false"/>
          <w:color w:val="000000"/>
          <w:kern w:val="0"/>
          <w:sz w:val="24"/>
          <w:szCs w:val="24"/>
          <w:u w:val="none"/>
          <w:shd w:fill="auto" w:val="clear"/>
          <w:em w:val="none"/>
          <w:lang w:val="ru-RU" w:eastAsia="ru-RU" w:bidi="ar-SA"/>
        </w:rPr>
        <w:t>е</w:t>
      </w:r>
      <w:r>
        <w:rPr>
          <w:rFonts w:eastAsia="Times New Roman" w:cs="Times New Roman" w:ascii="Times New Roman;serif" w:hAnsi="Times New Roman;serif"/>
          <w:b/>
          <w:bCs/>
          <w:i w:val="false"/>
          <w:iCs w:val="false"/>
          <w:strike w:val="false"/>
          <w:dstrike w:val="false"/>
          <w:outline w:val="false"/>
          <w:shadow w:val="false"/>
          <w:color w:val="000000"/>
          <w:kern w:val="0"/>
          <w:sz w:val="24"/>
          <w:szCs w:val="24"/>
          <w:u w:val="none"/>
          <w:shd w:fill="auto" w:val="clear"/>
          <w:em w:val="none"/>
          <w:lang w:val="ru-RU" w:eastAsia="ru-RU" w:bidi="ar-SA"/>
        </w:rPr>
        <w:t xml:space="preserve"> и шнур</w:t>
      </w:r>
      <w:r>
        <w:rPr>
          <w:rFonts w:eastAsia="Times New Roman" w:cs="Times New Roman" w:ascii="Times New Roman;serif" w:hAnsi="Times New Roman;serif"/>
          <w:b/>
          <w:bCs/>
          <w:i w:val="false"/>
          <w:iCs w:val="false"/>
          <w:strike w:val="false"/>
          <w:dstrike w:val="false"/>
          <w:outline w:val="false"/>
          <w:shadow w:val="false"/>
          <w:color w:val="000000"/>
          <w:kern w:val="0"/>
          <w:sz w:val="24"/>
          <w:szCs w:val="24"/>
          <w:u w:val="none"/>
          <w:shd w:fill="auto" w:val="clear"/>
          <w:em w:val="none"/>
          <w:lang w:val="ru-RU" w:eastAsia="ru-RU" w:bidi="ar-SA"/>
        </w:rPr>
        <w:t>ы</w:t>
      </w:r>
      <w:r>
        <w:rPr>
          <w:bCs/>
          <w:sz w:val="24"/>
          <w:szCs w:val="24"/>
          <w:shd w:fill="auto" w:val="clear"/>
        </w:rPr>
        <w:t xml:space="preserve"> </w:t>
      </w:r>
      <w:r>
        <w:rPr>
          <w:bCs/>
          <w:sz w:val="24"/>
          <w:szCs w:val="24"/>
        </w:rPr>
        <w:t>(далее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филиала ПАО «РусГидро»-«Зейская ГЭС».</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Место поставки Товара: </w:t>
      </w:r>
      <w:r>
        <w:rPr>
          <w:bCs/>
          <w:sz w:val="24"/>
          <w:szCs w:val="24"/>
          <w:shd w:fill="auto" w:val="clear"/>
        </w:rPr>
        <w:t>676244, Амурская область, г. Зея, склад филиала ПАО «РусГидро»-«Зейская ГЭС»</w:t>
      </w:r>
      <w:r>
        <w:rPr>
          <w:sz w:val="24"/>
          <w:szCs w:val="24"/>
          <w:shd w:fill="auto" w:val="clear"/>
        </w:rPr>
        <w:t xml:space="preserve"> (далее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highlight w:val="none"/>
          <w:shd w:fill="auto" w:val="clear"/>
        </w:rPr>
      </w:pPr>
      <w:r>
        <w:rPr>
          <w:bCs/>
          <w:sz w:val="24"/>
          <w:szCs w:val="24"/>
          <w:shd w:fill="auto" w:val="clear"/>
        </w:rPr>
        <w:t>Срок поставки Товара: «</w:t>
      </w:r>
      <w:r>
        <w:rPr>
          <w:bCs/>
          <w:sz w:val="24"/>
          <w:szCs w:val="24"/>
          <w:shd w:fill="auto" w:val="clear"/>
        </w:rPr>
        <w:t>15</w:t>
      </w:r>
      <w:r>
        <w:rPr>
          <w:bCs/>
          <w:sz w:val="24"/>
          <w:szCs w:val="24"/>
          <w:shd w:fill="auto" w:val="clear"/>
        </w:rPr>
        <w:t xml:space="preserve">» </w:t>
      </w:r>
      <w:r>
        <w:rPr>
          <w:bCs/>
          <w:sz w:val="24"/>
          <w:szCs w:val="24"/>
          <w:shd w:fill="auto" w:val="clear"/>
        </w:rPr>
        <w:t>но</w:t>
      </w:r>
      <w:r>
        <w:rPr>
          <w:bCs/>
          <w:sz w:val="24"/>
          <w:szCs w:val="24"/>
          <w:shd w:fill="auto" w:val="clear"/>
        </w:rPr>
        <w:t>ября 202</w:t>
      </w:r>
      <w:r>
        <w:rPr>
          <w:bCs/>
          <w:sz w:val="24"/>
          <w:szCs w:val="24"/>
          <w:shd w:fill="auto" w:val="clear"/>
        </w:rPr>
        <w:t>6</w:t>
      </w:r>
      <w:r>
        <w:rPr>
          <w:bCs/>
          <w:sz w:val="24"/>
          <w:szCs w:val="24"/>
          <w:shd w:fill="auto" w:val="clear"/>
        </w:rPr>
        <w:t xml:space="preserve"> г.</w:t>
      </w:r>
    </w:p>
    <w:p>
      <w:pPr>
        <w:pStyle w:val="Normal"/>
        <w:shd w:val="clear" w:color="auto" w:fill="FFFFFF"/>
        <w:tabs>
          <w:tab w:val="clear" w:pos="709"/>
          <w:tab w:val="left" w:pos="540" w:leader="none"/>
        </w:tabs>
        <w:ind w:left="1134" w:hanging="0"/>
        <w:jc w:val="both"/>
        <w:rPr>
          <w:sz w:val="24"/>
          <w:szCs w:val="24"/>
          <w:highlight w:val="none"/>
          <w:shd w:fill="auto" w:val="clear"/>
        </w:rPr>
      </w:pPr>
      <w:r>
        <w:rPr>
          <w:sz w:val="24"/>
          <w:szCs w:val="24"/>
          <w:shd w:fill="auto" w:val="clear"/>
        </w:rPr>
      </w:r>
    </w:p>
    <w:p>
      <w:pPr>
        <w:pStyle w:val="Normal"/>
        <w:numPr>
          <w:ilvl w:val="0"/>
          <w:numId w:val="2"/>
        </w:numPr>
        <w:shd w:val="clear" w:color="auto" w:fill="FFFFFF"/>
        <w:tabs>
          <w:tab w:val="clear" w:pos="709"/>
          <w:tab w:val="left" w:pos="284" w:leader="none"/>
        </w:tabs>
        <w:ind w:left="0" w:hanging="0"/>
        <w:jc w:val="center"/>
        <w:rPr>
          <w:highlight w:val="none"/>
          <w:shd w:fill="auto" w:val="clear"/>
        </w:rPr>
      </w:pPr>
      <w:r>
        <w:rPr>
          <w:b/>
          <w:bCs/>
          <w:sz w:val="24"/>
          <w:szCs w:val="24"/>
          <w:shd w:fill="auto" w:val="clear"/>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shd w:fill="auto" w:val="clear"/>
        </w:rPr>
        <w:t xml:space="preserve">Цена Договора в соответствии со Спецификацией (Приложение № 1 к Договору) </w:t>
      </w:r>
      <w:r>
        <w:rPr>
          <w:bCs/>
          <w:sz w:val="24"/>
          <w:szCs w:val="24"/>
          <w:shd w:fill="auto" w:val="clear"/>
        </w:rPr>
        <w:t xml:space="preserve">является  твердой и составляет </w:t>
      </w:r>
      <w:r>
        <w:rPr>
          <w:sz w:val="24"/>
          <w:szCs w:val="24"/>
          <w:shd w:fill="auto" w:val="clear"/>
        </w:rPr>
        <w:t>_______</w:t>
      </w:r>
      <w:r>
        <w:rPr>
          <w:bCs/>
          <w:sz w:val="24"/>
          <w:szCs w:val="24"/>
          <w:shd w:fill="auto" w:val="clear"/>
        </w:rPr>
        <w:t xml:space="preserve"> (</w:t>
      </w:r>
      <w:r>
        <w:rPr>
          <w:sz w:val="24"/>
          <w:szCs w:val="24"/>
          <w:shd w:fill="auto" w:val="clear"/>
        </w:rPr>
        <w:t>__________________</w:t>
      </w:r>
      <w:r>
        <w:rPr>
          <w:bCs/>
          <w:sz w:val="24"/>
          <w:szCs w:val="24"/>
          <w:shd w:fill="auto" w:val="clear"/>
        </w:rPr>
        <w:t xml:space="preserve">) рублей </w:t>
      </w:r>
      <w:r>
        <w:rPr>
          <w:sz w:val="24"/>
          <w:szCs w:val="24"/>
          <w:shd w:fill="auto" w:val="clear"/>
        </w:rPr>
        <w:t>___</w:t>
      </w:r>
      <w:r>
        <w:rPr>
          <w:bCs/>
          <w:sz w:val="24"/>
          <w:szCs w:val="24"/>
          <w:shd w:fill="auto" w:val="clear"/>
        </w:rPr>
        <w:t xml:space="preserve"> </w:t>
      </w:r>
      <w:r>
        <w:rPr>
          <w:bCs/>
          <w:sz w:val="24"/>
          <w:szCs w:val="24"/>
        </w:rPr>
        <w:t>копеек без учета НДС, при этом НДС исчисляется дополнительно по ставке, установленной ст. 164 Налогового кодекса Российской Федерации.</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w:t>
        <w:br/>
        <w:t xml:space="preserve">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12"/>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w:t>
        <w:br/>
        <w:t xml:space="preserve">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w:t>
        <w:b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rPr>
      </w:pPr>
      <w:r>
        <w:rPr>
          <w:sz w:val="24"/>
        </w:rPr>
        <w:t>Авансовый платеж в размере 30 (тридцати) процентов от стоимости Товара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Товара, и с учетом пунктов 2.</w:t>
      </w:r>
      <w:r>
        <w:rPr>
          <w:sz w:val="24"/>
        </w:rPr>
        <w:t>4</w:t>
      </w:r>
      <w:r>
        <w:rPr>
          <w:sz w:val="24"/>
        </w:rPr>
        <w:t>.1, 2.</w:t>
      </w:r>
      <w:r>
        <w:rPr>
          <w:sz w:val="24"/>
        </w:rPr>
        <w:t>4</w:t>
      </w:r>
      <w:r>
        <w:rPr>
          <w:sz w:val="24"/>
        </w:rPr>
        <w:t>.4 Договора.</w:t>
      </w:r>
    </w:p>
    <w:p>
      <w:pPr>
        <w:pStyle w:val="ListParagraph"/>
        <w:numPr>
          <w:ilvl w:val="2"/>
          <w:numId w:val="2"/>
        </w:numPr>
        <w:tabs>
          <w:tab w:val="clear" w:pos="709"/>
        </w:tabs>
        <w:ind w:left="0" w:firstLine="709"/>
        <w:jc w:val="both"/>
        <w:rPr>
          <w:sz w:val="24"/>
        </w:rPr>
      </w:pPr>
      <w:r>
        <w:rPr>
          <w:sz w:val="24"/>
        </w:rPr>
        <w:t>Окончательный платеж в размере 70 (семидесяти) процентов от стоимости Товара</w:t>
      </w:r>
      <w:r>
        <w:rPr>
          <w:rStyle w:val="FootnoteReference"/>
          <w:sz w:val="24"/>
        </w:rPr>
        <w:footnoteReference w:id="2"/>
      </w:r>
      <w:r>
        <w:rPr>
          <w:sz w:val="24"/>
        </w:rPr>
        <w:t xml:space="preserve"> выплачивается Поставщику в течение </w:t>
      </w:r>
      <w:r>
        <w:rPr>
          <w:sz w:val="24"/>
          <w:shd w:fill="auto" w:val="clear"/>
        </w:rPr>
        <w:t>20 (двадцати) календарных дней</w:t>
      </w:r>
      <w:r>
        <w:rPr>
          <w:rStyle w:val="FootnoteReference"/>
          <w:sz w:val="24"/>
          <w:shd w:fill="auto" w:val="clear"/>
        </w:rPr>
        <w:footnoteReference w:id="3"/>
      </w:r>
      <w:r>
        <w:rPr>
          <w:sz w:val="24"/>
          <w:shd w:fill="auto" w:val="clear"/>
        </w:rPr>
        <w:t xml:space="preserve"> / 45 (сорока пяти) календарных дней</w:t>
      </w:r>
      <w:r>
        <w:rPr>
          <w:rStyle w:val="FootnoteReference"/>
          <w:sz w:val="24"/>
          <w:shd w:fill="auto" w:val="clear"/>
        </w:rPr>
        <w:footnoteReference w:id="4"/>
      </w:r>
      <w:r>
        <w:rPr>
          <w:sz w:val="24"/>
          <w:shd w:fill="auto" w:val="clear"/>
        </w:rPr>
        <w:t xml:space="preserve"> / 7 (семи) рабочих дней</w:t>
      </w:r>
      <w:r>
        <w:rPr>
          <w:rStyle w:val="FootnoteReference"/>
          <w:sz w:val="24"/>
          <w:shd w:fill="auto" w:val="clear"/>
        </w:rPr>
        <w:footnoteReference w:id="5"/>
      </w:r>
      <w:r>
        <w:rPr>
          <w:sz w:val="24"/>
        </w:rPr>
        <w:t xml:space="preserve"> с даты подписания Сторонами Накладной ТОРГ-12/УПД на основании счета, выставленного Поставщиком, и с учетом пункта 2.5.4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0"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w:t>
        <w:br/>
        <w:t xml:space="preserve">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t>
      </w:r>
      <w:bookmarkEnd w:id="0"/>
      <w:r>
        <w:rPr>
          <w:bCs/>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w:t>
        <w:br/>
        <w:t>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 w:val="left" w:pos="1276"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xml:space="preserve">, в том числе (включая, но не ограничиваясь), суммы неотработанного аванса по Договору, суммы неустоек (пени, штрафы) </w:t>
        <w:br/>
        <w:t>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Проектной </w:t>
      </w:r>
      <w:r>
        <w:rPr>
          <w:sz w:val="24"/>
          <w:szCs w:val="24"/>
        </w:rPr>
        <w:t>документации</w:t>
      </w:r>
      <w:r>
        <w:rPr>
          <w:bCs/>
          <w:sz w:val="24"/>
          <w:szCs w:val="24"/>
        </w:rPr>
        <w:t>, требованиям Договора и Покупателя,</w:t>
      </w:r>
      <w:r>
        <w:rPr>
          <w:b/>
          <w:bCs/>
          <w:sz w:val="24"/>
          <w:szCs w:val="24"/>
        </w:rPr>
        <w:t xml:space="preserve"> </w:t>
      </w:r>
      <w:r>
        <w:rPr>
          <w:bCs/>
          <w:sz w:val="24"/>
          <w:szCs w:val="24"/>
        </w:rPr>
        <w:t xml:space="preserve">в том числе указанным в Спецификации (Приложение № 1 к Договору), </w:t>
        <w:br/>
        <w:t>а также Применимого права.</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Поставляемый</w:t>
      </w:r>
      <w:r>
        <w:rPr>
          <w:bCs/>
          <w:sz w:val="24"/>
          <w:szCs w:val="24"/>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w:t>
        <w:br/>
        <w:t>и не обременен правами третьих лиц.</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Одновременно</w:t>
      </w:r>
      <w:r>
        <w:rPr>
          <w:bCs/>
          <w:sz w:val="24"/>
          <w:szCs w:val="24"/>
        </w:rPr>
        <w:t xml:space="preserve">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сертификат качества в </w:t>
      </w:r>
      <w:r>
        <w:rPr>
          <w:sz w:val="24"/>
          <w:szCs w:val="24"/>
          <w:shd w:fill="auto" w:val="clear"/>
        </w:rPr>
        <w:t>__(____) экз.;</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
        <w:t>технический паспорт на русском языке в __(____) экз.;</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
        <w:t>инструкция по эксплуатации на русском языке в __(____) экз.;</w:t>
      </w:r>
    </w:p>
    <w:p>
      <w:pPr>
        <w:pStyle w:val="Normal"/>
        <w:numPr>
          <w:ilvl w:val="0"/>
          <w:numId w:val="4"/>
        </w:numPr>
        <w:tabs>
          <w:tab w:val="clear" w:pos="709"/>
          <w:tab w:val="left" w:pos="1418" w:leader="none"/>
        </w:tabs>
        <w:ind w:left="0" w:firstLine="709"/>
        <w:jc w:val="both"/>
        <w:rPr>
          <w:sz w:val="24"/>
          <w:szCs w:val="24"/>
        </w:rPr>
      </w:pPr>
      <w:r>
        <w:rPr>
          <w:sz w:val="24"/>
          <w:szCs w:val="24"/>
          <w:shd w:fill="auto" w:val="clear"/>
        </w:rPr>
        <w:t>упаковочный лист в __(____) э</w:t>
      </w:r>
      <w:r>
        <w:rPr>
          <w:sz w:val="24"/>
          <w:szCs w:val="24"/>
        </w:rPr>
        <w:t>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tabs>
          <w:tab w:val="clear" w:pos="709"/>
          <w:tab w:val="left" w:pos="1418" w:leader="none"/>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Накладная ТОРГ-12/УПД в </w:t>
      </w:r>
      <w:r>
        <w:rPr>
          <w:sz w:val="24"/>
          <w:szCs w:val="24"/>
          <w:shd w:fill="auto" w:val="clear"/>
        </w:rPr>
        <w:t>__(____) э</w:t>
      </w:r>
      <w:r>
        <w:rPr>
          <w:sz w:val="24"/>
          <w:szCs w:val="24"/>
        </w:rPr>
        <w:t>кз.</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w:t>
      </w:r>
      <w:r>
        <w:rPr>
          <w:sz w:val="24"/>
          <w:szCs w:val="24"/>
        </w:rPr>
        <w:t>своего</w:t>
      </w:r>
      <w:r>
        <w:rPr>
          <w:bCs/>
          <w:sz w:val="24"/>
          <w:szCs w:val="24"/>
        </w:rPr>
        <w:t xml:space="preserve"> представителя, уполномоченного надлежащим образом оформленной доверенностью на передачу Товара Покупателю, подписание Акта рекламации. </w:t>
        <w:br/>
        <w:t xml:space="preserve">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w:t>
        <w:br/>
        <w:t xml:space="preserve">по Договору. Стороны будут рассматривать неявку представителя Поставщика </w:t>
        <w:br/>
        <w:t xml:space="preserve">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w:t>
      </w:r>
      <w:r>
        <w:rPr>
          <w:sz w:val="24"/>
          <w:szCs w:val="24"/>
        </w:rPr>
        <w:t>случае</w:t>
      </w:r>
      <w:r>
        <w:rPr>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w:t>
        <w:b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bookmarkStart w:id="1" w:name="_Ref361408474"/>
      <w:r>
        <w:rPr>
          <w:sz w:val="24"/>
          <w:szCs w:val="24"/>
        </w:rPr>
        <w:t>Товар</w:t>
      </w:r>
      <w:r>
        <w:rPr>
          <w:bCs/>
          <w:sz w:val="24"/>
          <w:szCs w:val="24"/>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w:t>
        <w:br/>
        <w:t xml:space="preserve">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Погрузка, доставка, разгрузка </w:t>
      </w:r>
      <w:r>
        <w:rPr>
          <w:bCs/>
          <w:sz w:val="24"/>
          <w:szCs w:val="24"/>
        </w:rPr>
        <w:t>осуществляется</w:t>
      </w:r>
      <w:r>
        <w:rPr>
          <w:sz w:val="24"/>
          <w:szCs w:val="24"/>
        </w:rPr>
        <w:t xml:space="preserve"> Поставщиком. Стоимость погрузки, доставки, разгрузки включена в стоимость Товара.</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bookmarkStart w:id="2" w:name="_Ref361396594"/>
      <w:r>
        <w:rPr>
          <w:sz w:val="24"/>
          <w:szCs w:val="24"/>
        </w:rPr>
        <w:t xml:space="preserve">Датой поставки Товара является дата подписания Сторонами Накладной </w:t>
        <w:br/>
        <w:t>ТОРГ-12/УПД.</w:t>
      </w:r>
      <w:bookmarkEnd w:id="2"/>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15</w:t>
      </w:r>
      <w:r>
        <w:rPr>
          <w:sz w:val="24"/>
          <w:szCs w:val="24"/>
          <w:shd w:fill="auto" w:val="clear"/>
        </w:rPr>
        <w:t xml:space="preserve"> (пятнадцати)</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w:t>
        <w:br/>
        <w:t xml:space="preserve">а также восполнить недопоставку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со вскрытием тары и упаковки производится Покупателем </w:t>
        <w:br/>
        <w:t xml:space="preserve">в присутствии представителя Поставщика в течение </w:t>
      </w:r>
      <w:r>
        <w:rPr>
          <w:sz w:val="24"/>
          <w:szCs w:val="24"/>
          <w:shd w:fill="auto" w:val="clear"/>
        </w:rPr>
        <w:t>15 (пятнадцати)</w:t>
      </w:r>
      <w:r>
        <w:rPr>
          <w:sz w:val="24"/>
          <w:szCs w:val="24"/>
        </w:rPr>
        <w:t xml:space="preserve"> рабочих дней </w:t>
        <w:br/>
        <w:t>с даты подписания Покупателем транспортных документов. В случае отсутствия замечаний Покупатель подписывает Накладную ТОРГ-12/УПД.</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w:t>
        <w:br/>
        <w:t>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Покупатель вправе не производить любые платежи, предусмотренные Договором, </w:t>
        <w:br/>
        <w:t xml:space="preserve">до исполнения Поставщиком своих обязательств по Договору, при этом Покупатель </w:t>
        <w:br/>
        <w:t>не считается просрочившим.</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w:t>
        <w:br/>
        <w:t>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 xml:space="preserve">Если Поставщик не вывезет Товар в указанный срок, Покупатель вправе самостоятельно возвратить Товар Поставщику. Расходы, понесенные Покупателем в связи </w:t>
        <w:br/>
        <w:t>с возвратом Товара, подлежат возмещению Поставщиком.</w:t>
      </w:r>
    </w:p>
    <w:p>
      <w:pPr>
        <w:pStyle w:val="ListParagraph"/>
        <w:widowControl/>
        <w:numPr>
          <w:ilvl w:val="1"/>
          <w:numId w:val="2"/>
        </w:numPr>
        <w:shd w:val="clear" w:color="auto" w:fill="FFFFFF"/>
        <w:tabs>
          <w:tab w:val="clear" w:pos="709"/>
          <w:tab w:val="left" w:pos="1276" w:leader="none"/>
        </w:tabs>
        <w:ind w:left="0" w:firstLine="709"/>
        <w:jc w:val="both"/>
        <w:rPr>
          <w:b/>
          <w:color w:val="000000"/>
          <w:sz w:val="24"/>
          <w:szCs w:val="24"/>
        </w:rPr>
      </w:pPr>
      <w:r>
        <w:rPr>
          <w:sz w:val="24"/>
          <w:szCs w:val="24"/>
        </w:rPr>
        <w:t xml:space="preserve">По иным вопросам, касающимся приемки Товара по количеству, качеству </w:t>
        <w:br/>
        <w:t xml:space="preserve">и комплектности в части, не противоречащей законодательству Российской Федерации </w:t>
        <w:br/>
        <w:t>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jc w:val="both"/>
        <w:rPr>
          <w:sz w:val="24"/>
          <w:szCs w:val="24"/>
        </w:rPr>
      </w:pPr>
      <w:r>
        <w:rPr>
          <w:sz w:val="24"/>
          <w:szCs w:val="24"/>
        </w:rPr>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w:t>
      </w:r>
      <w:r>
        <w:rPr>
          <w:sz w:val="24"/>
          <w:szCs w:val="24"/>
          <w:shd w:fill="auto" w:val="clear"/>
        </w:rPr>
        <w:t>____ (______) месяцев и начинает течь с даты подписания Сторонами Накладной ТОРГ-12/У</w:t>
      </w:r>
      <w:r>
        <w:rPr>
          <w:sz w:val="24"/>
          <w:szCs w:val="24"/>
        </w:rPr>
        <w:t>ПД.</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w:t>
        <w:br/>
        <w:t xml:space="preserve">к Товару, и Применимого права, возможность эксплуатации (использования) Товара </w:t>
        <w:br/>
        <w:t xml:space="preserve">в соответствии с его целевым назначением, а также несет безусловную ответственность </w:t>
        <w:br/>
        <w:t xml:space="preserve">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w:t>
        <w:br/>
        <w:t xml:space="preserve">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w:t>
        <w:br/>
        <w:t>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6"/>
      <w:bookmarkStart w:id="5" w:name="OLE_LINK5"/>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w:t>
        <w:br/>
        <w:t xml:space="preserve">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предоставить Покупателю копию(-и) заключения(-ий) </w:t>
        <w:br/>
        <w:t xml:space="preserve">о подтверждении производства Товара на территории Российской Федерации, </w:t>
        <w:br/>
        <w:t>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не позднее 6 (шести) месяцев после окончания установленного Договором срока поставки Товара</w:t>
      </w:r>
      <w:r>
        <w:rPr>
          <w:rStyle w:val="FootnoteReference"/>
          <w:sz w:val="24"/>
          <w:szCs w:val="24"/>
        </w:rPr>
        <w:footnoteReference w:id="6"/>
      </w:r>
      <w:r>
        <w:rPr>
          <w:sz w:val="24"/>
          <w:szCs w:val="24"/>
        </w:rPr>
        <w:t>.</w:t>
      </w:r>
    </w:p>
    <w:p>
      <w:pPr>
        <w:pStyle w:val="Normal"/>
        <w:shd w:val="clear" w:color="auto" w:fill="FFFFFF"/>
        <w:tabs>
          <w:tab w:val="clear" w:pos="709"/>
          <w:tab w:val="left" w:pos="1190" w:leader="none"/>
        </w:tabs>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Банковские гарантии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w:t>
        <w:br/>
        <w:t xml:space="preserve">100 (ста)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нарушения Поставщиком срока</w:t>
      </w:r>
      <w:r>
        <w:rPr>
          <w:sz w:val="24"/>
          <w:szCs w:val="24"/>
        </w:rPr>
        <w:t xml:space="preserve"> </w:t>
      </w:r>
      <w:r>
        <w:rPr>
          <w:bCs/>
          <w:sz w:val="24"/>
          <w:szCs w:val="24"/>
        </w:rPr>
        <w:t>поставки Товара, установленного пунктом 1.4 Договора более, чем на 60 (шестьдесят) календарных дней;</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w:t>
        <w:br/>
        <w:t>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9"/>
          <w:tab w:val="left" w:pos="1418" w:leader="none"/>
          <w:tab w:val="left" w:pos="1855" w:leader="none"/>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numPr>
          <w:ilvl w:val="0"/>
          <w:numId w:val="0"/>
        </w:numPr>
        <w:shd w:val="clear" w:color="auto" w:fill="FFFFFF"/>
        <w:tabs>
          <w:tab w:val="clear" w:pos="709"/>
          <w:tab w:val="left" w:pos="1418" w:leader="none"/>
        </w:tabs>
        <w:suppressAutoHyphens w:val="true"/>
        <w:bidi w:val="0"/>
        <w:spacing w:lineRule="auto" w:line="240" w:before="0" w:after="0"/>
        <w:ind w:left="0" w:firstLine="709"/>
        <w:contextualSpacing/>
        <w:jc w:val="both"/>
        <w:rPr>
          <w:bCs/>
        </w:rPr>
      </w:pPr>
      <w:r>
        <w:rPr>
          <w:rFonts w:eastAsia="Times New Roman" w:cs="Times New Roman"/>
          <w:bCs/>
          <w:color w:val="000000"/>
          <w:kern w:val="0"/>
          <w:sz w:val="24"/>
          <w:szCs w:val="24"/>
          <w:shd w:fill="auto" w:val="clear"/>
          <w:lang w:val="ru-RU" w:eastAsia="ru-RU" w:bidi="ar-SA"/>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before="0" w:after="0"/>
        <w:ind w:firstLine="709"/>
        <w:jc w:val="both"/>
        <w:rPr>
          <w:rFonts w:ascii="Times New Roman" w:hAnsi="Times New Roman" w:eastAsia="Times New Roman" w:cs="Times New Roman"/>
          <w:bCs/>
          <w:color w:val="auto"/>
          <w:kern w:val="0"/>
          <w:sz w:val="24"/>
          <w:szCs w:val="24"/>
          <w:highlight w:val="none"/>
          <w:shd w:fill="FFFF00" w:val="clear"/>
          <w:lang w:val="ru-RU" w:eastAsia="ru-RU" w:bidi="ar-SA"/>
        </w:rPr>
      </w:pPr>
      <w:r>
        <w:rPr>
          <w:rFonts w:eastAsia="Times New Roman" w:cs="Times New Roman"/>
          <w:bCs/>
          <w:color w:val="000000"/>
          <w:kern w:val="0"/>
          <w:sz w:val="24"/>
          <w:szCs w:val="24"/>
          <w:shd w:fill="auto" w:val="clear"/>
          <w:lang w:val="ru-RU" w:eastAsia="ru-RU" w:bidi="ar-SA"/>
        </w:rPr>
        <w:t xml:space="preserve">Выбор формы направления такого требования осуществляется Бенефициаром самостоятельно. </w:t>
      </w: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Товара.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Банковские гарантии, предусмотренные настоящим разделом Договора, предоставляются (по выбору Заказчика): </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оригинале на бумажном носителе.</w:t>
      </w:r>
    </w:p>
    <w:p>
      <w:pPr>
        <w:pStyle w:val="Normal"/>
        <w:widowControl/>
        <w:numPr>
          <w:ilvl w:val="1"/>
          <w:numId w:val="2"/>
        </w:numPr>
        <w:tabs>
          <w:tab w:val="clear" w:pos="709"/>
          <w:tab w:val="left" w:pos="0" w:leader="none"/>
          <w:tab w:val="left" w:pos="1134" w:leader="none"/>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3 к Договору.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7"/>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Положения пункта 2.5.1 Договора применяются, если совокупный размер авансовых платежей, уплаченных и подлежащих уплате по Договору в соответствии </w:t>
        <w:br/>
        <w:t xml:space="preserve">с выставленными счетами Поставщика составляет 5 000 000 (Пять миллионов) рублей </w:t>
        <w:br/>
        <w:t xml:space="preserve">и более без учета НДС. </w:t>
      </w:r>
    </w:p>
    <w:p>
      <w:pPr>
        <w:pStyle w:val="ListParagraph"/>
        <w:widowControl/>
        <w:numPr>
          <w:ilvl w:val="1"/>
          <w:numId w:val="2"/>
        </w:numPr>
        <w:shd w:val="clear" w:color="auto" w:fill="FFFFFF"/>
        <w:tabs>
          <w:tab w:val="clear" w:pos="709"/>
          <w:tab w:val="left" w:pos="1134" w:leader="none"/>
          <w:tab w:val="left" w:pos="1985" w:leader="none"/>
        </w:tabs>
        <w:ind w:left="0" w:firstLine="709"/>
        <w:jc w:val="both"/>
        <w:rPr>
          <w:highlight w:val="none"/>
          <w:shd w:fill="auto" w:val="clear"/>
        </w:rPr>
      </w:pPr>
      <w:r>
        <w:rPr>
          <w:sz w:val="24"/>
          <w:szCs w:val="24"/>
          <w:shd w:fill="auto" w:val="clear"/>
        </w:rPr>
        <w:t xml:space="preserve">Стороны вправе изменить способы и порядок обеспечения обязательств </w:t>
        <w:br/>
        <w:t>по Договору, указанные в настоящем разделе, путем подписания дополнительного соглашения к Договору</w:t>
      </w:r>
      <w:r>
        <w:rPr>
          <w:rStyle w:val="FootnoteReference"/>
          <w:sz w:val="24"/>
          <w:szCs w:val="24"/>
          <w:shd w:fill="auto" w:val="clear"/>
        </w:rPr>
        <w:footnoteReference w:id="8"/>
      </w:r>
      <w:r>
        <w:rPr>
          <w:sz w:val="24"/>
          <w:szCs w:val="24"/>
          <w:shd w:fill="auto" w:val="clear"/>
        </w:rPr>
        <w:t>.</w:t>
      </w:r>
    </w:p>
    <w:p>
      <w:pPr>
        <w:pStyle w:val="ListParagraph"/>
        <w:widowControl/>
        <w:numPr>
          <w:ilvl w:val="1"/>
          <w:numId w:val="2"/>
        </w:numPr>
        <w:shd w:val="clear" w:color="auto" w:fill="FFFFFF"/>
        <w:tabs>
          <w:tab w:val="clear" w:pos="709"/>
        </w:tabs>
        <w:ind w:left="0" w:firstLine="709"/>
        <w:jc w:val="both"/>
        <w:rPr>
          <w:bCs/>
          <w:sz w:val="24"/>
          <w:szCs w:val="24"/>
        </w:rPr>
      </w:pPr>
      <w:r>
        <w:rPr>
          <w:sz w:val="24"/>
        </w:rPr>
        <w:t xml:space="preserve">Принадлежащее Покупателю по Банковской гарантии право требования </w:t>
        <w:br/>
        <w:t>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shd w:val="clear" w:color="auto" w:fill="FFFFFF"/>
        <w:tabs>
          <w:tab w:val="clear" w:pos="709"/>
          <w:tab w:val="left" w:pos="0" w:leader="none"/>
          <w:tab w:val="left" w:pos="1134" w:leader="none"/>
        </w:tabs>
        <w:ind w:left="1419" w:hanging="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w:t>
        <w:br/>
        <w:t xml:space="preserve">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w:t>
      </w:r>
    </w:p>
    <w:p>
      <w:pPr>
        <w:pStyle w:val="Normal"/>
        <w:widowControl/>
        <w:numPr>
          <w:ilvl w:val="1"/>
          <w:numId w:val="2"/>
        </w:numPr>
        <w:tabs>
          <w:tab w:val="clear" w:pos="709"/>
          <w:tab w:val="left" w:pos="1276" w:leader="none"/>
        </w:tabs>
        <w:ind w:left="0" w:firstLine="709"/>
        <w:jc w:val="both"/>
        <w:rPr>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pPr>
        <w:pStyle w:val="ListParagraph"/>
        <w:widowControl/>
        <w:numPr>
          <w:ilvl w:val="1"/>
          <w:numId w:val="15"/>
        </w:numPr>
        <w:tabs>
          <w:tab w:val="clear" w:pos="709"/>
          <w:tab w:val="left" w:pos="1276" w:leader="none"/>
        </w:tabs>
        <w:ind w:left="0" w:firstLine="709"/>
        <w:jc w:val="both"/>
        <w:rPr>
          <w:sz w:val="24"/>
          <w:szCs w:val="24"/>
        </w:rPr>
      </w:pPr>
      <w:r>
        <w:rPr>
          <w:sz w:val="24"/>
          <w:szCs w:val="24"/>
        </w:rPr>
        <w:t>В случае несвоевременного устранения Поставщиком выявленных недостатков Товара, Покупатель вправе требовать уплаты Поставщиком:</w:t>
      </w:r>
    </w:p>
    <w:p>
      <w:pPr>
        <w:pStyle w:val="ListParagraph"/>
        <w:widowControl/>
        <w:numPr>
          <w:ilvl w:val="2"/>
          <w:numId w:val="15"/>
        </w:numPr>
        <w:ind w:left="0" w:firstLine="709"/>
        <w:jc w:val="both"/>
        <w:rPr>
          <w:sz w:val="24"/>
          <w:szCs w:val="24"/>
        </w:rPr>
      </w:pPr>
      <w:r>
        <w:rPr>
          <w:sz w:val="24"/>
          <w:szCs w:val="24"/>
        </w:rPr>
        <w:t xml:space="preserve">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br/>
        <w:t>в целом.</w:t>
      </w:r>
    </w:p>
    <w:p>
      <w:pPr>
        <w:pStyle w:val="ListParagraph"/>
        <w:widowControl/>
        <w:numPr>
          <w:ilvl w:val="2"/>
          <w:numId w:val="15"/>
        </w:numPr>
        <w:ind w:left="0" w:firstLine="709"/>
        <w:jc w:val="both"/>
        <w:rPr>
          <w:sz w:val="24"/>
          <w:szCs w:val="24"/>
        </w:rPr>
      </w:pPr>
      <w:r>
        <w:rPr>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numPr>
          <w:ilvl w:val="1"/>
          <w:numId w:val="15"/>
        </w:numPr>
        <w:tabs>
          <w:tab w:val="clear" w:pos="709"/>
          <w:tab w:val="left" w:pos="1276" w:leader="none"/>
          <w:tab w:val="left" w:pos="1701" w:leader="none"/>
        </w:tabs>
        <w:ind w:left="0" w:firstLine="709"/>
        <w:jc w:val="both"/>
        <w:rPr>
          <w:sz w:val="24"/>
          <w:szCs w:val="24"/>
        </w:rPr>
      </w:pPr>
      <w:r>
        <w:rPr>
          <w:rFonts w:eastAsia="Calibri"/>
          <w:bCs/>
          <w:sz w:val="24"/>
          <w:szCs w:val="24"/>
        </w:rPr>
        <w:t xml:space="preserve">На сумму подлежащего возврату аванса начисляется неустойка в размере </w:t>
        <w:br/>
        <w:t>0,1 (ноль целых и одной десятой) процента с даты, установленной для возврата аванса</w:t>
      </w:r>
      <w:r>
        <w:rPr>
          <w:sz w:val="24"/>
          <w:szCs w:val="24"/>
        </w:rPr>
        <w:t>.</w:t>
      </w:r>
    </w:p>
    <w:p>
      <w:pPr>
        <w:pStyle w:val="ListParagraph"/>
        <w:widowControl/>
        <w:numPr>
          <w:ilvl w:val="1"/>
          <w:numId w:val="15"/>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w:t>
        <w:br/>
        <w:t xml:space="preserve">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pPr>
        <w:pStyle w:val="ListParagraph"/>
        <w:widowControl/>
        <w:numPr>
          <w:ilvl w:val="1"/>
          <w:numId w:val="15"/>
        </w:numPr>
        <w:shd w:val="clear" w:color="auto" w:fill="FFFFFF"/>
        <w:tabs>
          <w:tab w:val="clear" w:pos="709"/>
          <w:tab w:val="left" w:pos="1276" w:leader="none"/>
        </w:tabs>
        <w:ind w:left="0" w:firstLine="709"/>
        <w:jc w:val="both"/>
        <w:rPr>
          <w:bCs/>
          <w:sz w:val="24"/>
          <w:szCs w:val="24"/>
        </w:rPr>
      </w:pPr>
      <w:r>
        <w:rPr>
          <w:bCs/>
          <w:sz w:val="24"/>
          <w:szCs w:val="24"/>
        </w:rPr>
        <w:t>Если в результате составления и выставления Поставщиком счетов-фактур/УПД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15"/>
        </w:numPr>
        <w:shd w:val="clear" w:color="auto" w:fill="FFFFFF"/>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трех сотых) процента от Цены Договора за каждый день просрочки.</w:t>
      </w:r>
    </w:p>
    <w:p>
      <w:pPr>
        <w:pStyle w:val="ListParagraph"/>
        <w:widowControl/>
        <w:numPr>
          <w:ilvl w:val="1"/>
          <w:numId w:val="15"/>
        </w:numPr>
        <w:shd w:val="clear" w:color="auto" w:fill="FFFFFF"/>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15"/>
        </w:numPr>
        <w:shd w:val="clear" w:color="auto" w:fill="FFFFFF"/>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5"/>
        </w:numPr>
        <w:shd w:val="clear" w:color="auto" w:fill="FFFFFF"/>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15"/>
        </w:numPr>
        <w:shd w:val="clear" w:color="auto" w:fill="FFFFFF"/>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15"/>
        </w:numPr>
        <w:shd w:val="clear" w:color="auto" w:fill="FFFFFF"/>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numPr>
          <w:ilvl w:val="1"/>
          <w:numId w:val="15"/>
        </w:numPr>
        <w:shd w:val="clear" w:color="auto" w:fill="FFFFFF"/>
        <w:ind w:left="0" w:firstLine="709"/>
        <w:jc w:val="both"/>
        <w:rPr>
          <w:bCs/>
          <w:sz w:val="24"/>
          <w:szCs w:val="24"/>
        </w:rPr>
      </w:pPr>
      <w:r>
        <w:rPr>
          <w:bCs/>
          <w:sz w:val="24"/>
          <w:szCs w:val="24"/>
        </w:rPr>
        <w:t xml:space="preserve">В случае нарушения Поставщиком срока предоставления документов, установленного пунктом 4.8 Договора (если такое нарушение привело к невыполнению Покупателем требований по локализации оборудования, установленных законодательством Российской Федерации к оборудованию, эксплуатируемому по итогам модернизации (реконструкции) или строительства генерирующих объектов тепловых электростанций </w:t>
        <w:br/>
        <w:t>в неценовых зонах оптового рынка), Покупатель вправе требовать уплаты Поставщиком  штрафа в размере 10 (десяти) процентов от стоимости Товара. Покупатель вправе удержать сумму такого штрафа из любого платежа, причитающегося Поставщику по Договору</w:t>
      </w:r>
      <w:r>
        <w:rPr>
          <w:rStyle w:val="FootnoteReference"/>
          <w:bCs/>
          <w:sz w:val="24"/>
          <w:szCs w:val="24"/>
        </w:rPr>
        <w:footnoteReference w:id="9"/>
      </w:r>
      <w:r>
        <w:rPr>
          <w:bCs/>
          <w:sz w:val="24"/>
          <w:szCs w:val="24"/>
        </w:rPr>
        <w:t>.</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36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w:t>
        <w:br/>
        <w:t>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9"/>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sz w:val="24"/>
          <w:szCs w:val="24"/>
          <w:shd w:fill="auto" w:val="clear"/>
        </w:rPr>
        <w:t xml:space="preserve">Амурской области </w:t>
      </w:r>
      <w:r>
        <w:rPr>
          <w:bCs/>
          <w:sz w:val="24"/>
          <w:szCs w:val="24"/>
        </w:rPr>
        <w:t xml:space="preserve">в соответствии с законодательством Российской Федерации, </w:t>
        <w:br/>
        <w:t>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shd w:fill="auto" w:val="clear"/>
        </w:rPr>
        <w:t>14.8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w:t>
        <w:br/>
        <w:t>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w:t>
        <w:br/>
        <w:t>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9.3. В случае возникновения у любой Стороны обоснованных предположений, что </w:t>
        <w:br/>
        <w:t xml:space="preserve">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w:t>
        <w:br/>
        <w:t>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w:t>
        <w:br/>
        <w:t>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br/>
        <w:t xml:space="preserve">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w:t>
        <w:br/>
        <w:t xml:space="preserve">не позднее 5 (пяти)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Линии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 xml:space="preserve">9.7.2. Специальная форма «обратной связи», размещенная на официальном сайте </w:t>
        <w:br/>
        <w:t>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Надлежащим (достаточным) доказательством наличия / возникновения </w:t>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w:t>
        <w:br/>
        <w:t>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spacing w:lineRule="auto" w:line="259" w:before="0" w:after="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w:t>
        <w:br/>
        <w:t xml:space="preserve">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w:t>
        <w:br/>
        <w:t>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Покупатель вправе приостановить осуществление любых платежей </w:t>
        <w:br/>
        <w:t>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36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 xml:space="preserve">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w:t>
        <w:br/>
        <w:t>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письменному требованию Покупателя уплатить последнему штраф </w:t>
        <w:br/>
        <w:t>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shd w:fill="auto" w:val="clear"/>
        </w:rPr>
        <w:t>14.8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w:t>
        <w:br/>
        <w:t xml:space="preserve">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w:t>
        <w:br/>
        <w:t>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нарушение Поставщиком общего срока поставки Товара по Договору, а также промежуточных сроков поставки Товара, установленных Договором, более чем </w:t>
        <w:br/>
        <w:t>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w:t>
        <w:br/>
        <w:t xml:space="preserve">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sz w:val="24"/>
          <w:szCs w:val="24"/>
          <w:shd w:fill="auto" w:val="clear"/>
        </w:rPr>
        <w:t xml:space="preserve">В соответствии с пунктом 2 статьи 425 ГК РФ, условия Договора применяются к отношениям Сторон, возникшим </w:t>
        <w:br/>
        <w:t>с __________.</w:t>
      </w:r>
    </w:p>
    <w:p>
      <w:pPr>
        <w:pStyle w:val="Normal"/>
        <w:widowControl/>
        <w:numPr>
          <w:ilvl w:val="1"/>
          <w:numId w:val="2"/>
        </w:numPr>
        <w:tabs>
          <w:tab w:val="clear" w:pos="709"/>
          <w:tab w:val="left" w:pos="142" w:leader="none"/>
          <w:tab w:val="left" w:pos="1418" w:leader="none"/>
        </w:tabs>
        <w:snapToGrid w:val="false"/>
        <w:ind w:left="0" w:firstLine="709"/>
        <w:jc w:val="both"/>
        <w:rPr>
          <w:highlight w:val="none"/>
          <w:shd w:fill="auto" w:val="clear"/>
        </w:rPr>
      </w:pPr>
      <w:r>
        <w:rPr>
          <w:sz w:val="24"/>
          <w:szCs w:val="24"/>
          <w:shd w:fill="auto" w:val="clear"/>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highlight w:val="none"/>
          <w:shd w:fill="auto" w:val="clear"/>
        </w:rPr>
      </w:pPr>
      <w:r>
        <w:rPr>
          <w:sz w:val="24"/>
          <w:szCs w:val="24"/>
          <w:shd w:fill="auto" w:val="clea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shd w:fill="auto" w:val="clear"/>
          <w:lang w:eastAsia="en-US"/>
        </w:rPr>
        <w:footnoteReference w:id="10"/>
      </w:r>
      <w:r>
        <w:rPr>
          <w:sz w:val="24"/>
          <w:szCs w:val="24"/>
          <w:shd w:fill="auto" w:val="clear"/>
          <w:lang w:eastAsia="en-US"/>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shd w:fill="auto" w:val="clear"/>
        </w:rPr>
        <w:t>14.7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shd w:fill="auto" w:val="clear"/>
        </w:rPr>
        <w:t>14.8</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9" w:name="_Ref361338004"/>
      <w:r>
        <w:rPr>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sz w:val="24"/>
          <w:szCs w:val="24"/>
          <w:shd w:fill="auto" w:val="clear"/>
        </w:rPr>
        <w:t>14.8</w:t>
      </w:r>
      <w:r>
        <w:rPr>
          <w:sz w:val="24"/>
          <w:szCs w:val="24"/>
        </w:rPr>
        <w:t xml:space="preserve"> Договора.</w:t>
      </w:r>
      <w:bookmarkEnd w:id="9"/>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shd w:fill="auto" w:val="clear"/>
        </w:rPr>
        <w:t>14.8.1 – 14.8.2</w:t>
      </w:r>
      <w:r>
        <w:rPr>
          <w:bCs/>
          <w:sz w:val="24"/>
          <w:szCs w:val="24"/>
        </w:rPr>
        <w:t xml:space="preserve"> Договора. </w:t>
      </w:r>
    </w:p>
    <w:p>
      <w:pPr>
        <w:pStyle w:val="Normal"/>
        <w:widowControl/>
        <w:numPr>
          <w:ilvl w:val="1"/>
          <w:numId w:val="2"/>
        </w:numPr>
        <w:tabs>
          <w:tab w:val="clear" w:pos="709"/>
          <w:tab w:val="left" w:pos="0" w:leader="none"/>
          <w:tab w:val="left" w:pos="1418" w:leader="none"/>
          <w:tab w:val="left" w:pos="1985"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 w:val="left" w:pos="1985"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11"/>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2"/>
      </w:r>
      <w:r>
        <w:rPr>
          <w:sz w:val="24"/>
          <w:szCs w:val="24"/>
          <w:highlight w:val="lightGray"/>
        </w:rPr>
        <w:t>.</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bookmarkStart w:id="10"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rPr>
      </w:pPr>
      <w:r>
        <w:rPr>
          <w:sz w:val="24"/>
          <w:szCs w:val="24"/>
          <w:lang w:eastAsia="x-none"/>
        </w:rPr>
        <w:t>Приложение № 3 –</w:t>
      </w:r>
      <w:r>
        <w:rPr>
          <w:rFonts w:eastAsia="Calibri"/>
          <w:sz w:val="24"/>
          <w:szCs w:val="24"/>
          <w:lang w:eastAsia="en-US"/>
        </w:rPr>
        <w:t xml:space="preserve"> Критерии отбора Банков-Гарантов.</w:t>
      </w:r>
      <w:bookmarkEnd w:id="10"/>
    </w:p>
    <w:p>
      <w:pPr>
        <w:pStyle w:val="Normal"/>
        <w:ind w:firstLine="709"/>
        <w:jc w:val="both"/>
        <w:rPr>
          <w:bCs/>
          <w:sz w:val="24"/>
          <w:szCs w:val="24"/>
        </w:rPr>
      </w:pPr>
      <w:r>
        <w:rPr>
          <w:bCs/>
          <w:sz w:val="24"/>
          <w:szCs w:val="24"/>
        </w:rPr>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w:t>
        <w:br/>
        <w:t>и внутриобъектового режима, требований охраны труда, пожарной и промышленной безопасности.</w:t>
      </w:r>
    </w:p>
    <w:p>
      <w:pPr>
        <w:pStyle w:val="ListParagraph"/>
        <w:widowControl/>
        <w:numPr>
          <w:ilvl w:val="0"/>
          <w:numId w:val="2"/>
        </w:numPr>
        <w:shd w:val="clear" w:color="auto" w:fill="FFFFFF"/>
        <w:tabs>
          <w:tab w:val="clear" w:pos="709"/>
          <w:tab w:val="left" w:pos="426" w:leader="none"/>
        </w:tabs>
        <w:ind w:left="0" w:hanging="36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76"/>
        <w:gridCol w:w="152"/>
        <w:gridCol w:w="4634"/>
        <w:gridCol w:w="328"/>
      </w:tblGrid>
      <w:tr>
        <w:trPr/>
        <w:tc>
          <w:tcPr>
            <w:tcW w:w="4928" w:type="dxa"/>
            <w:gridSpan w:val="2"/>
            <w:tcBorders/>
          </w:tcPr>
          <w:p>
            <w:pPr>
              <w:pStyle w:val="Normal"/>
              <w:widowControl w:val="false"/>
              <w:rPr>
                <w:sz w:val="24"/>
                <w:szCs w:val="24"/>
              </w:rPr>
            </w:pPr>
            <w:r>
              <w:rPr>
                <w:sz w:val="24"/>
                <w:szCs w:val="24"/>
              </w:rPr>
              <w:t>ПОКУПАТЕЛЬ:</w:t>
            </w:r>
          </w:p>
        </w:tc>
        <w:tc>
          <w:tcPr>
            <w:tcW w:w="4962" w:type="dxa"/>
            <w:gridSpan w:val="2"/>
            <w:tcBorders/>
          </w:tcPr>
          <w:p>
            <w:pPr>
              <w:pStyle w:val="Normal"/>
              <w:widowControl w:val="false"/>
              <w:rPr>
                <w:sz w:val="24"/>
                <w:szCs w:val="24"/>
              </w:rPr>
            </w:pPr>
            <w:r>
              <w:rPr>
                <w:sz w:val="24"/>
                <w:szCs w:val="24"/>
              </w:rPr>
              <w:t>ПОСТАВЩИК:</w:t>
            </w:r>
          </w:p>
        </w:tc>
      </w:tr>
      <w:tr>
        <w:trPr/>
        <w:tc>
          <w:tcPr>
            <w:tcW w:w="4928" w:type="dxa"/>
            <w:gridSpan w:val="2"/>
            <w:tcBorders/>
            <w:shd w:color="auto" w:fill="BFBFBF" w:val="clear"/>
          </w:tcPr>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b/>
                <w:sz w:val="24"/>
                <w:szCs w:val="24"/>
                <w:shd w:fill="auto" w:val="clear"/>
              </w:rPr>
              <w:t>Публичное акционерное общество</w:t>
            </w:r>
          </w:p>
          <w:p>
            <w:pPr>
              <w:pStyle w:val="Normal"/>
              <w:widowControl w:val="false"/>
              <w:rPr>
                <w:highlight w:val="none"/>
                <w:shd w:fill="auto" w:val="clear"/>
              </w:rPr>
            </w:pPr>
            <w:r>
              <w:rPr>
                <w:b/>
                <w:sz w:val="24"/>
                <w:szCs w:val="24"/>
                <w:shd w:fill="auto" w:val="clear"/>
              </w:rPr>
              <w:t>«Федеральная гидрогенерирующая компания - РусГидро» (ПАО «РусГидро»)</w:t>
            </w:r>
          </w:p>
          <w:p>
            <w:pPr>
              <w:pStyle w:val="Normal"/>
              <w:widowControl w:val="false"/>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Юридический/Почтовый адрес: 6600</w:t>
            </w:r>
            <w:r>
              <w:rPr>
                <w:sz w:val="24"/>
                <w:szCs w:val="24"/>
                <w:shd w:fill="auto" w:val="clear"/>
              </w:rPr>
              <w:t>49</w:t>
            </w:r>
            <w:r>
              <w:rPr>
                <w:sz w:val="24"/>
                <w:szCs w:val="24"/>
                <w:shd w:fill="auto" w:val="clear"/>
              </w:rPr>
              <w:t>, Красноярский край, г.о. город Красноярск,</w:t>
            </w:r>
          </w:p>
          <w:p>
            <w:pPr>
              <w:pStyle w:val="Normal"/>
              <w:widowControl w:val="false"/>
              <w:spacing w:lineRule="auto" w:line="240"/>
              <w:ind w:hanging="0"/>
              <w:jc w:val="left"/>
              <w:rPr>
                <w:highlight w:val="none"/>
                <w:shd w:fill="auto" w:val="clear"/>
              </w:rPr>
            </w:pPr>
            <w:r>
              <w:rPr>
                <w:sz w:val="24"/>
                <w:szCs w:val="24"/>
                <w:shd w:fill="auto" w:val="clear"/>
              </w:rPr>
              <w:t xml:space="preserve">г. Красноярск, ул. Перенсона, зд.2, помещ.1 </w:t>
            </w:r>
          </w:p>
          <w:p>
            <w:pPr>
              <w:pStyle w:val="Normal"/>
              <w:widowControl w:val="false"/>
              <w:rPr>
                <w:highlight w:val="none"/>
                <w:shd w:fill="auto" w:val="clear"/>
              </w:rPr>
            </w:pPr>
            <w:r>
              <w:rPr>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
              <w:t xml:space="preserve">ОГРН 1042401810494, </w:t>
            </w:r>
          </w:p>
          <w:p>
            <w:pPr>
              <w:pStyle w:val="Normal"/>
              <w:widowControl w:val="false"/>
              <w:rPr>
                <w:highlight w:val="none"/>
                <w:shd w:fill="auto" w:val="clear"/>
              </w:rPr>
            </w:pPr>
            <w:r>
              <w:rPr>
                <w:sz w:val="24"/>
                <w:szCs w:val="24"/>
                <w:shd w:fill="auto" w:val="clear"/>
              </w:rPr>
              <w:t>ИНН 2460066195 / КПП 997650001</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расчетного счета)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(наименование банка, в котором</w:t>
            </w:r>
          </w:p>
          <w:p>
            <w:pPr>
              <w:pStyle w:val="Normal"/>
              <w:widowControl w:val="false"/>
              <w:rPr>
                <w:highlight w:val="none"/>
                <w:shd w:fill="auto" w:val="clear"/>
              </w:rPr>
            </w:pPr>
            <w:r>
              <w:rPr>
                <w:sz w:val="24"/>
                <w:szCs w:val="24"/>
                <w:shd w:fill="auto" w:val="clear"/>
              </w:rPr>
              <w:t>открыт расчетный счет)</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корреспондентского счета банка)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(БИК банка)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телефона)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факса)</w:t>
            </w:r>
          </w:p>
          <w:p>
            <w:pPr>
              <w:pStyle w:val="Normal"/>
              <w:widowControl w:val="false"/>
              <w:rPr>
                <w:sz w:val="24"/>
                <w:szCs w:val="24"/>
                <w:highlight w:val="none"/>
                <w:shd w:fill="auto" w:val="clear"/>
              </w:rPr>
            </w:pPr>
            <w:r>
              <w:rPr>
                <w:sz w:val="24"/>
                <w:szCs w:val="24"/>
                <w:shd w:fill="auto" w:val="clear"/>
              </w:rPr>
            </w:r>
          </w:p>
        </w:tc>
        <w:tc>
          <w:tcPr>
            <w:tcW w:w="4962" w:type="dxa"/>
            <w:gridSpan w:val="2"/>
            <w:tcBorders/>
            <w:shd w:color="auto" w:fill="BFBFBF" w:val="clear"/>
          </w:tcPr>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(наименование юридического лица)</w:t>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
              <w:t>Юридический адрес:</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
              <w:t>Почтовый адрес:</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ОГРН ___________________________</w:t>
            </w:r>
          </w:p>
          <w:p>
            <w:pPr>
              <w:pStyle w:val="Normal"/>
              <w:widowControl w:val="false"/>
              <w:rPr>
                <w:highlight w:val="none"/>
                <w:shd w:fill="auto" w:val="clear"/>
              </w:rPr>
            </w:pPr>
            <w:r>
              <w:rPr>
                <w:sz w:val="24"/>
                <w:szCs w:val="24"/>
                <w:shd w:fill="auto" w:val="clear"/>
              </w:rPr>
              <w:t>ИНН ____________ / КПП___________</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расчетного счета)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(наименование банка, в котором</w:t>
            </w:r>
          </w:p>
          <w:p>
            <w:pPr>
              <w:pStyle w:val="Normal"/>
              <w:widowControl w:val="false"/>
              <w:rPr>
                <w:highlight w:val="none"/>
                <w:shd w:fill="auto" w:val="clear"/>
              </w:rPr>
            </w:pPr>
            <w:r>
              <w:rPr>
                <w:sz w:val="24"/>
                <w:szCs w:val="24"/>
                <w:shd w:fill="auto" w:val="clear"/>
              </w:rPr>
              <w:t>открыт расчетный счет)</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корреспондентского счета банка)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(БИК банка)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телефона)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факса)</w:t>
            </w:r>
          </w:p>
          <w:p>
            <w:pPr>
              <w:pStyle w:val="Normal"/>
              <w:widowControl w:val="false"/>
              <w:rPr>
                <w:sz w:val="24"/>
                <w:szCs w:val="24"/>
                <w:highlight w:val="none"/>
                <w:shd w:fill="auto" w:val="clear"/>
              </w:rPr>
            </w:pPr>
            <w:r>
              <w:rPr>
                <w:sz w:val="24"/>
                <w:szCs w:val="24"/>
                <w:shd w:fill="auto" w:val="clear"/>
              </w:rPr>
            </w:r>
          </w:p>
        </w:tc>
      </w:tr>
      <w:tr>
        <w:trPr/>
        <w:tc>
          <w:tcPr>
            <w:tcW w:w="4776" w:type="dxa"/>
            <w:tcBorders/>
          </w:tcPr>
          <w:p>
            <w:pPr>
              <w:pStyle w:val="Normal"/>
              <w:widowControl w:val="false"/>
              <w:rPr>
                <w:highlight w:val="none"/>
                <w:shd w:fill="auto" w:val="clear"/>
              </w:rPr>
            </w:pPr>
            <w:r>
              <w:rPr>
                <w:sz w:val="24"/>
                <w:szCs w:val="24"/>
                <w:shd w:fill="auto" w:val="clear"/>
              </w:rPr>
              <w:t xml:space="preserve">_______________ / _______________ </w:t>
            </w:r>
          </w:p>
          <w:p>
            <w:pPr>
              <w:pStyle w:val="Normal"/>
              <w:widowControl w:val="false"/>
              <w:rPr>
                <w:sz w:val="24"/>
                <w:szCs w:val="24"/>
                <w:highlight w:val="none"/>
                <w:shd w:fill="auto" w:val="clear"/>
              </w:rPr>
            </w:pPr>
            <w:r>
              <w:rPr>
                <w:sz w:val="24"/>
                <w:szCs w:val="24"/>
                <w:shd w:fill="auto" w:val="clear"/>
              </w:rPr>
            </w:r>
          </w:p>
        </w:tc>
        <w:tc>
          <w:tcPr>
            <w:tcW w:w="4786" w:type="dxa"/>
            <w:gridSpan w:val="2"/>
            <w:tcBorders/>
          </w:tcPr>
          <w:p>
            <w:pPr>
              <w:pStyle w:val="Normal"/>
              <w:widowControl w:val="false"/>
              <w:rPr>
                <w:highlight w:val="none"/>
                <w:shd w:fill="auto" w:val="clear"/>
              </w:rPr>
            </w:pPr>
            <w:r>
              <w:rPr>
                <w:sz w:val="24"/>
                <w:szCs w:val="24"/>
                <w:shd w:fill="auto" w:val="clear"/>
              </w:rPr>
              <w:t xml:space="preserve">_______________ / _______________ </w:t>
            </w:r>
          </w:p>
        </w:tc>
        <w:tc>
          <w:tcPr>
            <w:tcW w:w="328" w:type="dxa"/>
            <w:tcBorders/>
          </w:tcPr>
          <w:p>
            <w:pPr>
              <w:pStyle w:val="Normal"/>
              <w:widowControl w:val="false"/>
              <w:rPr>
                <w:highlight w:val="none"/>
                <w:shd w:fill="auto" w:val="clear"/>
              </w:rPr>
            </w:pPr>
            <w:r>
              <w:rPr>
                <w:shd w:fill="auto" w:val="clear"/>
              </w:rPr>
            </w:r>
          </w:p>
        </w:tc>
      </w:tr>
    </w:tbl>
    <w:p>
      <w:pPr>
        <w:sectPr>
          <w:headerReference w:type="default" r:id="rId5"/>
          <w:headerReference w:type="first" r:id="rId6"/>
          <w:footerReference w:type="default" r:id="rId7"/>
          <w:footnotePr>
            <w:numFmt w:val="decimal"/>
          </w:footnotePr>
          <w:type w:val="nextPage"/>
          <w:pgSz w:w="11906" w:h="16838"/>
          <w:pgMar w:left="1560" w:right="851" w:gutter="0" w:header="709" w:top="1134" w:footer="709" w:bottom="1135"/>
          <w:pgNumType w:fmt="decimal"/>
          <w:formProt w:val="false"/>
          <w:titlePg/>
          <w:textDirection w:val="lrTb"/>
          <w:docGrid w:type="default" w:linePitch="360" w:charSpace="8192"/>
        </w:sectPr>
      </w:pPr>
    </w:p>
    <w:p>
      <w:pPr>
        <w:pStyle w:val="Normal"/>
        <w:suppressAutoHyphens w:val="true"/>
        <w:ind w:left="5103" w:right="96" w:hanging="0"/>
        <w:rPr>
          <w:sz w:val="22"/>
          <w:szCs w:val="22"/>
        </w:rPr>
      </w:pPr>
      <w:r>
        <w:rPr>
          <w:sz w:val="22"/>
          <w:szCs w:val="22"/>
        </w:rPr>
        <w:t>Приложение № 1</w:t>
      </w:r>
    </w:p>
    <w:p>
      <w:pPr>
        <w:pStyle w:val="Normal"/>
        <w:suppressAutoHyphens w:val="true"/>
        <w:ind w:left="5103" w:right="96" w:hanging="0"/>
        <w:rPr>
          <w:sz w:val="22"/>
          <w:szCs w:val="22"/>
        </w:rPr>
      </w:pPr>
      <w:r>
        <w:rPr>
          <w:sz w:val="22"/>
          <w:szCs w:val="22"/>
        </w:rPr>
        <w:t>к Договору поставки</w:t>
      </w:r>
    </w:p>
    <w:p>
      <w:pPr>
        <w:pStyle w:val="Normal"/>
        <w:suppressAutoHyphens w:val="true"/>
        <w:ind w:left="5103" w:right="96" w:hanging="0"/>
        <w:rPr>
          <w:sz w:val="22"/>
          <w:szCs w:val="22"/>
        </w:rPr>
      </w:pPr>
      <w:r>
        <w:rPr>
          <w:sz w:val="22"/>
          <w:szCs w:val="22"/>
        </w:rPr>
        <w:t>от «____» __________ 20 _ г. № _____</w:t>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val="04a0" w:noHBand="0" w:noVBand="1" w:firstColumn="1" w:lastRow="0" w:lastColumn="0" w:firstRow="1"/>
      </w:tblPr>
      <w:tblGrid>
        <w:gridCol w:w="397"/>
        <w:gridCol w:w="633"/>
        <w:gridCol w:w="636"/>
        <w:gridCol w:w="638"/>
        <w:gridCol w:w="799"/>
        <w:gridCol w:w="766"/>
        <w:gridCol w:w="644"/>
        <w:gridCol w:w="762"/>
        <w:gridCol w:w="720"/>
        <w:gridCol w:w="376"/>
        <w:gridCol w:w="157"/>
        <w:gridCol w:w="665"/>
        <w:gridCol w:w="583"/>
        <w:gridCol w:w="531"/>
        <w:gridCol w:w="745"/>
        <w:gridCol w:w="585"/>
      </w:tblGrid>
      <w:tr>
        <w:trPr>
          <w:trHeight w:val="526" w:hRule="atLeast"/>
        </w:trPr>
        <w:tc>
          <w:tcPr>
            <w:tcW w:w="3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3"/>
            </w:r>
          </w:p>
        </w:tc>
        <w:tc>
          <w:tcPr>
            <w:tcW w:w="7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highlight w:val="none"/>
                <w:shd w:fill="auto" w:val="clear"/>
              </w:rPr>
            </w:pPr>
            <w:r>
              <w:rPr>
                <w:bCs/>
                <w:shd w:fill="auto" w:val="clear"/>
              </w:rPr>
              <w:t>Порядковый номер(а) реестровой(ых) записи(ей)</w:t>
            </w:r>
            <w:r>
              <w:rPr>
                <w:rStyle w:val="FootnoteReference"/>
                <w:bCs/>
                <w:shd w:fill="auto" w:val="clear"/>
              </w:rPr>
              <w:footnoteReference w:id="14"/>
            </w:r>
          </w:p>
          <w:p>
            <w:pPr>
              <w:pStyle w:val="Normal"/>
              <w:widowControl w:val="false"/>
              <w:jc w:val="center"/>
              <w:rPr>
                <w:bCs/>
                <w:highlight w:val="none"/>
                <w:shd w:fill="auto" w:val="clear"/>
              </w:rPr>
            </w:pPr>
            <w:r>
              <w:rPr>
                <w:bCs/>
                <w:shd w:fill="auto" w:val="clear"/>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5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3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3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6371"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t>Итого стоимость всего Товара (с учетом доставки), руб. с НДС*:</w:t>
            </w:r>
          </w:p>
        </w:tc>
        <w:tc>
          <w:tcPr>
            <w:tcW w:w="3266"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r>
    </w:tbl>
    <w:p>
      <w:pPr>
        <w:pStyle w:val="Normal"/>
        <w:widowControl w:val="false"/>
        <w:bidi w:val="0"/>
        <w:spacing w:lineRule="auto" w:line="240" w:before="0" w:after="0"/>
        <w:ind w:left="-737" w:right="680" w:hanging="0"/>
        <w:jc w:val="both"/>
        <w:rPr>
          <w:i/>
          <w:i/>
          <w:iCs/>
          <w:sz w:val="20"/>
          <w:szCs w:val="20"/>
          <w:highlight w:val="none"/>
          <w:shd w:fill="auto" w:val="clear"/>
        </w:rPr>
      </w:pPr>
      <w:r>
        <w:rPr>
          <w:i/>
          <w:iCs/>
          <w:sz w:val="20"/>
          <w:szCs w:val="20"/>
          <w:shd w:fill="auto" w:val="clear"/>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widowControl w:val="false"/>
        <w:bidi w:val="0"/>
        <w:spacing w:lineRule="auto" w:line="240" w:before="0" w:after="0"/>
        <w:ind w:left="-737" w:right="680" w:hanging="0"/>
        <w:jc w:val="both"/>
        <w:rPr>
          <w:i/>
          <w:i/>
          <w:iCs/>
          <w:sz w:val="20"/>
          <w:szCs w:val="20"/>
          <w:highlight w:val="none"/>
          <w:shd w:fill="auto" w:val="clear"/>
        </w:rPr>
      </w:pPr>
      <w:r>
        <w:rPr>
          <w:i/>
          <w:iCs/>
          <w:sz w:val="20"/>
          <w:szCs w:val="20"/>
          <w:shd w:fill="auto" w:val="clear"/>
        </w:rPr>
      </w:r>
    </w:p>
    <w:p>
      <w:pPr>
        <w:pStyle w:val="Normal"/>
        <w:rPr>
          <w:highlight w:val="none"/>
          <w:shd w:fill="auto" w:val="clear"/>
        </w:rPr>
      </w:pPr>
      <w:r>
        <w:rPr>
          <w:i/>
          <w:sz w:val="22"/>
          <w:szCs w:val="22"/>
          <w:shd w:fill="auto" w:val="clear"/>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jc w:val="both"/>
        <w:rPr>
          <w:highlight w:val="none"/>
          <w:shd w:fill="auto" w:val="clear"/>
        </w:rPr>
      </w:pPr>
      <w:r>
        <w:rPr>
          <w:i/>
          <w:sz w:val="22"/>
          <w:szCs w:val="22"/>
          <w:shd w:fill="auto" w:val="clear"/>
        </w:rPr>
        <w:t xml:space="preserve">2. По требованию Покупателя Поставщик обязан представить запрашиваемую информацию / документы, расчеты, обосновывающие стоимость доставки. </w:t>
      </w:r>
    </w:p>
    <w:p>
      <w:pPr>
        <w:pStyle w:val="Normal"/>
        <w:rPr>
          <w:i/>
          <w:i/>
          <w:sz w:val="22"/>
          <w:szCs w:val="22"/>
          <w:highlight w:val="none"/>
          <w:shd w:fill="auto" w:val="clear"/>
        </w:rPr>
      </w:pPr>
      <w:r>
        <w:rPr>
          <w:i/>
          <w:sz w:val="22"/>
          <w:szCs w:val="22"/>
          <w:shd w:fill="auto" w:val="clear"/>
        </w:rPr>
      </w:r>
    </w:p>
    <w:p>
      <w:pPr>
        <w:pStyle w:val="Normal"/>
        <w:rPr>
          <w:i/>
          <w:i/>
          <w:sz w:val="22"/>
          <w:szCs w:val="22"/>
        </w:rPr>
      </w:pPr>
      <w:r>
        <w:rPr>
          <w:i/>
          <w:sz w:val="22"/>
          <w:szCs w:val="22"/>
        </w:rPr>
      </w:r>
    </w:p>
    <w:tbl>
      <w:tblPr>
        <w:tblW w:w="963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pPr>
      <w:r>
        <w:rPr/>
      </w:r>
    </w:p>
    <w:p>
      <w:pPr>
        <w:pStyle w:val="Normal"/>
        <w:rPr/>
      </w:pPr>
      <w:r>
        <w:rPr/>
        <w:t xml:space="preserve"> </w:t>
      </w:r>
      <w:r>
        <w:rPr/>
        <w:t>__________ /__________</w:t>
        <w:tab/>
        <w:t xml:space="preserve">                                          ___________ /___________</w:t>
      </w:r>
    </w:p>
    <w:p>
      <w:pPr>
        <w:pStyle w:val="Normal"/>
        <w:rPr>
          <w:i/>
          <w:i/>
          <w:sz w:val="24"/>
          <w:szCs w:val="24"/>
          <w:highlight w:val="yellow"/>
        </w:rPr>
      </w:pPr>
      <w:r>
        <w:rPr>
          <w:i/>
          <w:sz w:val="24"/>
          <w:szCs w:val="24"/>
          <w:highlight w:val="yellow"/>
        </w:rPr>
      </w:r>
    </w:p>
    <w:p>
      <w:pPr>
        <w:pStyle w:val="Normal"/>
        <w:widowControl/>
        <w:rPr>
          <w:sz w:val="22"/>
          <w:szCs w:val="22"/>
        </w:rPr>
      </w:pPr>
      <w:r>
        <w:rPr>
          <w:sz w:val="22"/>
          <w:szCs w:val="22"/>
        </w:rPr>
      </w:r>
      <w:r>
        <w:br w:type="page"/>
      </w:r>
    </w:p>
    <w:p>
      <w:pPr>
        <w:pStyle w:val="Normal"/>
        <w:suppressAutoHyphens w:val="true"/>
        <w:ind w:right="96" w:firstLine="5103"/>
        <w:rPr>
          <w:sz w:val="22"/>
          <w:szCs w:val="22"/>
        </w:rPr>
      </w:pPr>
      <w:r>
        <w:rPr>
          <w:sz w:val="22"/>
          <w:szCs w:val="22"/>
        </w:rPr>
        <w:t>Приложение № 2</w:t>
      </w:r>
    </w:p>
    <w:p>
      <w:pPr>
        <w:pStyle w:val="Normal"/>
        <w:suppressAutoHyphens w:val="true"/>
        <w:ind w:right="96" w:firstLine="5103"/>
        <w:rPr>
          <w:sz w:val="22"/>
          <w:szCs w:val="22"/>
        </w:rPr>
      </w:pPr>
      <w:r>
        <w:rPr>
          <w:sz w:val="22"/>
          <w:szCs w:val="22"/>
        </w:rPr>
        <w:t xml:space="preserve">к Договору поставки </w:t>
      </w:r>
    </w:p>
    <w:p>
      <w:pPr>
        <w:pStyle w:val="Normal"/>
        <w:suppressAutoHyphens w:val="true"/>
        <w:ind w:right="96" w:firstLine="5103"/>
        <w:rPr>
          <w:sz w:val="22"/>
          <w:szCs w:val="22"/>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529"/>
        <w:rPr>
          <w:sz w:val="22"/>
          <w:szCs w:val="22"/>
        </w:rPr>
      </w:pPr>
      <w:r>
        <w:rPr>
          <w:sz w:val="22"/>
          <w:szCs w:val="22"/>
        </w:rPr>
        <w:t>Приложение № 3</w:t>
      </w:r>
    </w:p>
    <w:p>
      <w:pPr>
        <w:pStyle w:val="Normal"/>
        <w:suppressAutoHyphens w:val="true"/>
        <w:ind w:right="96" w:firstLine="5529"/>
        <w:rPr>
          <w:sz w:val="22"/>
          <w:szCs w:val="22"/>
        </w:rPr>
      </w:pPr>
      <w:r>
        <w:rPr>
          <w:sz w:val="22"/>
          <w:szCs w:val="22"/>
        </w:rPr>
        <w:t>к Договору поставки</w:t>
      </w:r>
    </w:p>
    <w:p>
      <w:pPr>
        <w:pStyle w:val="Normal"/>
        <w:ind w:firstLine="5529"/>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t>Критерии отбора Банков – Гарантов</w:t>
      </w:r>
      <w:r>
        <w:rPr>
          <w:rStyle w:val="FootnoteReference"/>
          <w:b/>
          <w:bCs/>
          <w:sz w:val="24"/>
          <w:szCs w:val="24"/>
        </w:rPr>
        <w:footnoteReference w:id="15"/>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tabs>
          <w:tab w:val="clear" w:pos="709"/>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vertAlign w:val="superscript"/>
          <w:lang w:val="en-GB"/>
        </w:rPr>
        <w:footnoteReference w:id="16"/>
      </w:r>
      <w:r>
        <w:rPr>
          <w:sz w:val="24"/>
          <w:szCs w:val="24"/>
        </w:rPr>
        <w:t>, а также соответствовать следующим критериям:</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3"/>
        </w:numPr>
        <w:tabs>
          <w:tab w:val="clear" w:pos="709"/>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 xml:space="preserve">213-ФЗ </w:t>
        <w:br/>
        <w: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w:t>
        <w:br/>
        <w:t>213-ФЗ).</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w:t>
      </w:r>
      <w:r>
        <w:rPr>
          <w:rFonts w:eastAsia="Times New Roman" w:cs="Times New Roman"/>
          <w:color w:val="auto"/>
          <w:kern w:val="0"/>
          <w:sz w:val="24"/>
          <w:szCs w:val="24"/>
          <w:lang w:val="ru-RU" w:eastAsia="ru-RU" w:bidi="ar-SA"/>
        </w:rPr>
        <w:t xml:space="preserve">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w:t>
      </w:r>
      <w:r>
        <w:rPr>
          <w:sz w:val="24"/>
          <w:szCs w:val="24"/>
        </w:rPr>
        <w:t>, опубликованной в информационно-телекоммуникационной сети «Интернет» (</w:t>
      </w:r>
      <w:hyperlink r:id="rId8">
        <w:r>
          <w:rPr>
            <w:rStyle w:val="Hyperlink"/>
            <w:rFonts w:eastAsia="Times New Roman" w:cs="Times New Roman"/>
            <w:color w:val="auto"/>
            <w:sz w:val="24"/>
            <w:szCs w:val="24"/>
            <w:lang w:val="ru-RU" w:eastAsia="ru-RU" w:bidi="ar-SA"/>
          </w:rPr>
          <w:t>www.cbr.ru</w:t>
        </w:r>
      </w:hyperlink>
      <w:r>
        <w:rPr>
          <w:sz w:val="24"/>
          <w:szCs w:val="24"/>
        </w:rPr>
        <w:t xml:space="preserve">) на официальных сайтах ЦБ РФ и/ или кредитной организации либо представленной кредитной </w:t>
      </w:r>
      <w:r>
        <w:rPr>
          <w:rFonts w:eastAsia="Times New Roman" w:cs="Times New Roman"/>
          <w:color w:val="auto"/>
          <w:kern w:val="0"/>
          <w:sz w:val="24"/>
          <w:szCs w:val="24"/>
          <w:lang w:val="ru-RU" w:eastAsia="ru-RU" w:bidi="ar-SA"/>
        </w:rPr>
        <w:t>организации</w:t>
      </w:r>
      <w:r>
        <w:rPr>
          <w:sz w:val="24"/>
          <w:szCs w:val="24"/>
        </w:rPr>
        <w:t xml:space="preserve"> Заказчику. </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vertAlign w:val="superscript"/>
          <w:lang w:val="en-GB"/>
        </w:rPr>
        <w:footnoteReference w:id="17"/>
      </w:r>
      <w:r>
        <w:rPr>
          <w:sz w:val="24"/>
          <w:szCs w:val="24"/>
        </w:rPr>
        <w:t xml:space="preserve">. </w:t>
      </w:r>
    </w:p>
    <w:p>
      <w:pPr>
        <w:pStyle w:val="Normal"/>
        <w:widowControl/>
        <w:numPr>
          <w:ilvl w:val="1"/>
          <w:numId w:val="13"/>
        </w:numPr>
        <w:tabs>
          <w:tab w:val="clear" w:pos="709"/>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vertAlign w:val="superscript"/>
          <w:lang w:val="en-GB"/>
        </w:rPr>
        <w:footnoteReference w:id="18"/>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Не иметь просроченную задолженность перед Заказчиком и компаниями Группы РусГидро.</w:t>
      </w:r>
    </w:p>
    <w:p>
      <w:pPr>
        <w:pStyle w:val="Normal"/>
        <w:widowControl/>
        <w:numPr>
          <w:ilvl w:val="1"/>
          <w:numId w:val="13"/>
        </w:numPr>
        <w:tabs>
          <w:tab w:val="clear" w:pos="709"/>
          <w:tab w:val="left" w:pos="1134" w:leader="none"/>
        </w:tabs>
        <w:ind w:left="0" w:firstLine="710"/>
        <w:jc w:val="both"/>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FootnoteReference"/>
          <w:sz w:val="24"/>
          <w:szCs w:val="24"/>
          <w:vertAlign w:val="superscript"/>
          <w:lang w:val="en-GB"/>
        </w:rPr>
        <w:footnoteReference w:id="19"/>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 xml:space="preserve">Требования, установленные пунктами 2 – 4 настоящих Критериев, </w:t>
        <w:br/>
        <w:t>не распространяются на кредитные организации:</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 xml:space="preserve">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w:t>
        <w:br/>
        <w:t xml:space="preserve">в которой могут размещаться средства федерального бюджета на банковских депозитах </w:t>
        <w:br/>
        <w:t>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 xml:space="preserve">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w:t>
        <w:br/>
        <w:t>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4"/>
        </w:numPr>
        <w:tabs>
          <w:tab w:val="clear" w:pos="709"/>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numPr>
          <w:ilvl w:val="1"/>
          <w:numId w:val="14"/>
        </w:numPr>
        <w:tabs>
          <w:tab w:val="clear" w:pos="709"/>
          <w:tab w:val="left" w:pos="1134" w:leader="none"/>
        </w:tabs>
        <w:spacing w:lineRule="auto" w:line="240"/>
        <w:ind w:left="0" w:firstLine="709"/>
        <w:rPr>
          <w:sz w:val="24"/>
          <w:szCs w:val="24"/>
        </w:rPr>
      </w:pPr>
      <w:r>
        <w:rPr>
          <w:sz w:val="24"/>
          <w:szCs w:val="24"/>
          <w:lang w:val="en-GB"/>
        </w:rPr>
        <w:t>Нерезидентов Российской Федерации.</w:t>
      </w:r>
    </w:p>
    <w:p>
      <w:pPr>
        <w:pStyle w:val="Normal"/>
        <w:widowControl/>
        <w:numPr>
          <w:ilvl w:val="1"/>
          <w:numId w:val="13"/>
        </w:numPr>
        <w:tabs>
          <w:tab w:val="clear" w:pos="709"/>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134" w:leader="none"/>
        </w:tabs>
        <w:ind w:firstLine="709"/>
        <w:jc w:val="center"/>
        <w:rPr>
          <w:sz w:val="24"/>
          <w:szCs w:val="24"/>
          <w:lang w:val="en-GB"/>
        </w:rPr>
      </w:pPr>
      <w:r>
        <w:rPr>
          <w:sz w:val="24"/>
          <w:szCs w:val="24"/>
          <w:lang w:val="en-GB"/>
        </w:rPr>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spacing w:lineRule="auto" w:line="240"/>
              <w:ind w:left="0" w:right="-108" w:hanging="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spacing w:lineRule="auto" w:line="240"/>
              <w:ind w:left="317" w:right="-108" w:hanging="317"/>
              <w:rPr>
                <w:color w:val="000000"/>
                <w:sz w:val="24"/>
                <w:szCs w:val="24"/>
              </w:rPr>
            </w:pPr>
            <w:r>
              <w:rPr>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rFonts w:eastAsia="Times New Roman" w:cs="Times New Roman"/>
                <w:sz w:val="24"/>
                <w:szCs w:val="24"/>
                <w:lang w:eastAsia="ru-RU"/>
              </w:rPr>
              <w:t>Лимит риска для i-ой кредитной организации</w:t>
            </w:r>
            <w:r>
              <w:rPr>
                <w:rStyle w:val="FootnoteReference"/>
                <w:rFonts w:eastAsia="Times New Roman" w:cs="Times New Roman"/>
                <w:sz w:val="24"/>
                <w:szCs w:val="24"/>
                <w:lang w:eastAsia="ru-RU"/>
              </w:rPr>
              <w:footnoteReference w:id="20"/>
            </w:r>
            <w:r>
              <w:rPr>
                <w:rFonts w:eastAsia="Times New Roman" w:cs="Times New Roman"/>
                <w:sz w:val="24"/>
                <w:szCs w:val="24"/>
                <w:lang w:eastAsia="ru-RU"/>
              </w:rPr>
              <w:t>.</w:t>
            </w:r>
          </w:p>
        </w:tc>
      </w:tr>
      <w:tr>
        <w:trPr>
          <w:trHeight w:val="280" w:hRule="atLeast"/>
        </w:trPr>
        <w:tc>
          <w:tcPr>
            <w:tcW w:w="817" w:type="dxa"/>
            <w:tcBorders/>
            <w:shd w:color="auto" w:fill="auto" w:val="clear"/>
          </w:tcPr>
          <w:p>
            <w:pPr>
              <w:pStyle w:val="Normal"/>
              <w:widowControl w:val="false"/>
              <w:spacing w:lineRule="auto" w:line="240"/>
              <w:ind w:left="0"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spacing w:lineRule="auto" w:line="240"/>
              <w:ind w:left="0"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spacing w:lineRule="auto" w:line="240"/>
              <w:ind w:left="0" w:right="-108" w:hanging="0"/>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rFonts w:eastAsia="Times New Roman" w:cs="Times New Roman"/>
                <w:sz w:val="24"/>
                <w:szCs w:val="24"/>
                <w:lang w:eastAsia="ru-RU"/>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9">
              <w:r>
                <w:rPr>
                  <w:rStyle w:val="Hyperlink"/>
                  <w:rFonts w:eastAsia="Times New Roman" w:cs="Times New Roman"/>
                  <w:sz w:val="24"/>
                  <w:szCs w:val="24"/>
                  <w:lang w:eastAsia="ru-RU"/>
                </w:rPr>
                <w:t>www.cbr.ru</w:t>
              </w:r>
            </w:hyperlink>
            <w:r>
              <w:rPr>
                <w:rFonts w:eastAsia="Times New Roman" w:cs="Times New Roman"/>
                <w:sz w:val="24"/>
                <w:szCs w:val="24"/>
                <w:lang w:eastAsia="ru-RU"/>
              </w:rPr>
              <w:t>) на официальных сайтах ЦБ РФ и / или кредитной организации либо представленной кредитной организацией Обществу;</w:t>
            </w:r>
          </w:p>
        </w:tc>
      </w:tr>
      <w:tr>
        <w:trPr>
          <w:trHeight w:val="3894" w:hRule="atLeast"/>
        </w:trPr>
        <w:tc>
          <w:tcPr>
            <w:tcW w:w="817" w:type="dxa"/>
            <w:tcBorders/>
          </w:tcPr>
          <w:p>
            <w:pPr>
              <w:pStyle w:val="Normal"/>
              <w:widowControl w:val="false"/>
              <w:spacing w:lineRule="auto" w:line="240"/>
              <w:ind w:left="0"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spacing w:lineRule="auto" w:line="240"/>
              <w:ind w:left="0" w:right="-108" w:hanging="0"/>
              <w:rPr>
                <w:sz w:val="24"/>
                <w:szCs w:val="24"/>
              </w:rPr>
            </w:pPr>
            <w:r>
              <w:rPr>
                <w:sz w:val="24"/>
                <w:szCs w:val="24"/>
              </w:rPr>
              <w:t>-</w:t>
            </w:r>
          </w:p>
        </w:tc>
        <w:tc>
          <w:tcPr>
            <w:tcW w:w="8509" w:type="dxa"/>
            <w:tcBorders/>
          </w:tcPr>
          <w:p>
            <w:pPr>
              <w:pStyle w:val="Normal"/>
              <w:widowControl w:val="false"/>
              <w:tabs>
                <w:tab w:val="left" w:pos="709" w:leader="none"/>
                <w:tab w:val="left" w:pos="851" w:leader="none"/>
              </w:tabs>
              <w:suppressAutoHyphens w:val="true"/>
              <w:overflowPunct w:val="true"/>
              <w:bidi w:val="0"/>
              <w:spacing w:lineRule="auto" w:line="240" w:before="0" w:after="0"/>
              <w:ind w:left="680" w:right="0" w:hanging="0"/>
              <w:jc w:val="both"/>
              <w:rPr/>
            </w:pPr>
            <w:r>
              <w:rPr>
                <w:rFonts w:eastAsia="Times New Roman" w:cs="Times New Roman"/>
                <w:sz w:val="24"/>
                <w:szCs w:val="24"/>
                <w:lang w:eastAsia="ru-RU"/>
              </w:rPr>
              <w:t>рейтинговый коэффициент</w:t>
            </w:r>
            <w:r>
              <w:rPr>
                <w:rStyle w:val="FootnoteReference"/>
                <w:rFonts w:eastAsia="Times New Roman" w:cs="Times New Roman"/>
                <w:sz w:val="24"/>
                <w:szCs w:val="24"/>
                <w:lang w:eastAsia="ru-RU"/>
              </w:rPr>
              <w:footnoteReference w:id="21"/>
            </w:r>
            <w:r>
              <w:rPr>
                <w:rFonts w:eastAsia="Times New Roman" w:cs="Times New Roman"/>
                <w:sz w:val="24"/>
                <w:szCs w:val="24"/>
                <w:lang w:eastAsia="ru-RU"/>
              </w:rPr>
              <w:t xml:space="preserve"> для i-ой кредитной организации, равный:</w:t>
            </w:r>
          </w:p>
          <w:p>
            <w:pPr>
              <w:pStyle w:val="Normal"/>
              <w:widowControl w:val="false"/>
              <w:tabs>
                <w:tab w:val="left" w:pos="709" w:leader="none"/>
                <w:tab w:val="left" w:pos="851" w:leader="none"/>
              </w:tabs>
              <w:spacing w:lineRule="auto" w:line="240" w:before="0" w:after="0"/>
              <w:ind w:left="0" w:right="-108" w:firstLine="709"/>
              <w:jc w:val="both"/>
              <w:rPr>
                <w:sz w:val="24"/>
                <w:szCs w:val="24"/>
              </w:rPr>
            </w:pPr>
            <w:r>
              <w:rPr>
                <w:rFonts w:eastAsia="Times New Roman" w:cs="Times New Roman"/>
                <w:b/>
                <w:sz w:val="24"/>
                <w:szCs w:val="24"/>
                <w:lang w:eastAsia="ru-RU"/>
              </w:rPr>
              <w:t>0,075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«АА-»</w:t>
            </w:r>
            <w:r>
              <w:rPr>
                <w:rFonts w:eastAsia="Times New Roman" w:cs="Times New Roman"/>
                <w:sz w:val="24"/>
                <w:szCs w:val="24"/>
                <w:lang w:eastAsia="ru-RU"/>
              </w:rPr>
              <w:t xml:space="preserve">по классификации рейтингового агентства АКРА или не ниже уровня </w:t>
            </w:r>
            <w:r>
              <w:rPr>
                <w:rFonts w:eastAsia="Times New Roman" w:cs="Times New Roman"/>
                <w:b/>
                <w:sz w:val="24"/>
                <w:szCs w:val="24"/>
                <w:lang w:eastAsia="ru-RU"/>
              </w:rPr>
              <w:t>«</w:t>
            </w:r>
            <w:r>
              <w:rPr>
                <w:rFonts w:eastAsia="Times New Roman" w:cs="Times New Roman"/>
                <w:b/>
                <w:sz w:val="24"/>
                <w:szCs w:val="24"/>
                <w:lang w:val="en-US" w:eastAsia="ru-RU"/>
              </w:rPr>
              <w:t>ru</w:t>
            </w:r>
            <w:r>
              <w:rPr>
                <w:rFonts w:eastAsia="Times New Roman" w:cs="Times New Roman"/>
                <w:b/>
                <w:sz w:val="24"/>
                <w:szCs w:val="24"/>
                <w:lang w:eastAsia="ru-RU"/>
              </w:rPr>
              <w:t>А</w:t>
            </w:r>
            <w:r>
              <w:rPr>
                <w:rFonts w:eastAsia="Times New Roman" w:cs="Times New Roman"/>
                <w:b/>
                <w:sz w:val="24"/>
                <w:szCs w:val="24"/>
                <w:lang w:val="en-US" w:eastAsia="ru-RU"/>
              </w:rPr>
              <w:t>A</w:t>
            </w:r>
            <w:r>
              <w:rPr>
                <w:rFonts w:eastAsia="Times New Roman" w:cs="Times New Roman"/>
                <w:b/>
                <w:sz w:val="24"/>
                <w:szCs w:val="24"/>
                <w:lang w:eastAsia="ru-RU"/>
              </w:rPr>
              <w:t>-»</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tabs>
                <w:tab w:val="left" w:pos="709" w:leader="none"/>
                <w:tab w:val="left" w:pos="851" w:leader="none"/>
              </w:tabs>
              <w:spacing w:lineRule="auto" w:line="240" w:before="0" w:after="0"/>
              <w:ind w:left="0" w:right="-108" w:firstLine="709"/>
              <w:jc w:val="both"/>
              <w:rPr>
                <w:sz w:val="24"/>
                <w:szCs w:val="24"/>
              </w:rPr>
            </w:pPr>
            <w:r>
              <w:rPr>
                <w:rFonts w:eastAsia="Times New Roman" w:cs="Times New Roman"/>
                <w:b/>
                <w:sz w:val="24"/>
                <w:szCs w:val="24"/>
                <w:lang w:eastAsia="ru-RU"/>
              </w:rPr>
              <w:t>0,05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b/>
                <w:sz w:val="24"/>
                <w:szCs w:val="24"/>
                <w:lang w:eastAsia="ru-RU"/>
              </w:rPr>
              <w:t>«ruA-»</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tabs>
                <w:tab w:val="clear" w:pos="709"/>
                <w:tab w:val="left" w:pos="7130" w:leader="none"/>
              </w:tabs>
              <w:spacing w:lineRule="auto" w:line="240"/>
              <w:ind w:left="0" w:right="-108" w:firstLine="567"/>
              <w:rPr>
                <w:sz w:val="24"/>
                <w:szCs w:val="24"/>
              </w:rPr>
            </w:pPr>
            <w:r>
              <w:rPr>
                <w:rFonts w:eastAsia="Times New Roman" w:cs="Times New Roman"/>
                <w:b/>
                <w:sz w:val="24"/>
                <w:szCs w:val="24"/>
                <w:lang w:eastAsia="ru-RU"/>
              </w:rPr>
              <w:t>0,025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w:t>
            </w:r>
            <w:r>
              <w:rPr>
                <w:rFonts w:eastAsia="Times New Roman" w:cs="Times New Roman"/>
                <w:b/>
                <w:sz w:val="24"/>
                <w:szCs w:val="24"/>
                <w:lang w:val="en-US" w:eastAsia="ru-RU"/>
              </w:rPr>
              <w:t>BB</w:t>
            </w:r>
            <w:r>
              <w:rPr>
                <w:rFonts w:eastAsia="Times New Roman" w:cs="Times New Roman"/>
                <w:b/>
                <w:sz w:val="24"/>
                <w:szCs w:val="24"/>
                <w:lang w:eastAsia="ru-RU"/>
              </w:rPr>
              <w:t>В»</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sz w:val="24"/>
                <w:szCs w:val="24"/>
                <w:lang w:val="en-US" w:eastAsia="ru-RU"/>
              </w:rPr>
              <w:t>ruBB</w:t>
            </w:r>
            <w:r>
              <w:rPr>
                <w:rFonts w:eastAsia="Times New Roman" w:cs="Times New Roman"/>
                <w:sz w:val="24"/>
                <w:szCs w:val="24"/>
                <w:lang w:eastAsia="ru-RU"/>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425" w:leader="none"/>
        </w:tabs>
        <w:rPr>
          <w:sz w:val="24"/>
          <w:szCs w:val="24"/>
        </w:rPr>
      </w:pPr>
      <w:r>
        <w:rPr>
          <w:sz w:val="24"/>
          <w:szCs w:val="24"/>
        </w:rPr>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sz w:val="24"/>
                <w:szCs w:val="24"/>
                <w:lang w:val="en-GB"/>
              </w:rPr>
            </w:pPr>
            <w:r>
              <w:rPr>
                <w:b/>
                <w:sz w:val="24"/>
                <w:szCs w:val="24"/>
              </w:rPr>
              <w:t>Покупатель</w:t>
            </w:r>
            <w:r>
              <w:rPr>
                <w:b/>
                <w:sz w:val="24"/>
                <w:szCs w:val="24"/>
                <w:lang w:val="en-GB"/>
              </w:rPr>
              <w:t>:</w:t>
            </w:r>
          </w:p>
        </w:tc>
        <w:tc>
          <w:tcPr>
            <w:tcW w:w="8789" w:type="dxa"/>
            <w:tcBorders/>
          </w:tcPr>
          <w:p>
            <w:pPr>
              <w:pStyle w:val="Normal"/>
              <w:widowControl w:val="false"/>
              <w:rPr>
                <w:b/>
                <w:sz w:val="24"/>
                <w:szCs w:val="24"/>
                <w:lang w:val="en-GB"/>
              </w:rPr>
            </w:pPr>
            <w:r>
              <w:rPr>
                <w:b/>
                <w:sz w:val="24"/>
                <w:szCs w:val="24"/>
              </w:rPr>
              <w:t>Поставщик</w:t>
            </w:r>
            <w:r>
              <w:rPr>
                <w:b/>
                <w:sz w:val="24"/>
                <w:szCs w:val="24"/>
                <w:lang w:val="en-GB"/>
              </w:rPr>
              <w:t>:</w:t>
            </w:r>
          </w:p>
        </w:tc>
      </w:tr>
      <w:tr>
        <w:trPr/>
        <w:tc>
          <w:tcPr>
            <w:tcW w:w="4961"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8789"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529"/>
        <w:rPr>
          <w:sz w:val="22"/>
          <w:szCs w:val="22"/>
        </w:rPr>
      </w:pPr>
      <w:r>
        <w:rPr>
          <w:sz w:val="22"/>
          <w:szCs w:val="22"/>
        </w:rPr>
        <w:t>Приложение № 4</w:t>
      </w:r>
    </w:p>
    <w:p>
      <w:pPr>
        <w:pStyle w:val="Normal"/>
        <w:suppressAutoHyphens w:val="true"/>
        <w:ind w:right="96" w:firstLine="5529"/>
        <w:rPr>
          <w:sz w:val="22"/>
          <w:szCs w:val="22"/>
        </w:rPr>
      </w:pPr>
      <w:r>
        <w:rPr>
          <w:sz w:val="22"/>
          <w:szCs w:val="22"/>
        </w:rPr>
        <w:t>к Договору поставки</w:t>
      </w:r>
    </w:p>
    <w:p>
      <w:pPr>
        <w:pStyle w:val="Normal"/>
        <w:ind w:firstLine="5529"/>
        <w:rPr>
          <w:bCs/>
          <w:sz w:val="24"/>
          <w:szCs w:val="24"/>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uppressAutoHyphens w:val="true"/>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1.1. Нарушение ППБ без возникновения пожара</w:t>
            </w:r>
          </w:p>
          <w:p>
            <w:pPr>
              <w:pStyle w:val="Normal"/>
              <w:widowControl w:val="false"/>
              <w:jc w:val="both"/>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widowControl/>
        <w:rPr>
          <w:b/>
          <w:bCs/>
          <w:sz w:val="24"/>
          <w:szCs w:val="24"/>
        </w:rPr>
      </w:pPr>
      <w:r>
        <w:rPr/>
      </w:r>
    </w:p>
    <w:sectPr>
      <w:headerReference w:type="default" r:id="rId10"/>
      <w:headerReference w:type="first" r:id="rId11"/>
      <w:footerReference w:type="default" r:id="rId12"/>
      <w:footerReference w:type="first" r:id="rId13"/>
      <w:footnotePr>
        <w:numFmt w:val="decimal"/>
      </w:footnotePr>
      <w:type w:val="nextPage"/>
      <w:pgSz w:w="11906" w:h="16838"/>
      <w:pgMar w:left="1418" w:right="851" w:gutter="0" w:header="567" w:top="1134" w:footer="314" w:bottom="851"/>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Times New Roman">
    <w:altName w:val="serif"/>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19</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26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Указывается меньший размер платежей в случае применения ссылки к пункту 2.5.2 Договора о закупке кранового оборудования.</w:t>
      </w:r>
    </w:p>
  </w:footnote>
  <w:footnote w:id="3">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Заказчика.</w:t>
      </w:r>
    </w:p>
  </w:footnote>
  <w:footnote w:id="4">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Заказчика.</w:t>
      </w:r>
    </w:p>
  </w:footnote>
  <w:footnote w:id="5">
    <w:p>
      <w:pPr>
        <w:pStyle w:val="FootnoteText"/>
        <w:jc w:val="both"/>
        <w:rPr/>
      </w:pPr>
      <w:r>
        <w:rPr>
          <w:rStyle w:val="Style14"/>
        </w:rPr>
        <w:footnoteRef/>
      </w:r>
      <w:r>
        <w:rPr/>
        <w:t xml:space="preserve"> </w:t>
      </w:r>
      <w:r>
        <w:rPr/>
        <w:t>В случае если Контрагент – МСП, при этом Заказчик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6">
    <w:p>
      <w:pPr>
        <w:pStyle w:val="FootnoteText"/>
        <w:jc w:val="both"/>
        <w:rPr/>
      </w:pPr>
      <w:r>
        <w:rPr>
          <w:rStyle w:val="Style14"/>
        </w:rPr>
        <w:footnoteRef/>
      </w:r>
      <w:r>
        <w:rPr/>
        <w:t xml:space="preserve"> </w:t>
      </w:r>
      <w:r>
        <w:rPr/>
        <w:t xml:space="preserve">Указанное условие включается в Договор, если Договором предусмотрена поставка оборудования, входящего в перечень, утвержденный приказом Минпромторга России от 22.02.2022 № 544 «Об утверждении перечня оборудования, эксплуатируемого по итогам реализации проектов по модернизации, реконструкции или строительству генерирующих объектов тепловых электростанций, включенных в перечень генерирующих объектов тепловых электростанций, подлежащих модернизации (реконструкции) или строительству </w:t>
        <w:br/>
        <w:t>в неценовых зонах оптового рынка электрической энергии и мощности, в отношении которого необходимо получить заключение о подтверждении производства промышленной продукции на территории Российской Федерации» (или заменяющим его документом).</w:t>
      </w:r>
    </w:p>
  </w:footnote>
  <w:footnote w:id="7">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8">
    <w:p>
      <w:pPr>
        <w:pStyle w:val="FootnoteText"/>
        <w:jc w:val="both"/>
        <w:rPr/>
      </w:pPr>
      <w:r>
        <w:rPr>
          <w:rStyle w:val="Style14"/>
        </w:rPr>
        <w:footnoteRef/>
      </w:r>
      <w:r>
        <w:rPr/>
        <w:t xml:space="preserve"> </w:t>
      </w:r>
      <w:r>
        <w:rPr>
          <w:shd w:fill="auto" w:val="clear"/>
        </w:rPr>
        <w:t>Данный пункт применяется только в случае, если в отношении Контрагента (победителя закупки) введены санкции / ограничительные меры. Форма Дополнительного соглашения является типовой (ТФД № 12.3).</w:t>
      </w:r>
    </w:p>
  </w:footnote>
  <w:footnote w:id="9">
    <w:p>
      <w:pPr>
        <w:pStyle w:val="FootnoteText"/>
        <w:jc w:val="both"/>
        <w:rPr/>
      </w:pPr>
      <w:r>
        <w:rPr>
          <w:rStyle w:val="Style14"/>
        </w:rPr>
        <w:footnoteRef/>
      </w:r>
      <w:r>
        <w:rPr/>
        <w:t xml:space="preserve"> </w:t>
      </w:r>
      <w:r>
        <w:rPr/>
        <w:t>Указанное условие включается в Договор, если в пункте 4.8 Договора установлена обязанность Поставщика предоставить Покупателю копию(-и) заключения(-ий) о подтверждении производства Товара на территории Российской Федерации, 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w:t>
      </w:r>
    </w:p>
  </w:footnote>
  <w:footnote w:id="10">
    <w:p>
      <w:pPr>
        <w:pStyle w:val="FootnoteText"/>
        <w:jc w:val="both"/>
        <w:rPr/>
      </w:pPr>
      <w:r>
        <w:rPr>
          <w:rStyle w:val="Style14"/>
        </w:rPr>
        <w:footnoteRef/>
      </w:r>
      <w:r>
        <w:rPr/>
        <w:t xml:space="preserve"> </w:t>
      </w:r>
      <w:r>
        <w:rPr>
          <w:shd w:fill="auto" w:val="clear"/>
        </w:rPr>
        <w:t>Применяется в случае наличия между Сторонами заключенного соглашения о переходе на электронный</w:t>
      </w:r>
      <w:r>
        <w:rPr>
          <w:highlight w:val="lightGray"/>
        </w:rPr>
        <w:t xml:space="preserve"> </w:t>
      </w:r>
      <w:r>
        <w:rPr>
          <w:shd w:fill="auto" w:val="clear"/>
        </w:rPr>
        <w:t>юридически значимый документооборот (Соглашения об ЭДО).</w:t>
      </w:r>
    </w:p>
  </w:footnote>
  <w:footnote w:id="11">
    <w:p>
      <w:pPr>
        <w:pStyle w:val="FootnoteText"/>
        <w:jc w:val="both"/>
        <w:rPr/>
      </w:pPr>
      <w:r>
        <w:rPr>
          <w:rStyle w:val="Style14"/>
        </w:rPr>
        <w:footnoteRef/>
      </w:r>
      <w:r>
        <w:rPr/>
        <w:t xml:space="preserve"> </w:t>
      </w:r>
      <w:r>
        <w:rPr/>
        <w:t>В случае если Поставщик является СМП,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2">
    <w:p>
      <w:pPr>
        <w:pStyle w:val="FootnoteText"/>
        <w:jc w:val="both"/>
        <w:rPr/>
      </w:pPr>
      <w:r>
        <w:rPr>
          <w:rStyle w:val="Style14"/>
        </w:rPr>
        <w:footnoteRef/>
      </w:r>
      <w:r>
        <w:rPr/>
        <w:t xml:space="preserve"> </w:t>
      </w:r>
      <w:r>
        <w:rPr>
          <w:shd w:fill="auto" w:val="clear"/>
        </w:rPr>
        <w:t>Применяется в случае подписания собственноручно без использования усиленных квалифицированных электронных подписей (УКЭП).</w:t>
      </w:r>
    </w:p>
  </w:footnote>
  <w:footnote w:id="13">
    <w:p>
      <w:pPr>
        <w:pStyle w:val="FootnoteText"/>
        <w:jc w:val="both"/>
        <w:rPr/>
      </w:pPr>
      <w:r>
        <w:rPr>
          <w:rStyle w:val="Style14"/>
        </w:rPr>
        <w:footnoteRef/>
      </w:r>
      <w:r>
        <w:rPr/>
        <w:t xml:space="preserve"> </w:t>
      </w:r>
      <w:r>
        <w:rPr/>
        <w:t xml:space="preserve">В соответствии с Общероссийским классификатором стран мира (утв. постановлением Госстандарта России </w:t>
        <w:br/>
        <w:t>от 14.12.2001 № 529-ст).</w:t>
      </w:r>
    </w:p>
  </w:footnote>
  <w:footnote w:id="14">
    <w:p>
      <w:pPr>
        <w:pStyle w:val="FootnoteText"/>
        <w:jc w:val="both"/>
        <w:rPr/>
      </w:pPr>
      <w:r>
        <w:rPr>
          <w:rStyle w:val="Style14"/>
        </w:rPr>
        <w:footnoteRef/>
      </w:r>
      <w:r>
        <w:rPr/>
        <w:t xml:space="preserve"> </w:t>
      </w:r>
      <w:r>
        <w:rPr>
          <w:bCs/>
        </w:rPr>
        <w:t>Порядковый номер (номера) реестровой записи (реестровых записей), под которой (которыми) Товар  включен</w:t>
      </w:r>
      <w:bookmarkStart w:id="11" w:name="_GoBack_Копия_1_Копия_1_Копия_1_Копия_1_"/>
      <w:bookmarkEnd w:id="11"/>
      <w:r>
        <w:rPr>
          <w:bCs/>
        </w:rPr>
        <w:t xml:space="preserve">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15">
    <w:p>
      <w:pPr>
        <w:pStyle w:val="FootnoteText"/>
        <w:jc w:val="both"/>
        <w:rPr/>
      </w:pPr>
      <w:r>
        <w:rPr>
          <w:rStyle w:val="Style14"/>
        </w:rPr>
        <w:footnoteRef/>
      </w:r>
      <w:r>
        <w:rPr/>
        <w:t xml:space="preserve"> </w:t>
      </w:r>
      <w:r>
        <w:rPr/>
        <w:t xml:space="preserve">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w:t>
        <w:br/>
        <w:t>по которым предусмотрены федеральным законом от 18.07.2011 № 223-ФЗ «О закупках товаров, работ, услуг отдельными видами юридических лиц».</w:t>
      </w:r>
    </w:p>
  </w:footnote>
  <w:footnote w:id="16">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Заказчика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w:t>
      </w:r>
    </w:p>
  </w:footnote>
  <w:footnote w:id="17">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18">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19">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20">
    <w:p>
      <w:pPr>
        <w:pStyle w:val="FootnoteText"/>
        <w:jc w:val="both"/>
        <w:rPr/>
      </w:pPr>
      <w:r>
        <w:rPr>
          <w:rStyle w:val="Style14"/>
        </w:rPr>
        <w:footnoteRef/>
      </w:r>
      <w:r>
        <w:rPr/>
        <w:t xml:space="preserve"> </w:t>
      </w:r>
      <w:r>
        <w:rPr>
          <w:rFonts w:cs="Times New Roman"/>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21">
    <w:p>
      <w:pPr>
        <w:pStyle w:val="FootnoteText"/>
        <w:jc w:val="both"/>
        <w:rPr/>
      </w:pPr>
      <w:r>
        <w:rPr>
          <w:rStyle w:val="Style14"/>
        </w:rPr>
        <w:footnoteRef/>
      </w:r>
      <w:r>
        <w:rPr/>
        <w:t xml:space="preserve"> </w:t>
      </w:r>
      <w:r>
        <w:rPr>
          <w:rFonts w:cs="Times New Roman"/>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64" w:leader="none"/>
      </w:tabs>
      <w:ind w:left="8364" w:hanging="426"/>
      <w:rPr>
        <w:i/>
        <w:i/>
      </w:rPr>
    </w:pPr>
    <w:r>
      <w:rPr>
        <w:i/>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3">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4">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5">
    <w:lvl w:ilvl="0">
      <w:start w:val="6"/>
      <w:numFmt w:val="decimal"/>
      <w:lvlText w:val="%1."/>
      <w:lvlJc w:val="left"/>
      <w:pPr>
        <w:tabs>
          <w:tab w:val="num" w:pos="0"/>
        </w:tabs>
        <w:ind w:left="360" w:hanging="360"/>
      </w:pPr>
      <w:rPr/>
    </w:lvl>
    <w:lvl w:ilvl="1">
      <w:start w:val="5"/>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LineNumber">
    <w:name w:val="Line Number"/>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yperlink" Target="http://www.cbr.ru/" TargetMode="External"/><Relationship Id="rId9" Type="http://schemas.openxmlformats.org/officeDocument/2006/relationships/hyperlink" Target="http://www.cbr.ru/" TargetMode="Externa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Relationship Id="rId21" Type="http://schemas.openxmlformats.org/officeDocument/2006/relationships/customXml" Target="../customXml/item3.xml"/><Relationship Id="rId22"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DC28637-82A2-4882-B880-456EC7FD591C}">
  <ds:schemaRefs>
    <ds:schemaRef ds:uri="http://schemas.openxmlformats.org/officeDocument/2006/bibliography"/>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465</TotalTime>
  <Application>AlterOffice/3.4.0.9$Linux_X86_64 LibreOffice_project/b8daf9e823b1a5463a2f48435ddc2e8696e7d4fc</Application>
  <AppVersion>15.0000</AppVersion>
  <Pages>26</Pages>
  <Words>9586</Words>
  <Characters>69148</Characters>
  <CharactersWithSpaces>78439</CharactersWithSpaces>
  <Paragraphs>434</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2024-04-03T13:12:00Z</dcterms:created>
  <dc:creator>tsypilev_ag</dc:creator>
  <dc:description/>
  <dc:language>ru-RU</dc:language>
  <cp:lastModifiedBy>gluschenkosg@corp.gidroogk.com</cp:lastModifiedBy>
  <cp:lastPrinted>2018-05-22T09:46:00Z</cp:lastPrinted>
  <dcterms:modified xsi:type="dcterms:W3CDTF">2026-07-29T09:48:05Z</dcterms:modified>
  <cp:revision>56</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