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xml" ContentType="application/vnd.openxmlformats-officedocument.wordprocessingml.footer+xml"/>
  <Override PartName="/word/footnotes.xml" ContentType="application/vnd.openxmlformats-officedocument.wordprocessingml.footnotes+xml"/>
  <Override PartName="/word/_rels/document.xml.rels" ContentType="application/vnd.openxmlformats-package.relationship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customXml/_rels/item2.xml.rels" ContentType="application/vnd.openxmlformats-package.relationships+xml"/>
  <Override PartName="/customXml/_rels/item6.xml.rels" ContentType="application/vnd.openxmlformats-package.relationships+xml"/>
  <Override PartName="/customXml/_rels/item3.xml.rels" ContentType="application/vnd.openxmlformats-package.relationships+xml"/>
  <Override PartName="/customXml/_rels/item7.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7.xml" ContentType="application/vnd.openxmlformats-officedocument.customXmlProperties+xml"/>
  <Override PartName="/customXml/item1.xml" ContentType="application/xml"/>
  <Override PartName="/customXml/itemProps6.xml" ContentType="application/vnd.openxmlformats-officedocument.customXmlProperties+xml"/>
  <Override PartName="/customXml/itemProps1.xml" ContentType="application/vnd.openxmlformats-officedocument.customXmlProperties+xml"/>
  <Override PartName="/customXml/item6.xml" ContentType="application/xml"/>
  <Override PartName="/customXml/item7.xml" ContentType="application/xml"/>
  <Override PartName="/customXml/itemProps4.xml" ContentType="application/vnd.openxmlformats-officedocument.customXmlProperties+xml"/>
  <Override PartName="/customXml/itemProps5.xml" ContentType="application/vnd.openxmlformats-officedocument.customXmlProperties+xml"/>
  <Override PartName="/customXml/item5.xml" ContentType="application/xml"/>
  <Override PartName="/customXml/item4.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w:t>
      </w:r>
      <w:r>
        <w:rPr>
          <w:bCs/>
          <w:color w:val="000000"/>
          <w:lang w:val="ru-RU"/>
        </w:rPr>
        <w:t>Новочебоксарск</w:t>
      </w:r>
      <w:bookmarkStart w:id="0" w:name="OLE_LINK2"/>
      <w:bookmarkStart w:id="1" w:name="OLE_LINK1"/>
      <w:r>
        <w:rPr>
          <w:lang w:val="ru-RU"/>
        </w:rPr>
        <w:tab/>
        <w:tab/>
        <w:tab/>
        <w:tab/>
        <w:tab/>
        <w:tab/>
        <w:tab/>
      </w:r>
      <w:bookmarkEnd w:id="0"/>
      <w:bookmarkEnd w:id="1"/>
      <w:r>
        <w:rPr>
          <w:lang w:val="ru-RU"/>
        </w:rPr>
        <w:t xml:space="preserve">    </w:t>
      </w:r>
      <w:r>
        <w:rPr>
          <w:b/>
          <w:lang w:val="ru-RU"/>
        </w:rPr>
        <w:t>«___</w:t>
      </w:r>
      <w:r>
        <w:rPr>
          <w:bCs/>
          <w:lang w:val="ru-RU"/>
        </w:rPr>
        <w:t>» _____________ 2026 г.</w:t>
      </w:r>
    </w:p>
    <w:p>
      <w:pPr>
        <w:pStyle w:val="Normal"/>
        <w:jc w:val="both"/>
        <w:rPr>
          <w:bCs/>
          <w:lang w:val="ru-RU"/>
        </w:rPr>
      </w:pPr>
      <w:r>
        <w:rPr>
          <w:bCs/>
          <w:lang w:val="ru-RU"/>
        </w:rPr>
      </w:r>
    </w:p>
    <w:p>
      <w:pPr>
        <w:pStyle w:val="BodyText3"/>
        <w:spacing w:before="0" w:after="0"/>
        <w:ind w:firstLine="708"/>
        <w:jc w:val="both"/>
        <w:rPr>
          <w:sz w:val="24"/>
          <w:szCs w:val="24"/>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директора Филиала ПАО «РусГидро» - «Чебоксарская ГЭС» Дорофеева Антона Владимировича, действующего на основании Положения о Филиале и машиночитаемой доверенности № </w:t>
      </w:r>
      <w:r>
        <w:rPr>
          <w:rFonts w:eastAsia="Calibri"/>
          <w:sz w:val="24"/>
          <w:szCs w:val="24"/>
          <w:lang w:val="en-US"/>
        </w:rPr>
        <w:t>e</w:t>
      </w:r>
      <w:r>
        <w:rPr>
          <w:rFonts w:eastAsia="Calibri"/>
          <w:sz w:val="24"/>
          <w:szCs w:val="24"/>
          <w:lang w:val="ru-RU"/>
        </w:rPr>
        <w:t>7</w:t>
      </w:r>
      <w:r>
        <w:rPr>
          <w:rFonts w:eastAsia="Calibri"/>
          <w:sz w:val="24"/>
          <w:szCs w:val="24"/>
          <w:lang w:val="en-US"/>
        </w:rPr>
        <w:t>bd</w:t>
      </w:r>
      <w:r>
        <w:rPr>
          <w:rFonts w:eastAsia="Calibri"/>
          <w:sz w:val="24"/>
          <w:szCs w:val="24"/>
          <w:lang w:val="ru-RU"/>
        </w:rPr>
        <w:t>2493-</w:t>
      </w:r>
      <w:r>
        <w:rPr>
          <w:rFonts w:eastAsia="Calibri"/>
          <w:sz w:val="24"/>
          <w:szCs w:val="24"/>
          <w:lang w:val="en-US"/>
        </w:rPr>
        <w:t>fcbd</w:t>
      </w:r>
      <w:r>
        <w:rPr>
          <w:rFonts w:eastAsia="Calibri"/>
          <w:sz w:val="24"/>
          <w:szCs w:val="24"/>
          <w:lang w:val="ru-RU"/>
        </w:rPr>
        <w:t>-435</w:t>
      </w:r>
      <w:r>
        <w:rPr>
          <w:rFonts w:eastAsia="Calibri"/>
          <w:sz w:val="24"/>
          <w:szCs w:val="24"/>
          <w:lang w:val="en-US"/>
        </w:rPr>
        <w:t>e</w:t>
      </w:r>
      <w:r>
        <w:rPr>
          <w:rFonts w:eastAsia="Calibri"/>
          <w:sz w:val="24"/>
          <w:szCs w:val="24"/>
          <w:lang w:val="ru-RU"/>
        </w:rPr>
        <w:t>-</w:t>
      </w:r>
      <w:r>
        <w:rPr>
          <w:rFonts w:eastAsia="Calibri"/>
          <w:sz w:val="24"/>
          <w:szCs w:val="24"/>
          <w:lang w:val="en-US"/>
        </w:rPr>
        <w:t>b</w:t>
      </w:r>
      <w:r>
        <w:rPr>
          <w:rFonts w:eastAsia="Calibri"/>
          <w:sz w:val="24"/>
          <w:szCs w:val="24"/>
          <w:lang w:val="ru-RU"/>
        </w:rPr>
        <w:t>7</w:t>
      </w:r>
      <w:r>
        <w:rPr>
          <w:rFonts w:eastAsia="Calibri"/>
          <w:sz w:val="24"/>
          <w:szCs w:val="24"/>
          <w:lang w:val="en-US"/>
        </w:rPr>
        <w:t>db</w:t>
      </w:r>
      <w:r>
        <w:rPr>
          <w:rFonts w:eastAsia="Calibri"/>
          <w:sz w:val="24"/>
          <w:szCs w:val="24"/>
          <w:lang w:val="ru-RU"/>
        </w:rPr>
        <w:t>-</w:t>
      </w:r>
      <w:r>
        <w:rPr>
          <w:rFonts w:eastAsia="Calibri"/>
          <w:sz w:val="24"/>
          <w:szCs w:val="24"/>
          <w:lang w:val="en-US"/>
        </w:rPr>
        <w:t>bc</w:t>
      </w:r>
      <w:r>
        <w:rPr>
          <w:rFonts w:eastAsia="Calibri"/>
          <w:sz w:val="24"/>
          <w:szCs w:val="24"/>
          <w:lang w:val="ru-RU"/>
        </w:rPr>
        <w:t>20</w:t>
      </w:r>
      <w:r>
        <w:rPr>
          <w:rFonts w:eastAsia="Calibri"/>
          <w:sz w:val="24"/>
          <w:szCs w:val="24"/>
          <w:lang w:val="en-US"/>
        </w:rPr>
        <w:t>ac</w:t>
      </w:r>
      <w:r>
        <w:rPr>
          <w:rFonts w:eastAsia="Calibri"/>
          <w:sz w:val="24"/>
          <w:szCs w:val="24"/>
          <w:lang w:val="ru-RU"/>
        </w:rPr>
        <w:t>10</w:t>
      </w:r>
      <w:r>
        <w:rPr>
          <w:rFonts w:eastAsia="Calibri"/>
          <w:sz w:val="24"/>
          <w:szCs w:val="24"/>
          <w:lang w:val="en-US"/>
        </w:rPr>
        <w:t>b</w:t>
      </w:r>
      <w:r>
        <w:rPr>
          <w:rFonts w:eastAsia="Calibri"/>
          <w:sz w:val="24"/>
          <w:szCs w:val="24"/>
          <w:lang w:val="ru-RU"/>
        </w:rPr>
        <w:t>81</w:t>
      </w:r>
      <w:r>
        <w:rPr>
          <w:rFonts w:eastAsia="Calibri"/>
          <w:sz w:val="24"/>
          <w:szCs w:val="24"/>
          <w:lang w:val="en-US"/>
        </w:rPr>
        <w:t>d</w:t>
      </w:r>
      <w:r>
        <w:rPr>
          <w:sz w:val="24"/>
          <w:szCs w:val="24"/>
          <w:lang w:val="ru-RU"/>
        </w:rPr>
        <w:t xml:space="preserve"> от 15.01.2025, с одной стороны, и _______________________ (далее – «Исполнитель»), в лице _____________________, действующего на основании ______________, с другой стороны, совместно в дальнейшем именуемые «Стороны», а по отдельности – «Сторона», </w:t>
      </w:r>
      <w:r>
        <w:rPr>
          <w:sz w:val="24"/>
          <w:szCs w:val="24"/>
          <w:shd w:fill="auto" w:val="clear"/>
          <w:lang w:val="ru-RU"/>
        </w:rPr>
        <w:t>по</w:t>
      </w:r>
      <w:r>
        <w:rPr>
          <w:sz w:val="24"/>
          <w:szCs w:val="24"/>
          <w:shd w:fill="auto" w:val="clear"/>
          <w:lang w:val="en-US"/>
        </w:rPr>
        <w:t> </w:t>
      </w:r>
      <w:r>
        <w:rPr>
          <w:sz w:val="24"/>
          <w:szCs w:val="24"/>
          <w:shd w:fill="auto" w:val="clear"/>
          <w:lang w:val="ru-RU"/>
        </w:rPr>
        <w:t xml:space="preserve">результатам проведенной Заказчиком конкурентной процедуры по лоту № </w:t>
      </w:r>
      <w:r>
        <w:rPr>
          <w:b w:val="false"/>
          <w:bCs w:val="false"/>
          <w:sz w:val="24"/>
          <w:szCs w:val="24"/>
          <w:shd w:fill="auto" w:val="clear"/>
          <w:lang w:val="ru-RU"/>
        </w:rPr>
        <w:t>1-РЕКЛДК-2026-ЧеГЭС,</w:t>
      </w:r>
      <w:r>
        <w:rPr>
          <w:sz w:val="24"/>
          <w:szCs w:val="24"/>
          <w:shd w:fill="auto" w:val="clear"/>
          <w:lang w:val="ru-RU"/>
        </w:rPr>
        <w:t xml:space="preserve"> и</w:t>
      </w:r>
      <w:r>
        <w:rPr>
          <w:sz w:val="24"/>
          <w:szCs w:val="24"/>
          <w:shd w:fill="auto" w:val="clear"/>
          <w:lang w:val="en-US"/>
        </w:rPr>
        <w:t> </w:t>
      </w:r>
      <w:r>
        <w:rPr>
          <w:bCs/>
          <w:sz w:val="24"/>
          <w:szCs w:val="24"/>
          <w:shd w:fill="auto" w:val="clear"/>
          <w:lang w:val="ru-RU"/>
        </w:rPr>
        <w:t>на</w:t>
      </w:r>
      <w:r>
        <w:rPr>
          <w:bCs/>
          <w:sz w:val="24"/>
          <w:szCs w:val="24"/>
          <w:shd w:fill="auto" w:val="clear"/>
          <w:lang w:val="en-US"/>
        </w:rPr>
        <w:t> </w:t>
      </w:r>
      <w:r>
        <w:rPr>
          <w:bCs/>
          <w:sz w:val="24"/>
          <w:szCs w:val="24"/>
          <w:shd w:fill="auto" w:val="clear"/>
          <w:lang w:val="ru-RU"/>
        </w:rPr>
        <w:t xml:space="preserve">основании Протокола №__________________ от «___» _________ года, </w:t>
      </w:r>
      <w:r>
        <w:rPr>
          <w:sz w:val="24"/>
          <w:szCs w:val="24"/>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overflowPunct w:val="fals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Normal"/>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sz w:val="24"/>
          <w:szCs w:val="24"/>
          <w:shd w:fill="auto" w:val="clear"/>
        </w:rPr>
        <w:t xml:space="preserve">организации и проведению юбилейного корпоративного мероприятия в рамках празднования 45-летия Чебоксарской ГЭС </w:t>
      </w:r>
      <w:r>
        <w:rPr>
          <w:shd w:fill="auto" w:val="clear"/>
        </w:rPr>
        <w:t>(</w:t>
      </w:r>
      <w:r>
        <w:rPr>
          <w:bCs/>
          <w:shd w:fill="auto" w:val="clear"/>
        </w:rPr>
        <w:t>далее – «Услуги»)</w:t>
      </w:r>
      <w:r>
        <w:rPr>
          <w:shd w:fill="auto" w:val="clear"/>
        </w:rPr>
        <w:t xml:space="preserve">, а Заказчик обязуется принять и оплатить Услуги в </w:t>
      </w:r>
      <w:r>
        <w:rPr/>
        <w:t>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bCs/>
          <w:shd w:fill="auto" w:val="clear"/>
          <w:lang w:val="ru-RU"/>
        </w:rPr>
        <w:t>Филиала ПАО «РусГидро» - «Чебоксарская ГЭС»</w:t>
      </w:r>
      <w:r>
        <w:rPr>
          <w:shd w:fill="auto" w:val="clea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Место оказания </w:t>
      </w:r>
      <w:r>
        <w:rPr>
          <w:shd w:fill="auto" w:val="clear"/>
          <w:lang w:val="ru-RU"/>
        </w:rPr>
        <w:t>У</w:t>
      </w:r>
      <w:r>
        <w:rPr>
          <w:shd w:fill="auto" w:val="clear"/>
        </w:rPr>
        <w:t xml:space="preserve">слуг: </w:t>
      </w:r>
      <w:r>
        <w:rPr>
          <w:bCs/>
          <w:shd w:fill="auto" w:val="clear"/>
          <w:lang w:val="ru-RU"/>
        </w:rPr>
        <w:t>Чувашская Республика, г. Новочебоксарск</w:t>
      </w:r>
      <w:r>
        <w:rPr>
          <w:shd w:fill="auto" w:val="clea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1</w:t>
      </w:r>
      <w:r>
        <w:rPr>
          <w:bCs/>
          <w:shd w:fill="auto" w:val="clear"/>
        </w:rPr>
        <w:t>5 сентября 2026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Окончание</w:t>
      </w:r>
      <w:r>
        <w:rPr>
          <w:bCs/>
          <w:shd w:fill="auto" w:val="clear"/>
          <w:lang w:val="ru-RU"/>
        </w:rPr>
        <w:t xml:space="preserve"> оказания Услуг:</w:t>
      </w:r>
      <w:r>
        <w:rPr>
          <w:bCs/>
          <w:shd w:fill="auto" w:val="clear"/>
        </w:rPr>
        <w:t xml:space="preserve"> 30 декабря 2026 г.</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4"/>
        </w:numPr>
        <w:shd w:val="clear" w:color="auto" w:fill="FFFFFF"/>
        <w:tabs>
          <w:tab w:val="clear" w:pos="709"/>
          <w:tab w:val="left" w:pos="1418" w:leader="none"/>
        </w:tabs>
        <w:ind w:left="0" w:firstLine="709"/>
        <w:jc w:val="both"/>
        <w:rPr>
          <w:bCs/>
        </w:rPr>
      </w:pPr>
      <w:bookmarkStart w:id="2"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4"/>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 и не влечет возникновения права Исполнителя на их оплату.</w:t>
      </w:r>
    </w:p>
    <w:p>
      <w:pPr>
        <w:pStyle w:val="ListParagraph"/>
        <w:numPr>
          <w:ilvl w:val="2"/>
          <w:numId w:val="14"/>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4"/>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2.3.6.1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2.3.6.1 Договора. </w:t>
      </w:r>
    </w:p>
    <w:p>
      <w:pPr>
        <w:pStyle w:val="ListParagraph"/>
        <w:numPr>
          <w:ilvl w:val="2"/>
          <w:numId w:val="14"/>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4"/>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4"/>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shd w:val="clear" w:color="auto" w:fill="FFFFFF"/>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4"/>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shd w:val="clear" w:color="auto" w:fill="FFFFFF"/>
        <w:tabs>
          <w:tab w:val="clear" w:pos="709"/>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4"/>
        </w:numPr>
        <w:shd w:val="clear" w:color="auto" w:fill="FFFFFF"/>
        <w:tabs>
          <w:tab w:val="clear" w:pos="709"/>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shd w:val="clear" w:color="auto" w:fill="FFFFFF"/>
        <w:tabs>
          <w:tab w:val="clear" w:pos="709"/>
          <w:tab w:val="left" w:pos="1418" w:leader="none"/>
        </w:tabs>
        <w:ind w:left="0" w:firstLine="709"/>
        <w:jc w:val="both"/>
        <w:rPr/>
      </w:pPr>
      <w:r>
        <w:rPr/>
        <w:t xml:space="preserve"> </w:t>
      </w: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 xml:space="preserve">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 </w:t>
      </w:r>
    </w:p>
    <w:p>
      <w:pPr>
        <w:pStyle w:val="ListParagraph"/>
        <w:numPr>
          <w:ilvl w:val="0"/>
          <w:numId w:val="16"/>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 xml:space="preserve">течение 24 (двадцати четырех) часов. </w:t>
      </w:r>
    </w:p>
    <w:p>
      <w:pPr>
        <w:pStyle w:val="ListParagraph"/>
        <w:numPr>
          <w:ilvl w:val="0"/>
          <w:numId w:val="0"/>
        </w:numPr>
        <w:tabs>
          <w:tab w:val="clear" w:pos="709"/>
          <w:tab w:val="left" w:pos="1134" w:leader="none"/>
          <w:tab w:val="left" w:pos="1276" w:leader="none"/>
        </w:tabs>
        <w:ind w:left="0" w:hanging="0"/>
        <w:jc w:val="both"/>
        <w:rPr/>
      </w:pPr>
      <w:r>
        <w:rPr/>
        <w:t xml:space="preserve">           </w:t>
      </w:r>
      <w:r>
        <w:rPr/>
        <w:t xml:space="preserve">2.3.12. 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 </w:t>
      </w:r>
    </w:p>
    <w:p>
      <w:pPr>
        <w:pStyle w:val="ListParagraph"/>
        <w:numPr>
          <w:ilvl w:val="0"/>
          <w:numId w:val="0"/>
        </w:numPr>
        <w:tabs>
          <w:tab w:val="clear" w:pos="709"/>
          <w:tab w:val="left" w:pos="1134" w:leader="none"/>
          <w:tab w:val="left" w:pos="1276" w:leader="none"/>
        </w:tabs>
        <w:ind w:left="0" w:hanging="0"/>
        <w:jc w:val="both"/>
        <w:rPr/>
      </w:pPr>
      <w:r>
        <w:rPr/>
        <w:t xml:space="preserve">          </w:t>
      </w:r>
      <w:r>
        <w:rPr/>
        <w:t>2.3.13.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7" w:name="_GoBack"/>
      <w:bookmarkEnd w:id="7"/>
      <w:r>
        <w:rPr/>
        <w:t xml:space="preserve"> </w:t>
      </w:r>
    </w:p>
    <w:p>
      <w:pPr>
        <w:pStyle w:val="ListParagraph"/>
        <w:numPr>
          <w:ilvl w:val="0"/>
          <w:numId w:val="0"/>
        </w:numPr>
        <w:tabs>
          <w:tab w:val="clear" w:pos="709"/>
          <w:tab w:val="left" w:pos="1134" w:leader="none"/>
          <w:tab w:val="left" w:pos="1276" w:leader="none"/>
        </w:tabs>
        <w:ind w:left="0" w:hanging="0"/>
        <w:jc w:val="both"/>
        <w:rPr/>
      </w:pPr>
      <w:r>
        <w:rPr/>
        <w:t xml:space="preserve">         </w:t>
      </w:r>
      <w:r>
        <w:rPr/>
        <w:t xml:space="preserve">2.3.14. 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0"/>
          <w:numId w:val="0"/>
        </w:numPr>
        <w:shd w:val="clear" w:color="auto" w:fill="FFFFFF"/>
        <w:tabs>
          <w:tab w:val="clear" w:pos="709"/>
          <w:tab w:val="left" w:pos="1134" w:leader="none"/>
        </w:tabs>
        <w:ind w:left="0" w:hanging="0"/>
        <w:jc w:val="both"/>
        <w:rPr/>
      </w:pPr>
      <w:r>
        <w:rPr>
          <w:u w:val="none"/>
        </w:rPr>
        <w:t xml:space="preserve">            </w:t>
      </w:r>
      <w:r>
        <w:rPr>
          <w:u w:val="single"/>
        </w:rPr>
        <w:t>2.4. Исполнитель имеет право</w:t>
      </w:r>
      <w:r>
        <w:rPr/>
        <w:t>:</w:t>
      </w:r>
    </w:p>
    <w:p>
      <w:pPr>
        <w:pStyle w:val="ListParagraph"/>
        <w:numPr>
          <w:ilvl w:val="2"/>
          <w:numId w:val="20"/>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20"/>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0"/>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0"/>
          <w:numId w:val="0"/>
        </w:numPr>
        <w:shd w:val="clear" w:color="auto" w:fill="FFFFFF"/>
        <w:tabs>
          <w:tab w:val="clear" w:pos="709"/>
          <w:tab w:val="left" w:pos="1418" w:leader="none"/>
        </w:tabs>
        <w:ind w:left="0" w:hanging="0"/>
        <w:jc w:val="both"/>
        <w:rPr>
          <w:rFonts w:ascii="Times New Roman" w:hAnsi="Times New Roman"/>
          <w:sz w:val="24"/>
        </w:rPr>
      </w:pPr>
      <w:r>
        <w:rPr>
          <w:sz w:val="24"/>
        </w:rPr>
      </w:r>
    </w:p>
    <w:p>
      <w:pPr>
        <w:pStyle w:val="ListParagraph"/>
        <w:numPr>
          <w:ilvl w:val="0"/>
          <w:numId w:val="20"/>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6"/>
        </w:numPr>
        <w:shd w:val="clear" w:color="auto" w:fill="FFFFFF"/>
        <w:tabs>
          <w:tab w:val="clear" w:pos="709"/>
          <w:tab w:val="left" w:pos="284" w:leader="none"/>
          <w:tab w:val="left" w:pos="1134" w:leader="none"/>
        </w:tabs>
        <w:ind w:left="0" w:firstLine="709"/>
        <w:jc w:val="both"/>
        <w:rPr>
          <w:b/>
        </w:rPr>
      </w:pPr>
      <w:r>
        <w:rPr/>
        <w:t xml:space="preserve">Цена Договора в </w:t>
      </w:r>
      <w:r>
        <w:rPr>
          <w:shd w:fill="auto" w:val="clear"/>
        </w:rPr>
        <w:t>соответствии с Расчетом стоимости Услуг (Прил</w:t>
      </w:r>
      <w:r>
        <w:rPr/>
        <w:t>ожение № 2 к Договору)</w:t>
      </w:r>
      <w:r>
        <w:rPr>
          <w:shd w:fill="auto" w:val="clear"/>
        </w:rPr>
        <w:t xml:space="preserve"> является твердой и составляет </w:t>
      </w:r>
      <w:r>
        <w:rPr/>
        <w:t>__________ (________________________)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6"/>
        </w:numPr>
        <w:shd w:val="clear" w:color="auto" w:fill="FFFFFF"/>
        <w:tabs>
          <w:tab w:val="clear" w:pos="709"/>
          <w:tab w:val="left" w:pos="355" w:leader="none"/>
          <w:tab w:val="left" w:pos="1134" w:leader="none"/>
        </w:tabs>
        <w:ind w:left="0" w:firstLine="709"/>
        <w:jc w:val="both"/>
        <w:rPr>
          <w:highlight w:val="none"/>
          <w:shd w:fill="auto" w:val="clear"/>
        </w:rPr>
      </w:pPr>
      <w:r>
        <w:rPr>
          <w:shd w:fill="auto" w:val="clear"/>
        </w:rPr>
        <w:t>Цена Договора включает в себя прибыль Исполнителя, а также все расходы и затраты Исполнителя на:</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 xml:space="preserve">заработную плату, накладные расходы; </w:t>
      </w:r>
    </w:p>
    <w:p>
      <w:pPr>
        <w:pStyle w:val="ListParagraph"/>
        <w:numPr>
          <w:ilvl w:val="2"/>
          <w:numId w:val="17"/>
        </w:numPr>
        <w:shd w:val="clear" w:color="auto" w:fill="FFFFFF"/>
        <w:tabs>
          <w:tab w:val="clear" w:pos="709"/>
          <w:tab w:val="left" w:pos="1418" w:leader="none"/>
        </w:tabs>
        <w:ind w:left="0" w:firstLine="709"/>
        <w:jc w:val="both"/>
        <w:rPr/>
      </w:pPr>
      <w:r>
        <w:rPr>
          <w:shd w:fill="auto" w:val="clear"/>
        </w:rPr>
        <w:t>подлежащие уплате налоги, сборы и пошлины</w:t>
      </w:r>
      <w:r>
        <w:rPr/>
        <w:t xml:space="preserve">; </w:t>
      </w:r>
    </w:p>
    <w:p>
      <w:pPr>
        <w:pStyle w:val="ListParagraph"/>
        <w:numPr>
          <w:ilvl w:val="2"/>
          <w:numId w:val="17"/>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0"/>
          <w:numId w:val="0"/>
        </w:numPr>
        <w:shd w:val="clear" w:color="auto" w:fill="FFFFFF"/>
        <w:tabs>
          <w:tab w:val="left" w:pos="709" w:leader="none"/>
          <w:tab w:val="left" w:pos="851" w:leader="none"/>
          <w:tab w:val="left" w:pos="1134" w:leader="none"/>
        </w:tabs>
        <w:ind w:left="0" w:hanging="0"/>
        <w:jc w:val="both"/>
        <w:rPr/>
      </w:pPr>
      <w:r>
        <w:rPr/>
        <w:t xml:space="preserve">         </w:t>
      </w:r>
      <w:r>
        <w:rPr/>
        <w:t>3.3. 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pPr>
      <w:bookmarkStart w:id="8" w:name="_Ref361858588"/>
      <w:r>
        <w:rPr/>
        <w:t>Оплата по Договору осуществляется Заказчиком в следующем порядке:</w:t>
      </w:r>
      <w:bookmarkEnd w:id="8"/>
      <w:r>
        <w:rPr/>
        <w:t xml:space="preserve"> </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9" w:name="_Ref373240288"/>
      <w:bookmarkStart w:id="10" w:name="_Ref361834178"/>
      <w:bookmarkEnd w:id="10"/>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bCs/>
        </w:rPr>
        <w:t xml:space="preserve">Авансовый платеж </w:t>
      </w:r>
      <w:r>
        <w:rPr/>
        <w:t>в размере</w:t>
      </w:r>
      <w:r>
        <w:rPr>
          <w:shd w:fill="auto" w:val="clear"/>
        </w:rPr>
        <w:t xml:space="preserve"> 100 (ста) процентов от с</w:t>
      </w:r>
      <w:r>
        <w:rPr/>
        <w:t xml:space="preserve">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пунктов 3.4.1 и 3.4.3 Договора. </w:t>
      </w:r>
      <w:bookmarkEnd w:id="9"/>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1" w:name="_Ref372549497"/>
      <w:bookmarkStart w:id="12" w:name="_Ref361834178_Копия_1"/>
      <w:bookmarkEnd w:id="12"/>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t xml:space="preserve"> </w:t>
      </w:r>
    </w:p>
    <w:p>
      <w:pPr>
        <w:pStyle w:val="ListParagraph"/>
        <w:shd w:val="clear" w:color="auto" w:fill="FFFFFF"/>
        <w:tabs>
          <w:tab w:val="left" w:pos="709" w:leader="none"/>
        </w:tabs>
        <w:ind w:left="0" w:firstLine="709"/>
        <w:jc w:val="both"/>
        <w:rPr/>
      </w:pPr>
      <w:r>
        <w:rPr/>
        <w:t xml:space="preserve">3.4.4. </w:t>
      </w: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3.4.1 Договора, в установленный срок и при этом не приступил к исполнению обязательств по Договору.</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2.3.5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t xml:space="preserve">По окончании оказания Услуг Исполнитель в течение </w:t>
      </w:r>
      <w:r>
        <w:rPr>
          <w:shd w:fill="auto" w:val="clear"/>
        </w:rPr>
        <w:t>3 (трех) рабочих дней</w:t>
      </w:r>
      <w:r>
        <w:rPr/>
        <w:t xml:space="preserve"> предоставляет Заказчику подписанный со своей стороны в 2 (двух) экземплярах Акт об оказании Услуг по форме Приложения № 3 к Договору/УПД.</w:t>
      </w:r>
    </w:p>
    <w:p>
      <w:pPr>
        <w:pStyle w:val="ListParagraph"/>
        <w:numPr>
          <w:ilvl w:val="1"/>
          <w:numId w:val="21"/>
        </w:numPr>
        <w:shd w:val="clear" w:color="auto" w:fill="FFFFFF"/>
        <w:tabs>
          <w:tab w:val="clear" w:pos="709"/>
          <w:tab w:val="left" w:pos="284" w:leader="none"/>
          <w:tab w:val="left" w:pos="1134" w:leader="none"/>
        </w:tabs>
        <w:ind w:left="0" w:firstLine="709"/>
        <w:jc w:val="both"/>
        <w:rPr/>
      </w:pPr>
      <w:bookmarkStart w:id="13" w:name="_Ref372745126"/>
      <w:r>
        <w:rPr/>
        <w:t xml:space="preserve">В течение </w:t>
      </w:r>
      <w:r>
        <w:rPr>
          <w:shd w:fill="auto" w:val="clear"/>
        </w:rPr>
        <w:t xml:space="preserve">5 (пяти) рабочих дней с </w:t>
      </w:r>
      <w:r>
        <w:rPr/>
        <w:t>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3"/>
      <w:r>
        <w:rPr/>
        <w:t xml:space="preserve"> </w:t>
      </w:r>
    </w:p>
    <w:p>
      <w:pPr>
        <w:pStyle w:val="ListParagraph"/>
        <w:numPr>
          <w:ilvl w:val="1"/>
          <w:numId w:val="21"/>
        </w:numPr>
        <w:shd w:val="clear" w:color="auto" w:fill="FFFFFF"/>
        <w:tabs>
          <w:tab w:val="clear" w:pos="709"/>
          <w:tab w:val="left" w:pos="284" w:leader="none"/>
          <w:tab w:val="left" w:pos="1134" w:leader="none"/>
        </w:tabs>
        <w:ind w:left="0" w:firstLine="709"/>
        <w:jc w:val="both"/>
        <w:rPr/>
      </w:pPr>
      <w:bookmarkStart w:id="14"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5" w:name="_Ref361337525"/>
      <w:bookmarkEnd w:id="14"/>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5"/>
    </w:p>
    <w:p>
      <w:pPr>
        <w:pStyle w:val="ListParagraph"/>
        <w:shd w:val="clear" w:color="auto" w:fill="FFFFFF"/>
        <w:tabs>
          <w:tab w:val="clear" w:pos="709"/>
          <w:tab w:val="left" w:pos="1134" w:leader="none"/>
        </w:tabs>
        <w:ind w:left="0" w:firstLine="709"/>
        <w:jc w:val="both"/>
        <w:rPr/>
      </w:pPr>
      <w:r>
        <w:rPr/>
      </w:r>
    </w:p>
    <w:p>
      <w:pPr>
        <w:pStyle w:val="ListParagraph"/>
        <w:numPr>
          <w:ilvl w:val="0"/>
          <w:numId w:val="18"/>
        </w:numPr>
        <w:shd w:val="clear" w:color="auto" w:fill="FFFFFF"/>
        <w:tabs>
          <w:tab w:val="clear" w:pos="709"/>
          <w:tab w:val="left" w:pos="284" w:leader="none"/>
        </w:tabs>
        <w:ind w:left="0" w:hanging="0"/>
        <w:jc w:val="center"/>
        <w:rPr>
          <w:b/>
        </w:rPr>
      </w:pPr>
      <w:r>
        <w:rPr>
          <w:b/>
        </w:rPr>
        <w:t>Банковская гарантия</w:t>
      </w:r>
    </w:p>
    <w:p>
      <w:pPr>
        <w:pStyle w:val="ListParagraph"/>
        <w:numPr>
          <w:ilvl w:val="1"/>
          <w:numId w:val="22"/>
        </w:numPr>
        <w:shd w:val="clear" w:color="auto" w:fill="FFFFFF"/>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2"/>
        </w:numPr>
        <w:shd w:val="clear" w:color="auto" w:fill="FFFFFF"/>
        <w:tabs>
          <w:tab w:val="clear" w:pos="709"/>
          <w:tab w:val="left" w:pos="1134"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2"/>
        </w:numPr>
        <w:shd w:val="clear" w:color="auto" w:fill="FFFFFF"/>
        <w:tabs>
          <w:tab w:val="clear" w:pos="709"/>
          <w:tab w:val="left" w:pos="1134"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3"/>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4"/>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4"/>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418" w:leader="none"/>
        </w:tabs>
        <w:ind w:left="0" w:firstLine="709"/>
        <w:jc w:val="both"/>
        <w:rPr/>
      </w:pPr>
      <w: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4"/>
        </w:numPr>
        <w:shd w:val="clear" w:color="auto" w:fill="FFFFFF"/>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Услуг, установленной Договором.</w:t>
      </w:r>
    </w:p>
    <w:p>
      <w:pPr>
        <w:pStyle w:val="ListParagraph"/>
        <w:numPr>
          <w:ilvl w:val="2"/>
          <w:numId w:val="24"/>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4"/>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4"/>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4"/>
        </w:numPr>
        <w:shd w:val="clear" w:color="auto" w:fill="FFFFFF"/>
        <w:tabs>
          <w:tab w:val="clear" w:pos="709"/>
          <w:tab w:val="left" w:pos="1418" w:leader="none"/>
          <w:tab w:val="left" w:pos="1701" w:leader="none"/>
        </w:tabs>
        <w:ind w:left="0" w:firstLine="709"/>
        <w:jc w:val="both"/>
        <w:rPr>
          <w:sz w:val="24"/>
          <w:szCs w:val="24"/>
        </w:rPr>
      </w:pPr>
      <w:r>
        <w:rPr>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1418" w:leader="none"/>
          <w:tab w:val="left" w:pos="1701" w:leader="none"/>
        </w:tabs>
        <w:ind w:left="0" w:firstLine="709"/>
        <w:jc w:val="both"/>
        <w:rPr>
          <w:sz w:val="24"/>
          <w:szCs w:val="24"/>
        </w:rPr>
      </w:pPr>
      <w:r>
        <w:rPr>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1418" w:leader="none"/>
          <w:tab w:val="left" w:pos="1701" w:leader="none"/>
        </w:tabs>
        <w:ind w:left="0" w:firstLine="709"/>
        <w:jc w:val="both"/>
        <w:rPr>
          <w:sz w:val="24"/>
          <w:szCs w:val="24"/>
        </w:rPr>
      </w:pPr>
      <w:r>
        <w:rPr>
          <w:sz w:val="24"/>
          <w:szCs w:val="24"/>
        </w:rPr>
        <w:t>- в оригинале на бумажном носителе.</w:t>
      </w:r>
    </w:p>
    <w:p>
      <w:pPr>
        <w:pStyle w:val="Normal"/>
        <w:numPr>
          <w:ilvl w:val="1"/>
          <w:numId w:val="24"/>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4 к Договору.</w:t>
      </w:r>
    </w:p>
    <w:p>
      <w:pPr>
        <w:pStyle w:val="ListParagraph"/>
        <w:numPr>
          <w:ilvl w:val="1"/>
          <w:numId w:val="24"/>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4"/>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4"/>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4"/>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3"/>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bCs/>
        </w:rPr>
        <w:footnoteReference w:id="2"/>
      </w:r>
      <w:r>
        <w:rPr>
          <w:bCs/>
        </w:rPr>
        <w:t xml:space="preserve"> при выплате каждого платежа, причитающегося Исполнителю, до полного зачета неотработанного аванса</w:t>
      </w:r>
      <w:r>
        <w:rPr/>
        <w:t>.</w:t>
      </w:r>
    </w:p>
    <w:p>
      <w:pPr>
        <w:pStyle w:val="ListParagraph"/>
        <w:numPr>
          <w:ilvl w:val="1"/>
          <w:numId w:val="24"/>
        </w:numPr>
        <w:shd w:val="clear" w:color="auto" w:fill="FFFFFF"/>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4"/>
        </w:numPr>
        <w:shd w:val="clear" w:color="auto" w:fill="FFFFFF"/>
        <w:tabs>
          <w:tab w:val="clear" w:pos="709"/>
          <w:tab w:val="left" w:pos="1134" w:leader="none"/>
        </w:tabs>
        <w:ind w:left="0" w:firstLine="709"/>
        <w:jc w:val="both"/>
        <w:rPr>
          <w:bCs/>
        </w:rPr>
      </w:pPr>
      <w:r>
        <w:rPr>
          <w:bCs/>
        </w:rPr>
        <w:t xml:space="preserve">Положения пункта 3.4.1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4"/>
        </w:numPr>
        <w:shd w:val="clear" w:color="auto" w:fill="FFFFFF"/>
        <w:tabs>
          <w:tab w:val="clear" w:pos="709"/>
          <w:tab w:val="left" w:pos="1134" w:leader="none"/>
        </w:tabs>
        <w:ind w:left="0" w:firstLine="709"/>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1134" w:leader="none"/>
        </w:tabs>
        <w:jc w:val="both"/>
        <w:rPr>
          <w:bCs/>
          <w:lang w:val="ru-RU"/>
        </w:rPr>
      </w:pPr>
      <w:r>
        <w:rPr>
          <w:bCs/>
          <w:lang w:val="ru-RU"/>
        </w:rPr>
      </w:r>
    </w:p>
    <w:p>
      <w:pPr>
        <w:pStyle w:val="ListParagraph"/>
        <w:numPr>
          <w:ilvl w:val="0"/>
          <w:numId w:val="24"/>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24"/>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5"/>
        </w:numPr>
        <w:tabs>
          <w:tab w:val="clear" w:pos="709"/>
          <w:tab w:val="left" w:pos="496" w:leader="none"/>
          <w:tab w:val="left" w:pos="1134"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5"/>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25"/>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25"/>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5"/>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3.7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5"/>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0"/>
          <w:numId w:val="0"/>
        </w:numPr>
        <w:shd w:val="clear" w:color="auto" w:fill="FFFFFF"/>
        <w:tabs>
          <w:tab w:val="clear" w:pos="709"/>
          <w:tab w:val="left" w:pos="1134" w:leader="none"/>
        </w:tabs>
        <w:ind w:left="0" w:hanging="0"/>
        <w:jc w:val="both"/>
        <w:rPr>
          <w:bCs/>
        </w:rPr>
      </w:pPr>
      <w:r>
        <w:rPr/>
        <w:t xml:space="preserve">        </w:t>
      </w:r>
      <w:r>
        <w:rPr/>
        <w:t>6.8. 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 xml:space="preserve">м своих обязательств, произведенных для восстановления нарушенного права, а также упущенной выгоды. </w:t>
      </w:r>
    </w:p>
    <w:p>
      <w:pPr>
        <w:pStyle w:val="ListParagraph"/>
        <w:numPr>
          <w:ilvl w:val="0"/>
          <w:numId w:val="0"/>
        </w:numPr>
        <w:shd w:val="clear" w:color="auto" w:fill="FFFFFF"/>
        <w:tabs>
          <w:tab w:val="clear" w:pos="709"/>
          <w:tab w:val="left" w:pos="1134" w:leader="none"/>
        </w:tabs>
        <w:ind w:left="0" w:hanging="0"/>
        <w:jc w:val="both"/>
        <w:rPr>
          <w:bCs/>
        </w:rPr>
      </w:pPr>
      <w:r>
        <w:rPr>
          <w:bCs/>
        </w:rPr>
        <w:t xml:space="preserve">    </w:t>
      </w:r>
      <w:r>
        <w:rPr>
          <w:bCs/>
        </w:rPr>
        <w:t xml:space="preserve">6.9.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0"/>
          <w:numId w:val="0"/>
        </w:numPr>
        <w:shd w:val="clear" w:color="auto" w:fill="FFFFFF"/>
        <w:tabs>
          <w:tab w:val="clear" w:pos="709"/>
          <w:tab w:val="left" w:pos="1134" w:leader="none"/>
        </w:tabs>
        <w:ind w:left="0" w:hanging="0"/>
        <w:jc w:val="both"/>
        <w:rPr>
          <w:bCs/>
        </w:rPr>
      </w:pPr>
      <w:r>
        <w:rPr>
          <w:bCs/>
        </w:rPr>
        <w:t xml:space="preserve">     </w:t>
      </w:r>
      <w:r>
        <w:rPr>
          <w:bCs/>
        </w:rPr>
        <w:t>6.10.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0"/>
          <w:numId w:val="0"/>
        </w:numPr>
        <w:shd w:val="clear" w:color="auto" w:fill="FFFFFF"/>
        <w:tabs>
          <w:tab w:val="clear" w:pos="709"/>
          <w:tab w:val="left" w:pos="1134" w:leader="none"/>
        </w:tabs>
        <w:ind w:left="0" w:hanging="0"/>
        <w:jc w:val="both"/>
        <w:rPr>
          <w:bCs/>
        </w:rPr>
      </w:pPr>
      <w:r>
        <w:rPr>
          <w:bCs/>
        </w:rPr>
        <w:t xml:space="preserve">    </w:t>
      </w:r>
      <w:r>
        <w:rPr>
          <w:bCs/>
        </w:rPr>
        <w:t xml:space="preserve">6.11. 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 </w:t>
      </w:r>
    </w:p>
    <w:p>
      <w:pPr>
        <w:pStyle w:val="ListParagraph"/>
        <w:numPr>
          <w:ilvl w:val="0"/>
          <w:numId w:val="0"/>
        </w:numPr>
        <w:shd w:val="clear" w:color="auto" w:fill="FFFFFF"/>
        <w:tabs>
          <w:tab w:val="clear" w:pos="709"/>
          <w:tab w:val="left" w:pos="1134" w:leader="none"/>
        </w:tabs>
        <w:ind w:left="0" w:hanging="0"/>
        <w:jc w:val="both"/>
        <w:rPr>
          <w:bCs/>
        </w:rPr>
      </w:pPr>
      <w:r>
        <w:rPr>
          <w:bCs/>
        </w:rPr>
        <w:t xml:space="preserve">        </w:t>
      </w:r>
      <w:r>
        <w:rPr>
          <w:bCs/>
        </w:rPr>
        <w:t xml:space="preserve">6.12. </w:t>
      </w: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5"/>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7"/>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7"/>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27"/>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7"/>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7"/>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7"/>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7"/>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7"/>
        </w:numPr>
        <w:shd w:val="clear" w:color="auto" w:fill="FFFFFF"/>
        <w:tabs>
          <w:tab w:val="clear" w:pos="709"/>
          <w:tab w:val="left" w:pos="1134" w:leader="none"/>
        </w:tabs>
        <w:ind w:left="0" w:firstLine="709"/>
        <w:jc w:val="both"/>
        <w:rPr>
          <w:bCs/>
        </w:rPr>
      </w:pPr>
      <w:bookmarkStart w:id="16"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6"/>
      <w:r>
        <w:rPr>
          <w:bCs/>
        </w:rPr>
        <w:t xml:space="preserve"> </w:t>
      </w:r>
    </w:p>
    <w:p>
      <w:pPr>
        <w:pStyle w:val="ListParagraph"/>
        <w:numPr>
          <w:ilvl w:val="2"/>
          <w:numId w:val="27"/>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7"/>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7"/>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7"/>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7"/>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7"/>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7"/>
        </w:numPr>
        <w:shd w:val="clear" w:color="auto" w:fill="FFFFFF"/>
        <w:tabs>
          <w:tab w:val="clear" w:pos="709"/>
          <w:tab w:val="left" w:pos="1134" w:leader="none"/>
        </w:tabs>
        <w:ind w:left="0" w:firstLine="709"/>
        <w:jc w:val="both"/>
        <w:rPr>
          <w:bCs/>
        </w:rPr>
      </w:pPr>
      <w:bookmarkStart w:id="17"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7"/>
    </w:p>
    <w:p>
      <w:pPr>
        <w:pStyle w:val="ListParagraph"/>
        <w:numPr>
          <w:ilvl w:val="2"/>
          <w:numId w:val="27"/>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7"/>
        </w:numPr>
        <w:shd w:val="clear" w:color="auto" w:fill="FFFFFF"/>
        <w:tabs>
          <w:tab w:val="clear" w:pos="709"/>
          <w:tab w:val="left" w:pos="1134" w:leader="none"/>
        </w:tabs>
        <w:ind w:left="0" w:firstLine="709"/>
        <w:jc w:val="both"/>
        <w:rPr>
          <w:bCs/>
        </w:rPr>
      </w:pPr>
      <w:bookmarkStart w:id="18"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8"/>
    </w:p>
    <w:p>
      <w:pPr>
        <w:pStyle w:val="ListParagraph"/>
        <w:numPr>
          <w:ilvl w:val="1"/>
          <w:numId w:val="27"/>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7"/>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7"/>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7"/>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w:t>
      </w:r>
      <w:r>
        <w:rPr>
          <w:bCs/>
          <w:shd w:fill="auto" w:val="clear"/>
        </w:rPr>
        <w:t xml:space="preserve">суде </w:t>
      </w:r>
      <w:r>
        <w:rPr>
          <w:bCs/>
          <w:sz w:val="24"/>
          <w:szCs w:val="24"/>
          <w:shd w:fill="auto" w:val="clear"/>
        </w:rPr>
        <w:t>Чувашской Республики</w:t>
      </w:r>
      <w:r>
        <w:rPr>
          <w:bCs/>
          <w:shd w:fill="auto" w:val="clear"/>
        </w:rPr>
        <w:t xml:space="preserve"> в соответствии с законодательством Российской Федерации, </w:t>
      </w:r>
      <w:r>
        <w:rPr>
          <w:bCs/>
        </w:rPr>
        <w:t>за исключением споров из Банковской гарантии, подсудность которых предусмотрена пунктом 5.1.8 Договора.</w:t>
      </w:r>
    </w:p>
    <w:p>
      <w:pPr>
        <w:pStyle w:val="ListParagraph"/>
        <w:numPr>
          <w:ilvl w:val="1"/>
          <w:numId w:val="27"/>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w:t>
      </w:r>
      <w:r>
        <w:rPr>
          <w:bCs/>
          <w:shd w:fill="auto" w:val="clear"/>
        </w:rPr>
        <w:t xml:space="preserve"> 15.8 Догов</w:t>
      </w:r>
      <w:r>
        <w:rPr>
          <w:bCs/>
        </w:rPr>
        <w:t>ора.</w:t>
      </w:r>
    </w:p>
    <w:p>
      <w:pPr>
        <w:pStyle w:val="ListParagraph"/>
        <w:numPr>
          <w:ilvl w:val="1"/>
          <w:numId w:val="27"/>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7"/>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7"/>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7"/>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7"/>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7"/>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7"/>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7"/>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7"/>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7"/>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7"/>
        </w:numPr>
        <w:shd w:val="clear" w:color="auto" w:fill="FFFFFF"/>
        <w:tabs>
          <w:tab w:val="clear" w:pos="709"/>
          <w:tab w:val="left" w:pos="1134" w:leader="none"/>
        </w:tabs>
        <w:ind w:left="0" w:firstLine="709"/>
        <w:jc w:val="both"/>
        <w:rPr>
          <w:bCs/>
        </w:rPr>
      </w:pPr>
      <w:bookmarkStart w:id="19"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9"/>
    </w:p>
    <w:p>
      <w:pPr>
        <w:pStyle w:val="ListParagraph"/>
        <w:numPr>
          <w:ilvl w:val="1"/>
          <w:numId w:val="27"/>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7"/>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27"/>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7"/>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7"/>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7"/>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7"/>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7"/>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7"/>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7"/>
        </w:numPr>
        <w:shd w:val="clear" w:color="auto" w:fill="FFFFFF"/>
        <w:tabs>
          <w:tab w:val="clear" w:pos="709"/>
          <w:tab w:val="left" w:pos="426" w:leader="none"/>
        </w:tabs>
        <w:ind w:left="0" w:firstLine="709"/>
        <w:jc w:val="both"/>
        <w:rPr>
          <w:b/>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7"/>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7"/>
        </w:numPr>
        <w:shd w:val="clear" w:color="auto" w:fill="FFFFFF"/>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7"/>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7"/>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7"/>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1"/>
          <w:numId w:val="27"/>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7"/>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7"/>
        </w:numPr>
        <w:shd w:val="clear" w:color="auto" w:fill="FFFFFF"/>
        <w:tabs>
          <w:tab w:val="clear" w:pos="709"/>
          <w:tab w:val="left" w:pos="426" w:leader="none"/>
        </w:tabs>
        <w:ind w:left="0" w:firstLine="709"/>
        <w:jc w:val="both"/>
        <w:rPr>
          <w:b/>
          <w:bCs/>
        </w:rPr>
      </w:pPr>
      <w:r>
        <w:rPr/>
        <w:t>Д</w:t>
      </w:r>
      <w:r>
        <w:rPr>
          <w:shd w:fill="auto" w:val="clear"/>
        </w:rPr>
        <w:t xml:space="preserve">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7"/>
        </w:numPr>
        <w:snapToGrid w:val="false"/>
        <w:ind w:left="0" w:firstLine="709"/>
        <w:jc w:val="both"/>
        <w:rPr>
          <w:highlight w:val="none"/>
          <w:shd w:fill="auto" w:val="clear"/>
        </w:rPr>
      </w:pPr>
      <w:r>
        <w:rPr>
          <w:shd w:fill="auto" w:val="clea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highlight w:val="none"/>
          <w:shd w:fill="auto" w:val="clear"/>
        </w:rPr>
      </w:pPr>
      <w:r>
        <w:rPr>
          <w:shd w:fill="auto" w:val="clea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hd w:fill="auto" w:val="clear"/>
          <w:lang w:val="ru-RU" w:eastAsia="en-US"/>
        </w:rPr>
        <w:footnoteReference w:id="3"/>
      </w:r>
      <w:r>
        <w:rPr>
          <w:shd w:fill="auto" w:val="clear"/>
          <w:lang w:val="ru-RU" w:eastAsia="en-US"/>
        </w:rPr>
        <w:t>.</w:t>
      </w:r>
    </w:p>
    <w:p>
      <w:pPr>
        <w:pStyle w:val="ListParagraph"/>
        <w:numPr>
          <w:ilvl w:val="1"/>
          <w:numId w:val="27"/>
        </w:numPr>
        <w:shd w:val="clear" w:color="auto" w:fill="FFFFFF"/>
        <w:tabs>
          <w:tab w:val="clear" w:pos="709"/>
          <w:tab w:val="left" w:pos="426" w:leader="none"/>
        </w:tabs>
        <w:ind w:left="0" w:firstLine="709"/>
        <w:jc w:val="both"/>
        <w:rPr>
          <w:b/>
          <w:bCs/>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w:t>
      </w:r>
      <w:r>
        <w:rPr>
          <w:shd w:fill="auto" w:val="clear"/>
        </w:rPr>
        <w:t xml:space="preserve">пунктом 15.7 Договора. </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15.8 Договора. </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highlight w:val="none"/>
          <w:shd w:fill="auto" w:val="clear"/>
        </w:rPr>
      </w:pPr>
      <w:r>
        <w:rPr>
          <w:bCs/>
          <w:shd w:fill="auto" w:val="clear"/>
        </w:rPr>
        <w:t xml:space="preserve">15.8.2. заказным почтовым отправлением с уведомлением о вручении – </w:t>
      </w:r>
      <w:r>
        <w:rPr>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highlight w:val="none"/>
          <w:shd w:fill="auto" w:val="clear"/>
        </w:rPr>
      </w:pPr>
      <w:r>
        <w:rPr>
          <w:bCs/>
          <w:shd w:fill="auto" w:val="clear"/>
        </w:rPr>
        <w:t>15.8.3.  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shd w:fill="auto" w:val="clear"/>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15.8.1. – 15.8.2. Догово</w:t>
      </w:r>
      <w:r>
        <w:rPr>
          <w:bCs/>
        </w:rPr>
        <w:t>ра.</w:t>
      </w:r>
    </w:p>
    <w:p>
      <w:pPr>
        <w:pStyle w:val="ListParagraph"/>
        <w:numPr>
          <w:ilvl w:val="1"/>
          <w:numId w:val="27"/>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7"/>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7"/>
        </w:numPr>
        <w:shd w:val="clear" w:color="auto" w:fill="FFFFFF"/>
        <w:tabs>
          <w:tab w:val="clear" w:pos="709"/>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pPr>
      <w:r>
        <w:rPr/>
        <w:t>15.11. 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4"/>
      </w:r>
      <w:r>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7"/>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eastAsia="en-US"/>
        </w:rPr>
      </w:pPr>
      <w:r>
        <w:rPr>
          <w:lang w:val="ru-RU"/>
        </w:rPr>
        <w:t xml:space="preserve">Приложение № 2 – </w:t>
      </w:r>
      <w:r>
        <w:rPr>
          <w:highlight w:val="lightGray"/>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highlight w:val="lightGray"/>
          <w:lang w:val="ru-RU"/>
        </w:rPr>
        <w:t xml:space="preserve">Приложение № 3 – </w:t>
      </w:r>
      <w:r>
        <w:rPr>
          <w:lang w:val="ru-RU"/>
        </w:rPr>
        <w:t>Форма Акта об оказании услуг;</w:t>
      </w:r>
    </w:p>
    <w:p>
      <w:pPr>
        <w:pStyle w:val="Normal"/>
        <w:tabs>
          <w:tab w:val="clear" w:pos="709"/>
          <w:tab w:val="left" w:pos="2127" w:leader="none"/>
          <w:tab w:val="left" w:pos="2410" w:leader="none"/>
        </w:tabs>
        <w:jc w:val="both"/>
        <w:rPr>
          <w:bCs/>
          <w:lang w:val="ru-RU"/>
        </w:rPr>
      </w:pPr>
      <w:r>
        <w:rPr>
          <w:bCs/>
          <w:lang w:val="ru-RU" w:eastAsia="en-US"/>
        </w:rPr>
        <w:t>Приложение № 4 –  Критерии отбора Банков-Гарантов.</w:t>
      </w:r>
    </w:p>
    <w:p>
      <w:pPr>
        <w:pStyle w:val="Normal"/>
        <w:tabs>
          <w:tab w:val="clear" w:pos="709"/>
          <w:tab w:val="left" w:pos="2127" w:leader="none"/>
          <w:tab w:val="left" w:pos="2410" w:leader="none"/>
        </w:tabs>
        <w:jc w:val="both"/>
        <w:rPr>
          <w:lang w:val="ru-RU" w:eastAsia="en-US"/>
        </w:rPr>
      </w:pPr>
      <w:r>
        <w:rPr>
          <w:lang w:val="ru-RU" w:eastAsia="en-US"/>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17.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spacing w:lineRule="auto" w:line="240"/>
              <w:ind w:hanging="0"/>
              <w:jc w:val="left"/>
              <w:rPr>
                <w:sz w:val="24"/>
                <w:szCs w:val="24"/>
              </w:rPr>
            </w:pPr>
            <w:r>
              <w:rPr>
                <w:sz w:val="24"/>
                <w:szCs w:val="24"/>
              </w:rPr>
              <w:t>Место нахождения: 660049, Красноярский край, г.о. город Красноярск,</w:t>
            </w:r>
          </w:p>
          <w:p>
            <w:pPr>
              <w:pStyle w:val="Normal"/>
              <w:widowControl w:val="false"/>
              <w:spacing w:lineRule="auto" w:line="240"/>
              <w:ind w:hanging="0"/>
              <w:jc w:val="left"/>
              <w:rPr>
                <w:sz w:val="24"/>
                <w:szCs w:val="24"/>
              </w:rPr>
            </w:pPr>
            <w:r>
              <w:rPr>
                <w:sz w:val="24"/>
                <w:szCs w:val="24"/>
              </w:rPr>
              <w:t>г. Красноярск, ул. Перенсона, зд.2А, помещ.1.</w:t>
            </w:r>
          </w:p>
          <w:p>
            <w:pPr>
              <w:pStyle w:val="Normal"/>
              <w:widowControl w:val="false"/>
              <w:rPr>
                <w:lang w:val="ru-RU"/>
              </w:rPr>
            </w:pPr>
            <w:r>
              <w:rPr>
                <w:lang w:val="ru-RU"/>
              </w:rPr>
            </w:r>
          </w:p>
          <w:p>
            <w:pPr>
              <w:pStyle w:val="Normal"/>
              <w:widowControl w:val="false"/>
              <w:rPr>
                <w:lang w:val="ru-RU"/>
              </w:rPr>
            </w:pPr>
            <w:r>
              <w:rPr>
                <w:lang w:val="ru-RU"/>
              </w:rPr>
              <w:t xml:space="preserve"> </w:t>
            </w:r>
            <w:r>
              <w:rPr>
                <w:b/>
                <w:bCs/>
                <w:lang w:val="ru-RU"/>
              </w:rPr>
              <w:t xml:space="preserve">Филиал ПАО </w:t>
            </w:r>
            <w:r>
              <w:rPr>
                <w:rFonts w:eastAsia="Times New Roman" w:cs="Times New Roman"/>
                <w:b/>
                <w:bCs/>
                <w:color w:val="auto"/>
                <w:kern w:val="0"/>
                <w:sz w:val="24"/>
                <w:szCs w:val="24"/>
                <w:lang w:val="ru-RU" w:eastAsia="ru-RU" w:bidi="ar-SA"/>
              </w:rPr>
              <w:t>«РусГидро» - «Чебоксарская ГЭС»</w:t>
            </w:r>
          </w:p>
          <w:p>
            <w:pPr>
              <w:pStyle w:val="Normal"/>
              <w:widowControl w:val="false"/>
              <w:rPr>
                <w:lang w:val="ru-RU"/>
              </w:rPr>
            </w:pPr>
            <w:r>
              <w:rPr>
                <w:rFonts w:eastAsia="Times New Roman" w:cs="Times New Roman"/>
                <w:color w:val="auto"/>
                <w:kern w:val="0"/>
                <w:sz w:val="24"/>
                <w:szCs w:val="24"/>
                <w:u w:val="single"/>
                <w:lang w:val="ru-RU" w:eastAsia="ru-RU" w:bidi="ar-SA"/>
              </w:rPr>
              <w:t xml:space="preserve">Почтовый адрес филиала: </w:t>
            </w:r>
            <w:r>
              <w:rPr>
                <w:rFonts w:eastAsia="Times New Roman" w:cs="Times New Roman"/>
                <w:color w:val="auto"/>
                <w:kern w:val="0"/>
                <w:sz w:val="24"/>
                <w:szCs w:val="24"/>
                <w:lang w:val="ru-RU" w:eastAsia="ru-RU" w:bidi="ar-SA"/>
              </w:rPr>
              <w:t>429965 , Чувашская Республика, г.Новочебоксарск, ул.Набережная, влд. 34.</w:t>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rFonts w:eastAsia="Times New Roman" w:cs="Times New Roman"/>
                <w:color w:val="auto"/>
                <w:kern w:val="0"/>
                <w:sz w:val="24"/>
                <w:szCs w:val="24"/>
                <w:lang w:val="ru-RU" w:eastAsia="ru-RU" w:bidi="ar-SA"/>
              </w:rPr>
              <w:t>Юридический</w:t>
            </w:r>
            <w:r>
              <w:rPr>
                <w:sz w:val="24"/>
                <w:szCs w:val="24"/>
                <w:lang w:val="ru-RU"/>
              </w:rPr>
              <w:t xml:space="preserve"> адрес</w:t>
            </w:r>
            <w:r>
              <w:rPr>
                <w:lang w:val="ru-RU"/>
              </w:rPr>
              <w:t>:</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highlight w:val="none"/>
          <w:shd w:fill="auto" w:val="clear"/>
        </w:rPr>
      </w:pPr>
      <w:r>
        <w:rPr>
          <w:b/>
          <w:shd w:fill="auto" w:val="clear"/>
          <w:lang w:val="ru-RU"/>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r>
        <w:rPr>
          <w:rStyle w:val="FootnoteReference"/>
          <w:b/>
          <w:bCs/>
          <w:iCs/>
          <w:sz w:val="24"/>
          <w:szCs w:val="24"/>
        </w:rPr>
        <w:footnoteReference w:id="5"/>
      </w:r>
    </w:p>
    <w:tbl>
      <w:tblPr>
        <w:tblW w:w="9627"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 xml:space="preserve">Исполнитель оказал Заказчику Услуги по </w:t>
            </w:r>
            <w:r>
              <w:rPr>
                <w:sz w:val="24"/>
                <w:szCs w:val="24"/>
                <w:shd w:fill="auto" w:val="clear"/>
                <w:lang w:val="ru-RU"/>
              </w:rPr>
              <w:t xml:space="preserve">организации и проведению юбилейного корпоративного мероприятия в рамках празднования 45-летия Чебоксарской ГЭС </w:t>
            </w:r>
            <w:r>
              <w:rPr>
                <w:lang w:val="ru-RU"/>
              </w:rPr>
              <w:t>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spacing w:lineRule="auto" w:line="240"/>
              <w:ind w:left="0" w:right="0" w:hanging="0"/>
              <w:jc w:val="both"/>
              <w:rPr>
                <w:b w:val="false"/>
                <w:bCs w:val="false"/>
                <w:i w:val="false"/>
                <w:i w:val="false"/>
                <w:iCs w:val="false"/>
              </w:rPr>
            </w:pPr>
            <w:r>
              <w:rPr>
                <w:b w:val="false"/>
                <w:bCs w:val="false"/>
                <w:i w:val="false"/>
                <w:iCs w:val="false"/>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777"/>
              <w:gridCol w:w="4860"/>
            </w:tblGrid>
            <w:tr>
              <w:trPr>
                <w:trHeight w:val="1075"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rHeight w:val="687" w:hRule="atLeast"/>
        </w:trPr>
        <w:tc>
          <w:tcPr>
            <w:tcW w:w="4785" w:type="dxa"/>
            <w:tcBorders/>
          </w:tcPr>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hanging="0"/>
        <w:jc w:val="right"/>
        <w:rPr/>
      </w:pPr>
      <w:r>
        <w:rPr/>
      </w:r>
    </w:p>
    <w:p>
      <w:pPr>
        <w:pStyle w:val="Normal"/>
        <w:ind w:hanging="0"/>
        <w:jc w:val="right"/>
        <w:rPr/>
      </w:pPr>
      <w:r>
        <w:rPr/>
      </w:r>
    </w:p>
    <w:p>
      <w:pPr>
        <w:pStyle w:val="Normal"/>
        <w:ind w:hanging="0"/>
        <w:jc w:val="right"/>
        <w:rPr/>
      </w:pPr>
      <w:r>
        <w:rPr/>
      </w:r>
    </w:p>
    <w:p>
      <w:pPr>
        <w:pStyle w:val="Normal"/>
        <w:ind w:hanging="0"/>
        <w:jc w:val="right"/>
        <w:rPr/>
      </w:pPr>
      <w:r>
        <w:rPr/>
      </w:r>
    </w:p>
    <w:p>
      <w:pPr>
        <w:pStyle w:val="Normal"/>
        <w:ind w:hanging="0"/>
        <w:jc w:val="right"/>
        <w:rPr/>
      </w:pPr>
      <w:r>
        <w:rPr/>
      </w:r>
    </w:p>
    <w:p>
      <w:pPr>
        <w:pStyle w:val="Normal"/>
        <w:ind w:firstLine="709"/>
        <w:jc w:val="right"/>
        <w:rPr>
          <w:sz w:val="22"/>
          <w:szCs w:val="22"/>
          <w:lang w:val="ru-RU"/>
        </w:rPr>
      </w:pP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jc w:val="center"/>
        <w:rPr>
          <w:b/>
          <w:lang w:val="ru-RU"/>
        </w:rPr>
      </w:pPr>
      <w:r>
        <w:rPr>
          <w:b/>
          <w:lang w:val="ru-RU"/>
        </w:rPr>
        <w:t>Критерии отбора Банков-Гарантов</w:t>
      </w:r>
    </w:p>
    <w:p>
      <w:pPr>
        <w:pStyle w:val="Normal"/>
        <w:tabs>
          <w:tab w:val="clear" w:pos="709"/>
          <w:tab w:val="left" w:pos="1134" w:leader="none"/>
        </w:tabs>
        <w:ind w:firstLine="709"/>
        <w:jc w:val="both"/>
        <w:rPr>
          <w:lang w:val="ru-RU"/>
        </w:rPr>
      </w:pPr>
      <w:r>
        <w:rPr>
          <w:lang w:val="ru-RU"/>
        </w:rPr>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6"/>
      </w:r>
      <w:r>
        <w:rPr>
          <w:lang w:val="ru-RU"/>
        </w:rPr>
        <w:t>, а также соответствовать следующим критериям:</w:t>
      </w:r>
    </w:p>
    <w:p>
      <w:pPr>
        <w:pStyle w:val="Normal"/>
        <w:numPr>
          <w:ilvl w:val="1"/>
          <w:numId w:val="28"/>
        </w:numPr>
        <w:tabs>
          <w:tab w:val="clear" w:pos="709"/>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28"/>
        </w:numPr>
        <w:tabs>
          <w:tab w:val="clear" w:pos="709"/>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28"/>
        </w:numPr>
        <w:tabs>
          <w:tab w:val="clear" w:pos="709"/>
          <w:tab w:val="left" w:pos="1134" w:leader="none"/>
        </w:tabs>
        <w:ind w:left="0" w:firstLine="710"/>
        <w:jc w:val="both"/>
        <w:rPr>
          <w:lang w:val="ru-RU"/>
        </w:rPr>
      </w:pPr>
      <w:r>
        <w:rPr>
          <w:sz w:val="24"/>
          <w:szCs w:val="24"/>
          <w:lang w:val="ru-RU"/>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color w:val="auto"/>
          <w:kern w:val="0"/>
          <w:sz w:val="24"/>
          <w:szCs w:val="24"/>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sz w:val="24"/>
          <w:szCs w:val="24"/>
          <w:lang w:val="ru-RU"/>
        </w:rPr>
        <w:t>, опубликованной в информационно-телекоммуникационной сети «Интернет» (</w:t>
      </w:r>
      <w:hyperlink r:id="rId5">
        <w:r>
          <w:rPr>
            <w:rStyle w:val="Hyperlink"/>
            <w:rFonts w:eastAsia="Times New Roman" w:cs="Times New Roman"/>
            <w:color w:val="auto"/>
            <w:sz w:val="24"/>
            <w:szCs w:val="24"/>
            <w:lang w:val="ru-RU" w:eastAsia="ru-RU" w:bidi="ar-SA"/>
          </w:rPr>
          <w:t>www.cbr.ru</w:t>
        </w:r>
      </w:hyperlink>
      <w:r>
        <w:rPr>
          <w:sz w:val="24"/>
          <w:szCs w:val="24"/>
          <w:lang w:val="ru-RU"/>
        </w:rPr>
        <w:t xml:space="preserve">) на официальных сайтах ЦБ РФ и/ или кредитной организации либо представленной кредитной </w:t>
      </w:r>
      <w:r>
        <w:rPr>
          <w:rFonts w:eastAsia="Times New Roman" w:cs="Times New Roman"/>
          <w:color w:val="auto"/>
          <w:kern w:val="0"/>
          <w:sz w:val="24"/>
          <w:szCs w:val="24"/>
          <w:lang w:val="ru-RU" w:eastAsia="ru-RU" w:bidi="ar-SA"/>
        </w:rPr>
        <w:t>организации</w:t>
      </w:r>
      <w:r>
        <w:rPr>
          <w:sz w:val="24"/>
          <w:szCs w:val="24"/>
          <w:lang w:val="ru-RU"/>
        </w:rPr>
        <w:t xml:space="preserve"> Заказчику. </w:t>
      </w:r>
    </w:p>
    <w:p>
      <w:pPr>
        <w:pStyle w:val="Normal"/>
        <w:numPr>
          <w:ilvl w:val="1"/>
          <w:numId w:val="28"/>
        </w:numPr>
        <w:tabs>
          <w:tab w:val="clear" w:pos="709"/>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7"/>
      </w:r>
      <w:r>
        <w:rPr>
          <w:lang w:val="ru-RU"/>
        </w:rPr>
        <w:t xml:space="preserve">. </w:t>
      </w:r>
    </w:p>
    <w:p>
      <w:pPr>
        <w:pStyle w:val="Normal"/>
        <w:numPr>
          <w:ilvl w:val="1"/>
          <w:numId w:val="28"/>
        </w:numPr>
        <w:tabs>
          <w:tab w:val="clear" w:pos="709"/>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8"/>
      </w:r>
      <w:r>
        <w:rPr>
          <w:lang w:val="ru-RU"/>
        </w:rPr>
        <w:t>.</w:t>
      </w:r>
    </w:p>
    <w:p>
      <w:pPr>
        <w:pStyle w:val="Normal"/>
        <w:numPr>
          <w:ilvl w:val="1"/>
          <w:numId w:val="28"/>
        </w:numPr>
        <w:tabs>
          <w:tab w:val="clear" w:pos="709"/>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28"/>
        </w:numPr>
        <w:tabs>
          <w:tab w:val="clear" w:pos="709"/>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28"/>
        </w:numPr>
        <w:tabs>
          <w:tab w:val="clear" w:pos="709"/>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p>
    <w:p>
      <w:pPr>
        <w:pStyle w:val="Normal"/>
        <w:numPr>
          <w:ilvl w:val="1"/>
          <w:numId w:val="28"/>
        </w:numPr>
        <w:tabs>
          <w:tab w:val="clear" w:pos="709"/>
          <w:tab w:val="left" w:pos="1134" w:leader="none"/>
        </w:tabs>
        <w:ind w:left="0" w:firstLine="710"/>
        <w:jc w:val="both"/>
        <w:rPr>
          <w:lang w:val="ru-RU"/>
        </w:rPr>
      </w:pPr>
      <w:r>
        <w:rPr>
          <w:lang w:val="ru-RU"/>
        </w:rPr>
        <w:t>ребования, установленные пунктами 2 – 4 настоящих Критериев, не распространяются на кредитные организации:</w:t>
      </w:r>
    </w:p>
    <w:p>
      <w:pPr>
        <w:pStyle w:val="Normal"/>
        <w:numPr>
          <w:ilvl w:val="1"/>
          <w:numId w:val="28"/>
        </w:numPr>
        <w:tabs>
          <w:tab w:val="clear" w:pos="709"/>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8"/>
        </w:numPr>
        <w:tabs>
          <w:tab w:val="clear" w:pos="709"/>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28"/>
        </w:numPr>
        <w:tabs>
          <w:tab w:val="clear" w:pos="709"/>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28"/>
        </w:numPr>
        <w:tabs>
          <w:tab w:val="clear" w:pos="709"/>
          <w:tab w:val="left" w:pos="1134" w:leader="none"/>
        </w:tabs>
        <w:ind w:left="0" w:firstLine="709"/>
        <w:jc w:val="both"/>
        <w:rPr/>
      </w:pPr>
      <w:r>
        <w:rPr>
          <w:lang w:val="ru-RU"/>
        </w:rPr>
        <w:t xml:space="preserve"> </w:t>
      </w:r>
      <w:r>
        <w:rPr/>
        <w:t>ВЭБ.РФ.</w:t>
      </w:r>
    </w:p>
    <w:p>
      <w:pPr>
        <w:pStyle w:val="Normal"/>
        <w:numPr>
          <w:ilvl w:val="1"/>
          <w:numId w:val="28"/>
        </w:numPr>
        <w:tabs>
          <w:tab w:val="clear" w:pos="709"/>
          <w:tab w:val="left" w:pos="1134" w:leader="none"/>
        </w:tabs>
        <w:spacing w:lineRule="auto" w:line="240"/>
        <w:ind w:left="0" w:firstLine="709"/>
        <w:rPr>
          <w:sz w:val="24"/>
          <w:szCs w:val="24"/>
        </w:rPr>
      </w:pPr>
      <w:r>
        <w:rPr>
          <w:sz w:val="24"/>
          <w:szCs w:val="24"/>
          <w:lang w:val="en-GB"/>
        </w:rPr>
        <w:t>Нерезидентов Российской Федерации.</w:t>
      </w:r>
    </w:p>
    <w:p>
      <w:pPr>
        <w:pStyle w:val="Normal"/>
        <w:numPr>
          <w:ilvl w:val="1"/>
          <w:numId w:val="28"/>
        </w:numPr>
        <w:tabs>
          <w:tab w:val="clear" w:pos="709"/>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numPr>
          <w:ilvl w:val="0"/>
          <w:numId w:val="28"/>
        </w:numPr>
        <w:tabs>
          <w:tab w:val="clear" w:pos="709"/>
          <w:tab w:val="left" w:pos="1134" w:leader="none"/>
        </w:tabs>
        <w:ind w:left="0" w:firstLine="710"/>
        <w:jc w:val="both"/>
        <w:rPr>
          <w:lang w:val="ru-RU"/>
        </w:rPr>
      </w:pPr>
      <w:r>
        <w:rPr>
          <w:lang w:val="ru-RU"/>
        </w:rPr>
      </w:r>
    </w:p>
    <w:p>
      <w:pPr>
        <w:pStyle w:val="Normal"/>
        <w:numPr>
          <w:ilvl w:val="0"/>
          <w:numId w:val="28"/>
        </w:numPr>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p>
      <w:pPr>
        <w:pStyle w:val="Normal"/>
        <w:numPr>
          <w:ilvl w:val="0"/>
          <w:numId w:val="28"/>
        </w:numPr>
        <w:tabs>
          <w:tab w:val="clear" w:pos="709"/>
          <w:tab w:val="left" w:pos="1134" w:leader="none"/>
        </w:tabs>
        <w:ind w:firstLine="709"/>
        <w:jc w:val="center"/>
        <w:rPr/>
      </w:pPr>
      <w:r>
        <w:rPr/>
      </w:r>
    </w:p>
    <w:tbl>
      <w:tblPr>
        <w:tblW w:w="9606"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numPr>
                <w:ilvl w:val="0"/>
                <w:numId w:val="28"/>
              </w:numPr>
              <w:spacing w:lineRule="auto" w:line="240"/>
              <w:ind w:left="0"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numPr>
                <w:ilvl w:val="0"/>
                <w:numId w:val="28"/>
              </w:numPr>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numPr>
                <w:ilvl w:val="0"/>
                <w:numId w:val="28"/>
              </w:numPr>
              <w:spacing w:lineRule="auto" w:line="240"/>
              <w:ind w:left="-75" w:right="-108" w:firstLine="567"/>
              <w:rPr>
                <w:color w:val="000000"/>
                <w:sz w:val="24"/>
                <w:szCs w:val="24"/>
              </w:rPr>
            </w:pPr>
            <w:r>
              <w:rPr>
                <w:rFonts w:eastAsia="Times New Roman" w:cs="Times New Roman"/>
                <w:sz w:val="24"/>
                <w:szCs w:val="24"/>
                <w:lang w:eastAsia="ru-RU"/>
              </w:rPr>
              <w:t>Лимит риска для i-ой кредитной организации</w:t>
            </w:r>
            <w:r>
              <w:rPr>
                <w:rStyle w:val="FootnoteReference"/>
                <w:rFonts w:eastAsia="Times New Roman" w:cs="Times New Roman"/>
                <w:sz w:val="24"/>
                <w:szCs w:val="24"/>
                <w:lang w:eastAsia="ru-RU"/>
              </w:rPr>
              <w:footnoteReference w:id="9"/>
            </w:r>
            <w:r>
              <w:rPr>
                <w:rFonts w:eastAsia="Times New Roman" w:cs="Times New Roman"/>
                <w:sz w:val="24"/>
                <w:szCs w:val="24"/>
                <w:lang w:eastAsia="ru-RU"/>
              </w:rPr>
              <w:t>.</w:t>
            </w:r>
          </w:p>
        </w:tc>
      </w:tr>
      <w:tr>
        <w:trPr>
          <w:trHeight w:val="280" w:hRule="atLeast"/>
        </w:trPr>
        <w:tc>
          <w:tcPr>
            <w:tcW w:w="817" w:type="dxa"/>
            <w:tcBorders/>
            <w:shd w:color="auto" w:fill="auto" w:val="clear"/>
          </w:tcPr>
          <w:p>
            <w:pPr>
              <w:pStyle w:val="Normal"/>
              <w:widowControl w:val="false"/>
              <w:numPr>
                <w:ilvl w:val="0"/>
                <w:numId w:val="28"/>
              </w:numPr>
              <w:spacing w:lineRule="auto" w:line="240"/>
              <w:ind w:left="0"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numPr>
                <w:ilvl w:val="0"/>
                <w:numId w:val="28"/>
              </w:numPr>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numPr>
                <w:ilvl w:val="0"/>
                <w:numId w:val="28"/>
              </w:numPr>
              <w:spacing w:lineRule="auto" w:line="240"/>
              <w:ind w:left="0"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numPr>
                <w:ilvl w:val="0"/>
                <w:numId w:val="28"/>
              </w:numPr>
              <w:spacing w:lineRule="auto" w:line="240"/>
              <w:ind w:left="-75" w:right="-108" w:firstLine="567"/>
              <w:rPr>
                <w:color w:val="000000"/>
                <w:sz w:val="24"/>
                <w:szCs w:val="24"/>
              </w:rPr>
            </w:pPr>
            <w:r>
              <w:rPr>
                <w:rFonts w:eastAsia="Times New Roman" w:cs="Times New Roman"/>
                <w:sz w:val="24"/>
                <w:szCs w:val="24"/>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6">
              <w:r>
                <w:rPr>
                  <w:rStyle w:val="Hyperlink"/>
                  <w:rFonts w:eastAsia="Times New Roman" w:cs="Times New Roman"/>
                  <w:sz w:val="24"/>
                  <w:szCs w:val="24"/>
                  <w:lang w:eastAsia="ru-RU"/>
                </w:rPr>
                <w:t>www.cbr.ru</w:t>
              </w:r>
            </w:hyperlink>
            <w:r>
              <w:rPr>
                <w:rFonts w:eastAsia="Times New Roman" w:cs="Times New Roman"/>
                <w:sz w:val="24"/>
                <w:szCs w:val="24"/>
                <w:lang w:eastAsia="ru-RU"/>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numPr>
                <w:ilvl w:val="0"/>
                <w:numId w:val="28"/>
              </w:numPr>
              <w:spacing w:lineRule="auto" w:line="240"/>
              <w:ind w:left="0"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numPr>
                <w:ilvl w:val="0"/>
                <w:numId w:val="28"/>
              </w:numPr>
              <w:spacing w:lineRule="auto" w:line="240"/>
              <w:ind w:left="0" w:right="-108" w:hanging="0"/>
              <w:rPr>
                <w:sz w:val="24"/>
                <w:szCs w:val="24"/>
              </w:rPr>
            </w:pPr>
            <w:r>
              <w:rPr>
                <w:sz w:val="24"/>
                <w:szCs w:val="24"/>
              </w:rPr>
              <w:t>-</w:t>
            </w:r>
          </w:p>
        </w:tc>
        <w:tc>
          <w:tcPr>
            <w:tcW w:w="8509" w:type="dxa"/>
            <w:tcBorders/>
          </w:tcPr>
          <w:p>
            <w:pPr>
              <w:pStyle w:val="Normal"/>
              <w:widowControl w:val="false"/>
              <w:numPr>
                <w:ilvl w:val="0"/>
                <w:numId w:val="28"/>
              </w:numPr>
              <w:tabs>
                <w:tab w:val="left" w:pos="709" w:leader="none"/>
                <w:tab w:val="left" w:pos="851" w:leader="none"/>
              </w:tabs>
              <w:suppressAutoHyphens w:val="true"/>
              <w:overflowPunct w:val="true"/>
              <w:bidi w:val="0"/>
              <w:spacing w:lineRule="auto" w:line="240" w:before="0" w:after="0"/>
              <w:ind w:left="680" w:right="0" w:hanging="0"/>
              <w:jc w:val="both"/>
              <w:rPr/>
            </w:pPr>
            <w:r>
              <w:rPr>
                <w:rFonts w:eastAsia="Times New Roman" w:cs="Times New Roman"/>
                <w:sz w:val="24"/>
                <w:szCs w:val="24"/>
                <w:lang w:eastAsia="ru-RU"/>
              </w:rPr>
              <w:t>рейтинговый коэффициент</w:t>
            </w:r>
            <w:r>
              <w:rPr>
                <w:rStyle w:val="FootnoteReference"/>
                <w:rFonts w:eastAsia="Times New Roman" w:cs="Times New Roman"/>
                <w:sz w:val="24"/>
                <w:szCs w:val="24"/>
                <w:lang w:eastAsia="ru-RU"/>
              </w:rPr>
              <w:footnoteReference w:id="10"/>
            </w:r>
            <w:r>
              <w:rPr>
                <w:rFonts w:eastAsia="Times New Roman" w:cs="Times New Roman"/>
                <w:sz w:val="24"/>
                <w:szCs w:val="24"/>
                <w:lang w:eastAsia="ru-RU"/>
              </w:rPr>
              <w:t xml:space="preserve"> для i-ой кредитной организации, равный:</w:t>
            </w:r>
          </w:p>
          <w:p>
            <w:pPr>
              <w:pStyle w:val="Normal"/>
              <w:widowControl w:val="false"/>
              <w:numPr>
                <w:ilvl w:val="0"/>
                <w:numId w:val="28"/>
              </w:numPr>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0,075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«АА-»</w:t>
            </w:r>
            <w:r>
              <w:rPr>
                <w:rFonts w:eastAsia="Times New Roman" w:cs="Times New Roman"/>
                <w:sz w:val="24"/>
                <w:szCs w:val="24"/>
                <w:lang w:eastAsia="ru-RU"/>
              </w:rPr>
              <w:t xml:space="preserve">по классификации рейтингового агентства АКРА или не ниже уровня </w:t>
            </w:r>
            <w:r>
              <w:rPr>
                <w:rFonts w:eastAsia="Times New Roman" w:cs="Times New Roman"/>
                <w:b/>
                <w:sz w:val="24"/>
                <w:szCs w:val="24"/>
                <w:lang w:eastAsia="ru-RU"/>
              </w:rPr>
              <w:t>«</w:t>
            </w:r>
            <w:r>
              <w:rPr>
                <w:rFonts w:eastAsia="Times New Roman" w:cs="Times New Roman"/>
                <w:b/>
                <w:sz w:val="24"/>
                <w:szCs w:val="24"/>
                <w:lang w:val="en-US" w:eastAsia="ru-RU"/>
              </w:rPr>
              <w:t>ru</w:t>
            </w:r>
            <w:r>
              <w:rPr>
                <w:rFonts w:eastAsia="Times New Roman" w:cs="Times New Roman"/>
                <w:b/>
                <w:sz w:val="24"/>
                <w:szCs w:val="24"/>
                <w:lang w:eastAsia="ru-RU"/>
              </w:rPr>
              <w:t>А</w:t>
            </w:r>
            <w:r>
              <w:rPr>
                <w:rFonts w:eastAsia="Times New Roman" w:cs="Times New Roman"/>
                <w:b/>
                <w:sz w:val="24"/>
                <w:szCs w:val="24"/>
                <w:lang w:val="en-US" w:eastAsia="ru-RU"/>
              </w:rPr>
              <w:t>A</w:t>
            </w:r>
            <w:r>
              <w:rPr>
                <w:rFonts w:eastAsia="Times New Roman" w:cs="Times New Roman"/>
                <w:b/>
                <w:sz w:val="24"/>
                <w:szCs w:val="24"/>
                <w:lang w:eastAsia="ru-RU"/>
              </w:rPr>
              <w:t>-»</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numPr>
                <w:ilvl w:val="0"/>
                <w:numId w:val="28"/>
              </w:numPr>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b/>
                <w:sz w:val="24"/>
                <w:szCs w:val="24"/>
                <w:lang w:eastAsia="ru-RU"/>
              </w:rPr>
              <w:t>«ruA-»</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numPr>
                <w:ilvl w:val="0"/>
                <w:numId w:val="28"/>
              </w:numPr>
              <w:tabs>
                <w:tab w:val="clear" w:pos="709"/>
                <w:tab w:val="left" w:pos="7130" w:leader="none"/>
              </w:tabs>
              <w:spacing w:lineRule="auto" w:line="240"/>
              <w:ind w:left="0" w:right="-108" w:firstLine="567"/>
              <w:rPr>
                <w:sz w:val="24"/>
                <w:szCs w:val="24"/>
              </w:rPr>
            </w:pPr>
            <w:r>
              <w:rPr>
                <w:rFonts w:eastAsia="Times New Roman" w:cs="Times New Roman"/>
                <w:b/>
                <w:sz w:val="24"/>
                <w:szCs w:val="24"/>
                <w:lang w:eastAsia="ru-RU"/>
              </w:rPr>
              <w:t>0,025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w:t>
            </w:r>
            <w:r>
              <w:rPr>
                <w:rFonts w:eastAsia="Times New Roman" w:cs="Times New Roman"/>
                <w:b/>
                <w:sz w:val="24"/>
                <w:szCs w:val="24"/>
                <w:lang w:val="en-US" w:eastAsia="ru-RU"/>
              </w:rPr>
              <w:t>BB</w:t>
            </w:r>
            <w:r>
              <w:rPr>
                <w:rFonts w:eastAsia="Times New Roman" w:cs="Times New Roman"/>
                <w:b/>
                <w:sz w:val="24"/>
                <w:szCs w:val="24"/>
                <w:lang w:eastAsia="ru-RU"/>
              </w:rPr>
              <w:t>В»</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sz w:val="24"/>
                <w:szCs w:val="24"/>
                <w:lang w:val="en-US" w:eastAsia="ru-RU"/>
              </w:rPr>
              <w:t>ruBB</w:t>
            </w:r>
            <w:r>
              <w:rPr>
                <w:rFonts w:eastAsia="Times New Roman" w:cs="Times New Roman"/>
                <w:sz w:val="24"/>
                <w:szCs w:val="24"/>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numPr>
          <w:ilvl w:val="0"/>
          <w:numId w:val="28"/>
        </w:numPr>
        <w:tabs>
          <w:tab w:val="clear" w:pos="709"/>
          <w:tab w:val="left" w:pos="1134" w:leader="none"/>
        </w:tabs>
        <w:ind w:firstLine="709"/>
        <w:jc w:val="center"/>
        <w:rPr/>
      </w:pPr>
      <w:r>
        <w:rPr/>
      </w:r>
    </w:p>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rHeight w:val="687" w:hRule="atLeast"/>
        </w:trPr>
        <w:tc>
          <w:tcPr>
            <w:tcW w:w="4785" w:type="dxa"/>
            <w:tcBorders/>
          </w:tcPr>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hanging="0"/>
        <w:jc w:val="right"/>
        <w:rPr/>
      </w:pPr>
      <w:r>
        <w:rPr/>
      </w:r>
    </w:p>
    <w:sectPr>
      <w:headerReference w:type="default" r:id="rId7"/>
      <w:headerReference w:type="first" r:id="rId8"/>
      <w:footerReference w:type="default" r:id="rId9"/>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В случае непредоставления новой Банковской гарантии возврата авансового платежа.</w:t>
      </w:r>
    </w:p>
  </w:footnote>
  <w:footnote w:id="3">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4">
    <w:p>
      <w:pPr>
        <w:pStyle w:val="FootnoteText"/>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5">
    <w:p>
      <w:pPr>
        <w:pStyle w:val="FootnoteText"/>
        <w:rPr/>
      </w:pPr>
      <w:r>
        <w:rPr>
          <w:rStyle w:val="Style6"/>
        </w:rPr>
        <w:footnoteRef/>
      </w:r>
      <w:r>
        <w:rPr/>
        <w:t xml:space="preserve"> </w:t>
      </w:r>
      <w:r>
        <w:rPr/>
        <w:t>Применяется, если не используется УПД.</w:t>
      </w:r>
    </w:p>
  </w:footnote>
  <w:footnote w:id="6">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7">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8">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9">
    <w:p>
      <w:pPr>
        <w:pStyle w:val="FootnoteText"/>
        <w:jc w:val="both"/>
        <w:rPr/>
      </w:pPr>
      <w:r>
        <w:rPr>
          <w:rStyle w:val="Style6"/>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10">
    <w:p>
      <w:pPr>
        <w:pStyle w:val="FootnoteText"/>
        <w:jc w:val="both"/>
        <w:rPr/>
      </w:pPr>
      <w:r>
        <w:rPr>
          <w:rStyle w:val="Style6"/>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2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lvl>
    <w:lvl w:ilvl="2">
      <w:start w:val="3"/>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6">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7">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8">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writeProtection w:cryptProviderType="rsaAES" w:cryptAlgorithmClass="hash" w:cryptAlgorithmType="typeAny" w:cryptAlgorithmSid="14" w:cryptSpinCount="100000" w:hash="mK9z6G2UM/M90Kta2GmHgDbp9gLPQPFsyhsBFeLg9HlZ/i3thafFnUMs4Z/WQLXmAa8KhdMNwj/JdUOdk7lOQA==" w:salt="D7X2YCUft+LiNAhZlk4hcg=="/>
  <w:zoom w:percent="120"/>
  <w:revisionView w:insDel="0" w:formatting="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2"/>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8">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www.cbr.ru/" TargetMode="External"/><Relationship Id="rId6" Type="http://schemas.openxmlformats.org/officeDocument/2006/relationships/hyperlink" Target="http://www.cbr.ru/"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Relationship Id="rId19" Type="http://schemas.openxmlformats.org/officeDocument/2006/relationships/customXml" Target="../customXml/item5.xml"/><Relationship Id="rId20" Type="http://schemas.openxmlformats.org/officeDocument/2006/relationships/customXml" Target="../customXml/item6.xml"/><Relationship Id="rId21"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0C9A2-10E7-4C04-A2DB-7359FD9AAC44}">
  <ds:schemaRefs>
    <ds:schemaRef ds:uri="http://schemas.openxmlformats.org/officeDocument/2006/bibliography"/>
  </ds:schemaRefs>
</ds:datastoreItem>
</file>

<file path=customXml/itemProps2.xml><?xml version="1.0" encoding="utf-8"?>
<ds:datastoreItem xmlns:ds="http://schemas.openxmlformats.org/officeDocument/2006/customXml" ds:itemID="{EBA68855-7C68-481C-80A6-819C04724242}">
  <ds:schemaRefs>
    <ds:schemaRef ds:uri="http://schemas.openxmlformats.org/officeDocument/2006/bibliography"/>
  </ds:schemaRefs>
</ds:datastoreItem>
</file>

<file path=customXml/itemProps3.xml><?xml version="1.0" encoding="utf-8"?>
<ds:datastoreItem xmlns:ds="http://schemas.openxmlformats.org/officeDocument/2006/customXml" ds:itemID="{5F11E145-07CE-4830-9F82-24C9C55F018F}">
  <ds:schemaRefs>
    <ds:schemaRef ds:uri="http://schemas.openxmlformats.org/officeDocument/2006/bibliography"/>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19A5F790-E5E4-433F-A617-9D40C1C2C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Application>AlterOffice/3.4.0.9$Linux_X86_64 LibreOffice_project/b8daf9e823b1a5463a2f48435ddc2e8696e7d4fc</Application>
  <AppVersion>15.0000</AppVersion>
  <Pages>22</Pages>
  <Words>9251</Words>
  <Characters>66323</Characters>
  <CharactersWithSpaces>75354</CharactersWithSpaces>
  <Paragraphs>416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2020-06-09T22:30:00Z</dcterms:created>
  <dc:creator>UK VoHEC</dc:creator>
  <dc:description/>
  <dc:language>ru-RU</dc:language>
  <cp:lastModifiedBy>semenovsa@corp.gidroogk.com</cp:lastModifiedBy>
  <cp:lastPrinted>2016-12-15T13:00:00Z</cp:lastPrinted>
  <dcterms:modified xsi:type="dcterms:W3CDTF">2026-07-24T15:48:24Z</dcterms:modified>
  <cp:revision>150</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y fmtid="{D5CDD505-2E9C-101B-9397-08002B2CF9AE}" pid="3" name="_MarkAsFinal">
    <vt:bool>1</vt:bool>
  </property>
</Properties>
</file>