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240"/>
        <w:jc w:val="center"/>
        <w:rPr>
          <w:rFonts w:ascii="Arial Narrow" w:hAnsi="Arial Narrow" w:eastAsia="Calibri" w:cs="Arial"/>
          <w:color w:val="auto"/>
          <w:sz w:val="22"/>
          <w:szCs w:val="22"/>
          <w:lang w:eastAsia="ru-RU"/>
        </w:rPr>
      </w:pP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Приложение 1.1</w:t>
      </w: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5</w:t>
      </w:r>
    </w:p>
    <w:p>
      <w:pPr>
        <w:pStyle w:val="Heading1"/>
        <w:spacing w:before="0" w:after="240"/>
        <w:jc w:val="center"/>
        <w:rPr>
          <w:rFonts w:ascii="Arial Narrow" w:hAnsi="Arial Narrow" w:eastAsia="Calibri" w:cs="Arial"/>
          <w:color w:val="auto"/>
          <w:sz w:val="22"/>
          <w:szCs w:val="22"/>
          <w:lang w:eastAsia="ru-RU"/>
        </w:rPr>
      </w:pP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Карта заказа</w:t>
      </w:r>
    </w:p>
    <w:p>
      <w:pPr>
        <w:pStyle w:val="Style15"/>
        <w:spacing w:lineRule="auto" w:line="240" w:before="0" w:after="0"/>
        <w:ind w:hanging="0"/>
        <w:contextualSpacing/>
        <w:jc w:val="center"/>
        <w:rPr>
          <w:rFonts w:ascii="Arial Narrow" w:hAnsi="Arial Narrow"/>
          <w:sz w:val="20"/>
          <w:szCs w:val="20"/>
        </w:rPr>
      </w:pPr>
      <w:r>
        <w:rPr>
          <w:sz w:val="20"/>
          <w:szCs w:val="20"/>
        </w:rPr>
        <w:t>шкафа резервных защит линии и автоматики управления линейным (обходным) выключателем 110 кВ ШЭ2607 011021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15840" w:type="dxa"/>
        <w:jc w:val="left"/>
        <w:tblInd w:w="-4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VBand="1" w:noHBand="0" w:lastColumn="0" w:firstColumn="1" w:lastRow="0" w:firstRow="1"/>
      </w:tblPr>
      <w:tblGrid>
        <w:gridCol w:w="421"/>
        <w:gridCol w:w="239"/>
        <w:gridCol w:w="480"/>
        <w:gridCol w:w="1408"/>
        <w:gridCol w:w="7516"/>
        <w:gridCol w:w="2457"/>
        <w:gridCol w:w="3319"/>
      </w:tblGrid>
      <w:tr>
        <w:trPr>
          <w:trHeight w:val="188" w:hRule="atLeast"/>
        </w:trPr>
        <w:tc>
          <w:tcPr>
            <w:tcW w:w="4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71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sz w:val="20"/>
                <w:szCs w:val="20"/>
              </w:rPr>
              <w:t>Объект</w:t>
            </w:r>
          </w:p>
        </w:tc>
        <w:tc>
          <w:tcPr>
            <w:tcW w:w="8924" w:type="dxa"/>
            <w:gridSpan w:val="2"/>
            <w:tcBorders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Arial Narrow" w:hAnsi="Arial Narrow"/>
                <w:color w:val="000000"/>
                <w:sz w:val="20"/>
                <w:szCs w:val="20"/>
                <w:lang w:eastAsia="ru-RU"/>
              </w:rPr>
              <w:t>Филиал АО «ДРСК» «Приморские электрические сети» ПС 110 кВ Уссурийск-1</w:t>
            </w:r>
          </w:p>
        </w:tc>
        <w:tc>
          <w:tcPr>
            <w:tcW w:w="245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88" w:hRule="atLeast"/>
        </w:trPr>
        <w:tc>
          <w:tcPr>
            <w:tcW w:w="4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71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8924" w:type="dxa"/>
            <w:gridSpan w:val="2"/>
            <w:tcBorders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 w:ascii="Arial Narrow" w:hAnsi="Arial Narrow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asciiTheme="minorHAnsi" w:eastAsiaTheme="minorHAnsi" w:hAnsiTheme="minorHAnsi"/>
              </w:rPr>
            </w:pPr>
            <w:r>
              <w:rPr/>
              <w:t>№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Наименование параметра</w:t>
            </w:r>
          </w:p>
        </w:tc>
        <w:tc>
          <w:tcPr>
            <w:tcW w:w="9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Требования Заказчика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Способ подтверждения участником соответствия требованиям</w:t>
            </w:r>
          </w:p>
        </w:tc>
      </w:tr>
      <w:tr>
        <w:trPr>
          <w:trHeight w:val="200" w:hRule="atLeast"/>
        </w:trPr>
        <w:tc>
          <w:tcPr>
            <w:tcW w:w="6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88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997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Согласие с требованием</w:t>
            </w:r>
          </w:p>
        </w:tc>
      </w:tr>
      <w:tr>
        <w:trPr>
          <w:trHeight w:val="348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Arial" w:ascii="Arial Narrow" w:hAnsi="Arial Narrow"/>
                <w:b/>
                <w:sz w:val="20"/>
                <w:szCs w:val="20"/>
              </w:rPr>
              <w:t>Выбор версии программного обеспечения (ПО) комплект А.1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Исполнение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011_400 типовое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523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1.2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Реализуемые функции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747" w:type="dxa"/>
              <w:jc w:val="left"/>
              <w:tblInd w:w="0" w:type="dxa"/>
              <w:tblLayout w:type="fixed"/>
              <w:tblCellMar>
                <w:top w:w="0" w:type="dxa"/>
                <w:left w:w="5" w:type="dxa"/>
                <w:bottom w:w="0" w:type="dxa"/>
                <w:right w:w="5" w:type="dxa"/>
              </w:tblCellMar>
              <w:tblLook w:val="04a0" w:noVBand="1" w:noHBand="0" w:lastColumn="0" w:firstColumn="1" w:lastRow="0" w:firstRow="1"/>
            </w:tblPr>
            <w:tblGrid>
              <w:gridCol w:w="847"/>
              <w:gridCol w:w="308"/>
              <w:gridCol w:w="1426"/>
              <w:gridCol w:w="850"/>
              <w:gridCol w:w="850"/>
              <w:gridCol w:w="997"/>
              <w:gridCol w:w="500"/>
              <w:gridCol w:w="850"/>
              <w:gridCol w:w="869"/>
              <w:gridCol w:w="851"/>
              <w:gridCol w:w="857"/>
              <w:gridCol w:w="540"/>
            </w:tblGrid>
            <w:tr>
              <w:trPr>
                <w:trHeight w:val="688" w:hRule="atLeast"/>
              </w:trPr>
              <w:tc>
                <w:tcPr>
                  <w:tcW w:w="11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Версия ПО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 ДЗ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от м/ф КЗ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(на землю)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БНН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БК</w:t>
                  </w:r>
                </w:p>
              </w:tc>
              <w:tc>
                <w:tcPr>
                  <w:tcW w:w="9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ТНЗНП</w:t>
                  </w:r>
                </w:p>
              </w:tc>
              <w:tc>
                <w:tcPr>
                  <w:tcW w:w="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АУВ, АПВ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МТЗ</w:t>
                  </w:r>
                </w:p>
              </w:tc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ТЗП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УРОВ</w:t>
                  </w: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ЗНФР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ОМП</w:t>
                  </w:r>
                </w:p>
              </w:tc>
            </w:tr>
            <w:tr>
              <w:trPr>
                <w:trHeight w:val="378" w:hRule="atLeast"/>
              </w:trPr>
              <w:tc>
                <w:tcPr>
                  <w:tcW w:w="1155" w:type="dxa"/>
                  <w:gridSpan w:val="2"/>
                  <w:tcBorders>
                    <w:left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011_400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5 (1)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997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69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7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</w:tr>
            <w:tr>
              <w:trPr>
                <w:trHeight w:val="604" w:hRule="atLeast"/>
              </w:trPr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rFonts w:cs="Arial"/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W w:w="8898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 xml:space="preserve"> </w:t>
                  </w: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>ДЗ – дистанционная защита, БНН – блокировка при неисправностях в цепях напряжения, БК – блокировка при качаниях, ТНЗНП – токовая направленная защита нулевой последовательности, АУВ – автоматика управления выключателем, АПВ – автоматическое повторное включение, МТЗ – максимальная токовая защита, ТЗП – токовая защита при перегрузке, УРОВ – устройство резервирования отказа выключателя, ЗНФР – защита от неполнофазного режима, ОМП – определение места повреждения, КС – цифровые каналы связи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Arial" w:ascii="Arial Narrow" w:hAnsi="Arial Narrow"/>
                <w:b/>
                <w:sz w:val="20"/>
                <w:szCs w:val="20"/>
              </w:rPr>
              <w:t>Выбор версии программного обеспечения (ПО) комплект А.2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Исполнение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021_400 типовое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919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2.2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 Narrow" w:hAnsi="Arial Narrow"/>
                <w:sz w:val="20"/>
                <w:szCs w:val="20"/>
              </w:rPr>
              <w:t>Реализуемые функции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243" w:type="dxa"/>
              <w:jc w:val="left"/>
              <w:tblInd w:w="0" w:type="dxa"/>
              <w:tblLayout w:type="fixed"/>
              <w:tblCellMar>
                <w:top w:w="0" w:type="dxa"/>
                <w:left w:w="5" w:type="dxa"/>
                <w:bottom w:w="0" w:type="dxa"/>
                <w:right w:w="5" w:type="dxa"/>
              </w:tblCellMar>
              <w:tblLook w:val="04a0" w:noVBand="1" w:noHBand="0" w:lastColumn="0" w:firstColumn="1" w:lastRow="0" w:firstRow="1"/>
            </w:tblPr>
            <w:tblGrid>
              <w:gridCol w:w="1159"/>
              <w:gridCol w:w="1421"/>
              <w:gridCol w:w="851"/>
              <w:gridCol w:w="851"/>
              <w:gridCol w:w="992"/>
              <w:gridCol w:w="851"/>
              <w:gridCol w:w="849"/>
              <w:gridCol w:w="852"/>
              <w:gridCol w:w="855"/>
              <w:gridCol w:w="561"/>
            </w:tblGrid>
            <w:tr>
              <w:trPr>
                <w:trHeight w:val="688" w:hRule="atLeast"/>
              </w:trPr>
              <w:tc>
                <w:tcPr>
                  <w:tcW w:w="1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Версия ПО</w:t>
                  </w:r>
                </w:p>
              </w:tc>
              <w:tc>
                <w:tcPr>
                  <w:tcW w:w="142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 ДЗ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от м/ф КЗ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(на землю)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БНН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БК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ТНЗНП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МТЗ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ТЗП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УРОВ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ЗНФР</w:t>
                  </w: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ОМП</w:t>
                  </w:r>
                </w:p>
              </w:tc>
            </w:tr>
            <w:tr>
              <w:trPr>
                <w:trHeight w:val="378" w:hRule="atLeast"/>
              </w:trPr>
              <w:tc>
                <w:tcPr>
                  <w:tcW w:w="1159" w:type="dxa"/>
                  <w:tcBorders>
                    <w:left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021_400</w:t>
                  </w:r>
                </w:p>
              </w:tc>
              <w:tc>
                <w:tcPr>
                  <w:tcW w:w="142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5 (1)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992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49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2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5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</w:tr>
            <w:tr>
              <w:trPr>
                <w:trHeight w:val="604" w:hRule="atLeast"/>
              </w:trPr>
              <w:tc>
                <w:tcPr>
                  <w:tcW w:w="9242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 xml:space="preserve"> </w:t>
                  </w: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>ДЗ – дистанционная защита, БНН – блокировка при неисправностях в цепях напряжения, БК – блокировка при качаниях, ТНЗНП – токовая направленная защита нулевой последовательности, МТЗ – максимальная токовая защита, ТЗП – токовая защита при перегрузке, УРОВ – устройство резервирования отказа выключателя, ЗНФР – защита от неполнофазного режима, ОМП – определение места повреждения, КС – цифровые каналы связи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>
                <w:highlight w:val="red"/>
              </w:rPr>
            </w:pPr>
            <w:r>
              <w:rPr>
                <w:highlight w:val="red"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3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Номинальное напряжение постоянного оперативного тока шкафа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220В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Характеристики терминала шкафа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4.1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Номинальный ток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1 или 5 А переключение электронным (программным) способом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4.2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Номинальное напряжение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100 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Тип интерфейсов связи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Тип интерфейсов (портов) связи для МЭК 60870-5-103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  порта RS-485 (типовой)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5.2</w:t>
            </w:r>
          </w:p>
        </w:tc>
        <w:tc>
          <w:tcPr>
            <w:tcW w:w="1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Тип интерфейсов (портов) связи Ethernet для МЭК 61850</w:t>
            </w:r>
          </w:p>
        </w:tc>
        <w:tc>
          <w:tcPr>
            <w:tcW w:w="99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 электрических порта RJ45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 Narrow" w:hAnsi="Arial Narrow"/>
                <w:b/>
              </w:rPr>
              <w:t>Тип лицевой панели терминала, элементы оперативного управления и переключения рабочей группы уставок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</w:tc>
      </w:tr>
      <w:tr>
        <w:trPr>
          <w:trHeight w:val="37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 xml:space="preserve">48 светодиодов </w:t>
              <w:br/>
              <w:t>(</w:t>
            </w:r>
            <w:r>
              <w:rPr>
                <w:color w:val="auto"/>
              </w:rPr>
              <w:t>типовое исполнение</w:t>
            </w:r>
            <w:r>
              <w:rPr/>
              <w:t>)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639" w:type="dxa"/>
              <w:jc w:val="left"/>
              <w:tblInd w:w="57" w:type="dxa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  <w:tblLook w:val="04a0" w:noVBand="1" w:noHBand="0" w:lastColumn="0" w:firstColumn="1" w:lastRow="0" w:firstRow="1"/>
            </w:tblPr>
            <w:tblGrid>
              <w:gridCol w:w="1655"/>
              <w:gridCol w:w="2713"/>
              <w:gridCol w:w="3909"/>
              <w:gridCol w:w="1361"/>
            </w:tblGrid>
            <w:tr>
              <w:trPr>
                <w:trHeight w:val="70" w:hRule="atLeast"/>
              </w:trPr>
              <w:tc>
                <w:tcPr>
                  <w:tcW w:w="165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Тип лицевой панели терминала</w:t>
                  </w:r>
                </w:p>
              </w:tc>
              <w:tc>
                <w:tcPr>
                  <w:tcW w:w="271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Элементы оперативного управления</w:t>
                  </w:r>
                </w:p>
              </w:tc>
              <w:tc>
                <w:tcPr>
                  <w:tcW w:w="52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Группы уставок</w:t>
                  </w:r>
                </w:p>
              </w:tc>
            </w:tr>
            <w:tr>
              <w:trPr>
                <w:trHeight w:val="81" w:hRule="atLeast"/>
              </w:trPr>
              <w:tc>
                <w:tcPr>
                  <w:tcW w:w="165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</w:r>
                </w:p>
              </w:tc>
              <w:tc>
                <w:tcPr>
                  <w:tcW w:w="271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</w:r>
                </w:p>
              </w:tc>
              <w:tc>
                <w:tcPr>
                  <w:tcW w:w="3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Способ переключения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Максимальное количество</w:t>
                  </w:r>
                </w:p>
              </w:tc>
            </w:tr>
            <w:tr>
              <w:trPr>
                <w:trHeight w:val="848" w:hRule="atLeast"/>
              </w:trPr>
              <w:tc>
                <w:tcPr>
                  <w:tcW w:w="1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rPr/>
                  </w:pPr>
                  <w:r>
                    <w:rPr/>
                    <w:t xml:space="preserve">48 светодиодов </w:t>
                    <w:br/>
                    <w:t>(</w:t>
                  </w:r>
                  <w:r>
                    <w:rPr>
                      <w:color w:val="auto"/>
                    </w:rPr>
                    <w:t>типовое исполнение)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rPr/>
                  </w:pPr>
                  <w:r>
                    <w:rPr/>
                    <w:t>Механические оперативные ключи на двери / плите шкафа</w:t>
                  </w:r>
                </w:p>
              </w:tc>
              <w:tc>
                <w:tcPr>
                  <w:tcW w:w="3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Механический переключатель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8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069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18"/>
                <w:szCs w:val="18"/>
              </w:rPr>
            </w:pPr>
            <w:r>
              <w:rPr>
                <w:b/>
              </w:rPr>
              <w:t xml:space="preserve">Конструктив шкафа                                                 </w:t>
            </w:r>
            <w:r>
              <w:rPr>
                <w:i/>
                <w:sz w:val="18"/>
                <w:szCs w:val="18"/>
              </w:rPr>
              <w:t>* – глубина шкафов указана с учётом ручек (см. РЭ).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>** – согласование с разработчиками 000 НПП «ЭКРА».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104775</wp:posOffset>
                  </wp:positionV>
                  <wp:extent cx="1724025" cy="4457700"/>
                  <wp:effectExtent l="0" t="0" r="0" b="0"/>
                  <wp:wrapNone/>
                  <wp:docPr id="1" name="Рисунок 1" descr="Шкаф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Шкаф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6731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445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Шкафы шириной 600 и 800 мм изготавливаются с утопленными боковыми стенками для установки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в существующий ряд шкафов. </w:t>
            </w:r>
          </w:p>
          <w:p>
            <w:pPr>
              <w:pStyle w:val="Normal"/>
              <w:widowControl w:val="false"/>
              <w:rPr>
                <w:rFonts w:ascii="Calibri" w:hAnsi="Calibri" w:eastAsia="Calibri" w:cs="" w:asciiTheme="minorHAnsi" w:cstheme="minorBidi" w:eastAsiaTheme="minorHAnsi" w:hAnsiTheme="minorHAnsi"/>
                <w:b/>
              </w:rPr>
            </w:pPr>
            <w:r>
              <w:rPr>
                <w:rFonts w:eastAsia="Calibri" w:cs="" w:cstheme="minorBidi" w:eastAsiaTheme="minorHAnsi"/>
                <w:b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Козырек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Спереди – 100 мм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7.2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Способ обслуживания шкафа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Двухстороннее обслуживание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7.3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Передняя дверь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/>
            </w:pPr>
            <w:r>
              <w:rPr>
                <w:rFonts w:cs="Arial"/>
              </w:rPr>
              <w:t xml:space="preserve">Металлическая с обзорным окном  </w:t>
            </w:r>
            <w:r>
              <w:rPr/>
              <w:t>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7.4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Задняя металлическая дверь шкафа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Двухстворчатая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7.5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Габаритные размеры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шкафа (Ш х Г х В), мм, без учета цоколя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808 х 608(660)* х 2000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7.6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Цоколь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100 мм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7.7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Подвод кабеля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Снизу 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b/>
                <w:sz w:val="20"/>
                <w:szCs w:val="20"/>
                <w:lang w:eastAsia="ru-RU"/>
              </w:rPr>
              <w:t>Характеристики шкафа для типового исполнения: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(полная высота шкафа рассчитывается путем сложения высоты цоколя, каркаса шкафа и высоты рым-болта/козырька)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lang w:eastAsia="ru-RU"/>
              </w:rPr>
              <w:t>конструктив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ШМЭ (НПП ЭКРА)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7.8.2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климатическое исполнение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УХЛ4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7.8.3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cs="Arial"/>
              </w:rPr>
            </w:pPr>
            <w:r>
              <w:rPr>
                <w:rFonts w:cs="Arial"/>
              </w:rPr>
              <w:t>группа механической прочности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М40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7.8.4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пылевлагозащита корпуса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IP41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7.8.5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масса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более 250 кг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7.8.6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цвет каркаса шкафа и козырька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(при наличии) RAL 7035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7.8.7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цвет цоколя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RAL 7022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7.8.8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sz w:val="20"/>
                <w:szCs w:val="20"/>
              </w:rPr>
              <w:t>Дополнительные требования к конструктиву шкафа: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Calibri" w:hAnsi="Calibri" w:eastAsia="Calibri" w:cs="Arial" w:asciiTheme="minorHAnsi" w:eastAsiaTheme="minorHAnsi" w:hAnsiTheme="minorHAnsi"/>
              </w:rPr>
            </w:pPr>
            <w:r>
              <w:rPr>
                <w:rFonts w:eastAsia="Calibri" w:cs="Arial" w:eastAsiaTheme="minorHAnsi"/>
              </w:rPr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 w:cs="" w:cstheme="minorBidi" w:eastAsiaTheme="minorHAnsi"/>
              </w:rPr>
            </w:pPr>
            <w:r>
              <w:rPr>
                <w:rFonts w:eastAsia="Calibri" w:cs="" w:cstheme="minorBidi" w:eastAsiaTheme="minorHAnsi"/>
              </w:rPr>
              <w:t>Установка системы принудительной вентиляции шкафа;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" w:cstheme="minorBidi" w:eastAsiaTheme="minorHAnsi"/>
              </w:rPr>
              <w:t>установка указательных реле РУ 21 в цепях сигнализации;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" w:cstheme="minorBidi" w:eastAsiaTheme="minorHAnsi"/>
              </w:rPr>
              <w:t>установка розетки ~ 220 В.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Calibri" w:cs="" w:cstheme="minorBidi" w:eastAsiaTheme="minorHAnsi"/>
              </w:rPr>
              <w:t>Обязательное условие: установка механических оперативных переключателей на двери/плите шкафа для выбора не менее 8-ми групп уставок для обоих МП терминалов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8.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 w:ascii="Arial Narrow" w:hAnsi="Arial Narrow"/>
                <w:b/>
                <w:sz w:val="20"/>
              </w:rPr>
              <w:t>Дополнительные требования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spacing w:lineRule="auto" w:line="240"/>
              <w:jc w:val="both"/>
              <w:rPr/>
            </w:pPr>
            <w:r>
              <w:rPr>
                <w:rFonts w:cs="Arial" w:ascii="Arial Narrow" w:hAnsi="Arial Narrow"/>
                <w:sz w:val="20"/>
              </w:rPr>
              <w:t xml:space="preserve">Автоматический выключатель </w:t>
            </w:r>
            <w:r>
              <w:rPr>
                <w:rFonts w:cs="Arial" w:ascii="Arial Narrow" w:hAnsi="Arial Narrow"/>
                <w:sz w:val="20"/>
                <w:lang w:val="en-US"/>
              </w:rPr>
              <w:t>MOELLER</w:t>
            </w:r>
            <w:r>
              <w:rPr>
                <w:rFonts w:cs="Arial" w:ascii="Arial Narrow" w:hAnsi="Arial Narrow"/>
                <w:sz w:val="20"/>
              </w:rPr>
              <w:t xml:space="preserve"> </w:t>
            </w:r>
            <w:r>
              <w:rPr>
                <w:rFonts w:cs="Arial" w:ascii="Arial Narrow" w:hAnsi="Arial Narrow"/>
                <w:sz w:val="20"/>
                <w:lang w:val="en-US"/>
              </w:rPr>
              <w:t>PL</w:t>
            </w:r>
            <w:r>
              <w:rPr>
                <w:rFonts w:cs="Arial" w:ascii="Arial Narrow" w:hAnsi="Arial Narrow"/>
                <w:sz w:val="20"/>
              </w:rPr>
              <w:t>-</w:t>
            </w:r>
            <w:r>
              <w:rPr>
                <w:rFonts w:cs="Arial" w:ascii="Arial Narrow" w:hAnsi="Arial Narrow"/>
                <w:sz w:val="20"/>
                <w:lang w:val="en-US"/>
              </w:rPr>
              <w:t>C</w:t>
            </w:r>
            <w:r>
              <w:rPr>
                <w:rFonts w:cs="Arial" w:ascii="Arial Narrow" w:hAnsi="Arial Narrow"/>
                <w:sz w:val="20"/>
              </w:rPr>
              <w:t xml:space="preserve">3/2 – </w:t>
            </w:r>
            <w:r>
              <w:rPr>
                <w:rFonts w:cs="Arial" w:ascii="Arial Narrow" w:hAnsi="Arial Narrow"/>
                <w:sz w:val="20"/>
                <w:lang w:val="en-US"/>
              </w:rPr>
              <w:t>DC</w:t>
            </w:r>
            <w:r>
              <w:rPr>
                <w:rFonts w:cs="Arial" w:ascii="Arial Narrow" w:hAnsi="Arial Narrow"/>
                <w:sz w:val="20"/>
              </w:rPr>
              <w:t xml:space="preserve"> либо эквивалент – 2 шт., Автоматический выключатель </w:t>
            </w:r>
            <w:r>
              <w:rPr>
                <w:rFonts w:cs="Arial" w:ascii="Arial Narrow" w:hAnsi="Arial Narrow"/>
                <w:sz w:val="20"/>
                <w:lang w:val="en-US"/>
              </w:rPr>
              <w:t>MOELLER</w:t>
            </w:r>
            <w:r>
              <w:rPr>
                <w:rFonts w:cs="Arial" w:ascii="Arial Narrow" w:hAnsi="Arial Narrow"/>
                <w:sz w:val="20"/>
              </w:rPr>
              <w:t xml:space="preserve"> </w:t>
            </w:r>
            <w:r>
              <w:rPr>
                <w:rFonts w:cs="Arial" w:ascii="Arial Narrow" w:hAnsi="Arial Narrow"/>
                <w:sz w:val="20"/>
                <w:lang w:val="en-US"/>
              </w:rPr>
              <w:t>PL</w:t>
            </w:r>
            <w:r>
              <w:rPr>
                <w:rFonts w:cs="Arial" w:ascii="Arial Narrow" w:hAnsi="Arial Narrow"/>
                <w:sz w:val="20"/>
              </w:rPr>
              <w:t>-</w:t>
            </w:r>
            <w:r>
              <w:rPr>
                <w:rFonts w:cs="Arial" w:ascii="Arial Narrow" w:hAnsi="Arial Narrow"/>
                <w:sz w:val="20"/>
                <w:lang w:val="en-US"/>
              </w:rPr>
              <w:t>C</w:t>
            </w:r>
            <w:r>
              <w:rPr>
                <w:rFonts w:cs="Arial" w:ascii="Arial Narrow" w:hAnsi="Arial Narrow"/>
                <w:sz w:val="20"/>
              </w:rPr>
              <w:t xml:space="preserve">4/2 – </w:t>
            </w:r>
            <w:r>
              <w:rPr>
                <w:rFonts w:cs="Arial" w:ascii="Arial Narrow" w:hAnsi="Arial Narrow"/>
                <w:sz w:val="20"/>
                <w:lang w:val="en-US"/>
              </w:rPr>
              <w:t>DC</w:t>
            </w:r>
            <w:r>
              <w:rPr>
                <w:rFonts w:cs="Arial" w:ascii="Arial Narrow" w:hAnsi="Arial Narrow"/>
                <w:sz w:val="20"/>
              </w:rPr>
              <w:t xml:space="preserve"> либо эквивалент – 2 шт.</w:t>
            </w:r>
          </w:p>
          <w:p>
            <w:pPr>
              <w:pStyle w:val="Style14"/>
              <w:widowControl w:val="false"/>
              <w:spacing w:lineRule="auto" w:line="240"/>
              <w:jc w:val="both"/>
              <w:rPr/>
            </w:pPr>
            <w:r>
              <w:rPr>
                <w:rFonts w:cs="Arial" w:ascii="Arial Narrow" w:hAnsi="Arial Narrow"/>
                <w:sz w:val="20"/>
              </w:rPr>
              <w:t xml:space="preserve">Блок преобразователей сигналов MOXA N port-5430I либо эквивалент с блоком питания DR-45-24 — 1 шт. Кабель связи — </w:t>
            </w:r>
          </w:p>
          <w:p>
            <w:pPr>
              <w:pStyle w:val="Style14"/>
              <w:widowControl w:val="false"/>
              <w:spacing w:lineRule="auto" w:line="240"/>
              <w:jc w:val="both"/>
              <w:rPr/>
            </w:pPr>
            <w:r>
              <w:rPr>
                <w:rFonts w:cs="Arial" w:ascii="Arial Narrow" w:hAnsi="Arial Narrow"/>
                <w:sz w:val="20"/>
              </w:rPr>
              <w:t>250 м.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9.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b/>
                <w:sz w:val="20"/>
                <w:szCs w:val="20"/>
              </w:rPr>
              <w:t>Количество шкафов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10.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b/>
                <w:sz w:val="20"/>
                <w:szCs w:val="20"/>
              </w:rPr>
              <w:t>Оперативное обозначение на двери (козырьке) шкафа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639" w:type="dxa"/>
              <w:jc w:val="left"/>
              <w:tblInd w:w="11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VBand="1" w:noHBand="0" w:lastColumn="0" w:firstColumn="1" w:lastRow="0" w:firstRow="1"/>
            </w:tblPr>
            <w:tblGrid>
              <w:gridCol w:w="9639"/>
            </w:tblGrid>
            <w:tr>
              <w:trPr>
                <w:trHeight w:val="918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  <w:t>Шкаф 29Р: Комплект РЗА (ДЗ, ТНЗНП, МФТО, МТЗ, АУВ, ТАПВ, УРОВ) ШСВ 110 кВ.</w:t>
                  </w:r>
                </w:p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Calibri" w:hAnsi="Calibri" w:cs="" w:asciiTheme="minorHAnsi" w:cstheme="minorBidi" w:hAnsiTheme="minorHAnsi"/>
        </w:rPr>
      </w:pPr>
      <w:r>
        <w:rPr>
          <w:rFonts w:cs="" w:cstheme="minorBidi"/>
        </w:rPr>
      </w:r>
    </w:p>
    <w:p>
      <w:pPr>
        <w:pStyle w:val="Normal"/>
        <w:rPr/>
      </w:pPr>
      <w:r>
        <w:rPr/>
      </w:r>
    </w:p>
    <w:p>
      <w:pPr>
        <w:pStyle w:val="Normal"/>
        <w:spacing w:lineRule="auto" w:line="360" w:before="0" w:after="200"/>
        <w:jc w:val="center"/>
        <w:rPr>
          <w:b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 Narrow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5f5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9a494a"/>
    <w:pPr>
      <w:keepNext w:val="true"/>
      <w:keepLines/>
      <w:widowControl w:val="false"/>
      <w:spacing w:lineRule="auto" w:line="240"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АБЛИЦА Знак"/>
    <w:link w:val="Style13"/>
    <w:qFormat/>
    <w:locked/>
    <w:rsid w:val="009b5f5e"/>
    <w:rPr>
      <w:rFonts w:ascii="Arial Narrow" w:hAnsi="Arial Narrow" w:eastAsia="Calibri" w:cs="Times New Roman"/>
      <w:sz w:val="20"/>
      <w:szCs w:val="20"/>
    </w:rPr>
  </w:style>
  <w:style w:type="character" w:styleId="Style9" w:customStyle="1">
    <w:name w:val="Основной текст Знак"/>
    <w:basedOn w:val="DefaultParagraphFont"/>
    <w:uiPriority w:val="99"/>
    <w:semiHidden/>
    <w:qFormat/>
    <w:rsid w:val="009b5f5e"/>
    <w:rPr>
      <w:rFonts w:ascii="Calibri" w:hAnsi="Calibri" w:eastAsia="Calibri" w:cs="Times New Roman"/>
    </w:rPr>
  </w:style>
  <w:style w:type="character" w:styleId="Style10" w:customStyle="1">
    <w:name w:val="Абзац Знак"/>
    <w:link w:val="Style15"/>
    <w:qFormat/>
    <w:locked/>
    <w:rsid w:val="00215d57"/>
    <w:rPr>
      <w:rFonts w:ascii="Times New Roman" w:hAnsi="Times New Roman" w:eastAsia="Times New Roman" w:cs="Arial"/>
    </w:rPr>
  </w:style>
  <w:style w:type="character" w:styleId="1" w:customStyle="1">
    <w:name w:val="Заголовок 1 Знак"/>
    <w:basedOn w:val="DefaultParagraphFont"/>
    <w:uiPriority w:val="9"/>
    <w:qFormat/>
    <w:rsid w:val="009a494a"/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9"/>
    <w:uiPriority w:val="99"/>
    <w:semiHidden/>
    <w:unhideWhenUsed/>
    <w:rsid w:val="009b5f5e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3" w:customStyle="1">
    <w:name w:val="ТАБЛИЦА"/>
    <w:basedOn w:val="BodyText"/>
    <w:link w:val="Style8"/>
    <w:qFormat/>
    <w:rsid w:val="009b5f5e"/>
    <w:pPr>
      <w:widowControl w:val="false"/>
      <w:spacing w:lineRule="auto" w:line="240" w:before="0" w:after="0"/>
    </w:pPr>
    <w:rPr>
      <w:rFonts w:ascii="Arial Narrow" w:hAnsi="Arial Narrow"/>
      <w:sz w:val="20"/>
      <w:szCs w:val="20"/>
    </w:rPr>
  </w:style>
  <w:style w:type="paragraph" w:styleId="Style14" w:customStyle="1">
    <w:name w:val="Обычный без отступа"/>
    <w:basedOn w:val="Normal"/>
    <w:qFormat/>
    <w:rsid w:val="003e361e"/>
    <w:pPr>
      <w:widowControl w:val="false"/>
      <w:spacing w:lineRule="auto" w:line="360" w:before="0" w:after="0"/>
      <w:jc w:val="both"/>
    </w:pPr>
    <w:rPr>
      <w:rFonts w:ascii="Arial" w:hAnsi="Arial" w:eastAsia="Times New Roman"/>
      <w:szCs w:val="20"/>
      <w:lang w:eastAsia="ru-RU"/>
    </w:rPr>
  </w:style>
  <w:style w:type="paragraph" w:styleId="Style15" w:customStyle="1">
    <w:name w:val="Абзац"/>
    <w:basedOn w:val="BodyText"/>
    <w:link w:val="Style10"/>
    <w:qFormat/>
    <w:rsid w:val="00215d57"/>
    <w:pPr>
      <w:widowControl w:val="false"/>
      <w:spacing w:lineRule="auto" w:line="360" w:before="0" w:after="20"/>
      <w:ind w:firstLine="624"/>
      <w:contextualSpacing/>
      <w:jc w:val="both"/>
    </w:pPr>
    <w:rPr>
      <w:rFonts w:ascii="Times New Roman" w:hAnsi="Times New Roman" w:eastAsia="Times New Roman"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Application>AlterOffice/3.3.0.4$Linux_X86_64 LibreOffice_project/fa736b558560ebea8f92088bfd7720f4b3918f3f</Application>
  <AppVersion>15.0000</AppVersion>
  <Pages>5</Pages>
  <Words>602</Words>
  <Characters>3747</Characters>
  <CharactersWithSpaces>4577</CharactersWithSpaces>
  <Paragraphs>174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2023-06-22T06:10:00Z</dcterms:created>
  <dc:creator>Руденко Андрей Николаевич</dc:creator>
  <dc:description/>
  <dc:language>ru-RU</dc:language>
  <cp:lastModifiedBy>korneev_ds</cp:lastModifiedBy>
  <dcterms:modified xsi:type="dcterms:W3CDTF">2026-07-29T16:10:51Z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