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BE" w:rsidRDefault="00B6344D">
      <w:pPr>
        <w:ind w:right="-143" w:firstLine="5580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367FBE" w:rsidRDefault="00B6344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Заместитель директора филиала -</w:t>
      </w:r>
    </w:p>
    <w:p w:rsidR="00367FBE" w:rsidRDefault="00B6344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Главный инженер</w:t>
      </w:r>
    </w:p>
    <w:p w:rsidR="00367FBE" w:rsidRDefault="00B6344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Воткинского филиала</w:t>
      </w:r>
    </w:p>
    <w:p w:rsidR="00367FBE" w:rsidRDefault="00B6344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АО «Гидроремонт-ВКК»</w:t>
      </w:r>
    </w:p>
    <w:p w:rsidR="00367FBE" w:rsidRDefault="00367FBE">
      <w:pPr>
        <w:ind w:firstLine="5580"/>
        <w:rPr>
          <w:sz w:val="24"/>
          <w:szCs w:val="24"/>
        </w:rPr>
      </w:pPr>
    </w:p>
    <w:p w:rsidR="00367FBE" w:rsidRDefault="00B6344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_____________ Э.В. Сальников</w:t>
      </w:r>
    </w:p>
    <w:p w:rsidR="00367FBE" w:rsidRDefault="002274EB">
      <w:pPr>
        <w:ind w:firstLine="5580"/>
        <w:rPr>
          <w:sz w:val="24"/>
          <w:szCs w:val="24"/>
        </w:rPr>
      </w:pPr>
      <w:r>
        <w:rPr>
          <w:sz w:val="24"/>
          <w:szCs w:val="24"/>
        </w:rPr>
        <w:t>«_____» ____________ 202</w:t>
      </w:r>
      <w:r>
        <w:rPr>
          <w:sz w:val="24"/>
          <w:szCs w:val="24"/>
          <w:lang w:val="en-US"/>
        </w:rPr>
        <w:t>6</w:t>
      </w:r>
      <w:r w:rsidR="00B6344D">
        <w:rPr>
          <w:sz w:val="24"/>
          <w:szCs w:val="24"/>
        </w:rPr>
        <w:t>г.</w:t>
      </w:r>
    </w:p>
    <w:p w:rsidR="00367FBE" w:rsidRDefault="00367FBE">
      <w:pPr>
        <w:keepNext/>
        <w:keepLines/>
        <w:jc w:val="right"/>
        <w:rPr>
          <w:b/>
          <w:bCs/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  <w:rPr>
          <w:sz w:val="26"/>
          <w:szCs w:val="26"/>
        </w:rPr>
      </w:pPr>
    </w:p>
    <w:p w:rsidR="00367FBE" w:rsidRDefault="00367FBE">
      <w:pPr>
        <w:keepNext/>
        <w:keepLines/>
      </w:pPr>
    </w:p>
    <w:p w:rsidR="00367FBE" w:rsidRDefault="00B6344D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 xml:space="preserve">Технические требования </w:t>
      </w:r>
    </w:p>
    <w:p w:rsidR="00367FBE" w:rsidRDefault="00B6344D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ОКПД 2</w:t>
      </w:r>
      <w:r>
        <w:rPr>
          <w:rFonts w:eastAsia="Calibri"/>
          <w:color w:val="000000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 для нужд Воткинского филиала</w:t>
      </w:r>
    </w:p>
    <w:p w:rsidR="00367FBE" w:rsidRDefault="00367FBE">
      <w:pPr>
        <w:keepNext/>
        <w:keepLines/>
        <w:jc w:val="center"/>
        <w:rPr>
          <w:rFonts w:eastAsia="Calibri"/>
          <w:sz w:val="26"/>
          <w:szCs w:val="26"/>
        </w:rPr>
      </w:pPr>
    </w:p>
    <w:p w:rsidR="00367FBE" w:rsidRDefault="00367FBE">
      <w:pPr>
        <w:jc w:val="center"/>
        <w:rPr>
          <w:rFonts w:eastAsia="Calibri"/>
          <w:sz w:val="26"/>
          <w:szCs w:val="26"/>
        </w:rPr>
      </w:pPr>
    </w:p>
    <w:p w:rsidR="00367FBE" w:rsidRDefault="00367FB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67FBE" w:rsidRDefault="00B6344D">
      <w:pPr>
        <w:rPr>
          <w:sz w:val="26"/>
          <w:szCs w:val="26"/>
        </w:rPr>
      </w:pPr>
      <w:r>
        <w:br w:type="page"/>
      </w:r>
    </w:p>
    <w:p w:rsidR="00367FBE" w:rsidRDefault="00B6344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652565667"/>
        <w:docPartObj>
          <w:docPartGallery w:val="Table of Contents"/>
          <w:docPartUnique/>
        </w:docPartObj>
      </w:sdtPr>
      <w:sdtEndPr/>
      <w:sdtContent>
        <w:p w:rsidR="00367FBE" w:rsidRDefault="00B6344D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54643453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</w:rPr>
              <w:tab/>
            </w:r>
            <w:r>
              <w:rPr>
                <w:rStyle w:val="affc"/>
              </w:rPr>
              <w:t>Общие</w:t>
            </w:r>
            <w:r>
              <w:rPr>
                <w:rStyle w:val="affc"/>
                <w:lang w:val="en-US"/>
              </w:rPr>
              <w:t xml:space="preserve"> </w:t>
            </w:r>
            <w:r>
              <w:rPr>
                <w:rStyle w:val="affc"/>
              </w:rPr>
              <w:t>сведения</w:t>
            </w:r>
            <w:r>
              <w:rPr>
                <w:rStyle w:val="affc"/>
                <w:lang w:val="en-US"/>
              </w:rPr>
              <w:t>…………..…..………………………………………………………..…..…....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_Toc54643453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54">
            <w:r w:rsidR="00B6344D">
              <w:rPr>
                <w:rStyle w:val="affc"/>
                <w:iCs/>
                <w:webHidden/>
              </w:rPr>
              <w:t>1.1.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Обозначения и сокращения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_Toc54643454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55">
            <w:r w:rsidR="00B6344D">
              <w:rPr>
                <w:rStyle w:val="affc"/>
                <w:iCs/>
                <w:webHidden/>
              </w:rPr>
              <w:t>1.2.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Наименование закупаемой продукции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_Toc54643455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56">
            <w:r w:rsidR="00B6344D">
              <w:rPr>
                <w:rStyle w:val="affc"/>
                <w:iCs/>
                <w:webHidden/>
              </w:rPr>
              <w:t>1.3.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 xml:space="preserve">Цель оказания услуг 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_Toc54643456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57">
            <w:r w:rsidR="00B6344D">
              <w:rPr>
                <w:rStyle w:val="affc"/>
                <w:iCs/>
                <w:webHidden/>
              </w:rPr>
              <w:t>1.4.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 xml:space="preserve">Существующее положение 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_Toc54643457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hyperlink w:anchor="_Toc54643458">
            <w:r w:rsidR="00B6344D">
              <w:rPr>
                <w:rStyle w:val="affc"/>
                <w:webHidden/>
              </w:rPr>
              <w:t>Таблица 1. Перечень объектов заказчика</w:t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_Toc54643458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…………………………………………………………3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59">
            <w:r w:rsidR="00B6344D">
              <w:rPr>
                <w:rStyle w:val="affc"/>
                <w:iCs/>
                <w:webHidden/>
              </w:rPr>
              <w:t>1.5.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_Toc54643459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3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60">
            <w:r w:rsidR="00B6344D">
              <w:rPr>
                <w:rStyle w:val="affc"/>
                <w:iCs/>
                <w:webHidden/>
              </w:rPr>
              <w:t>1.6.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 xml:space="preserve">Иные требования и сведения общего характера 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_Toc54643460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hyperlink w:anchor="_Toc54643461">
            <w:r w:rsidR="00B6344D">
              <w:rPr>
                <w:rStyle w:val="affc"/>
                <w:webHidden/>
              </w:rPr>
              <w:t>2.</w:t>
            </w:r>
            <w:r w:rsidR="00B6344D">
              <w:rPr>
                <w:rStyle w:val="affc"/>
                <w:rFonts w:asciiTheme="minorHAnsi" w:eastAsiaTheme="minorEastAsia" w:hAnsiTheme="minorHAnsi" w:cstheme="minorBidi"/>
              </w:rPr>
              <w:tab/>
            </w:r>
            <w:r w:rsidR="00B6344D">
              <w:rPr>
                <w:rStyle w:val="affc"/>
              </w:rPr>
              <w:t>Требования к продукции…</w:t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_Toc54643461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.…………………………………………………………………...4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62">
            <w:r w:rsidR="00B6344D">
              <w:rPr>
                <w:rStyle w:val="affc"/>
                <w:iCs/>
                <w:webHidden/>
              </w:rPr>
              <w:t>2.1.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Требования к объемам и срокам оказания услуг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_Toc54643462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38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63">
            <w:r w:rsidR="00B6344D">
              <w:rPr>
                <w:rStyle w:val="affc"/>
                <w:webHidden/>
              </w:rPr>
              <w:t>2.1.1.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Требования к перечню и объему услуг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_Toc54643463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hyperlink w:anchor="_Toc54643464">
            <w:r w:rsidR="00B6344D">
              <w:rPr>
                <w:rStyle w:val="affc"/>
                <w:webHidden/>
              </w:rPr>
              <w:t>Таблица 2. Перечень и объем оказываемых услуг</w:t>
            </w:r>
            <w:r w:rsidR="00B6344D">
              <w:rPr>
                <w:rStyle w:val="affc"/>
              </w:rPr>
              <w:t>…</w:t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_Toc54643464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.……………………………………………4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38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65">
            <w:r w:rsidR="00B6344D">
              <w:rPr>
                <w:rStyle w:val="affc"/>
                <w:webHidden/>
              </w:rPr>
              <w:t>2.1.2.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Требования к срокам оказания услуг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_Toc54643465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hyperlink w:anchor="_Toc54643466">
            <w:r w:rsidR="00B6344D">
              <w:rPr>
                <w:rStyle w:val="affc"/>
                <w:webHidden/>
              </w:rPr>
              <w:t>Таблица 3. Требования к срокам оказания услуг</w:t>
            </w:r>
            <w:r w:rsidR="00B6344D">
              <w:rPr>
                <w:rStyle w:val="affc"/>
              </w:rPr>
              <w:t>…</w:t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_Toc54643466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……………………………………………...4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41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467">
            <w:r w:rsidR="00B6344D">
              <w:rPr>
                <w:rStyle w:val="affc"/>
                <w:iCs/>
                <w:webHidden/>
              </w:rPr>
              <w:t>2.2.</w:t>
            </w:r>
            <w:r w:rsidR="00B6344D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6344D">
              <w:rPr>
                <w:rStyle w:val="affc"/>
              </w:rPr>
              <w:t>Требования к качеству услуг</w:t>
            </w:r>
            <w:r w:rsidR="00B6344D">
              <w:rPr>
                <w:rStyle w:val="affc"/>
              </w:rPr>
              <w:tab/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_Toc54643467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4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</w:rPr>
          </w:pPr>
          <w:hyperlink w:anchor="_Toc54643468">
            <w:r w:rsidR="00B6344D">
              <w:rPr>
                <w:rStyle w:val="affc"/>
                <w:webHidden/>
              </w:rPr>
              <w:t>Таблица 4. Требования к качеству услуг</w:t>
            </w:r>
            <w:r w:rsidR="00B6344D">
              <w:rPr>
                <w:rStyle w:val="affc"/>
                <w:lang w:val="en-US"/>
              </w:rPr>
              <w:t xml:space="preserve"> ...……………………………………………………...</w:t>
            </w:r>
            <w:r w:rsidR="00B6344D">
              <w:rPr>
                <w:rStyle w:val="affc"/>
              </w:rPr>
              <w:t>..</w:t>
            </w:r>
            <w:r w:rsidR="00B6344D">
              <w:rPr>
                <w:webHidden/>
              </w:rPr>
              <w:fldChar w:fldCharType="begin"/>
            </w:r>
            <w:r w:rsidR="00B6344D">
              <w:rPr>
                <w:webHidden/>
              </w:rPr>
              <w:instrText>PAGEREF _Toc54643468 \h</w:instrText>
            </w:r>
            <w:r w:rsidR="00B6344D">
              <w:rPr>
                <w:webHidden/>
              </w:rPr>
            </w:r>
            <w:r w:rsidR="00B6344D">
              <w:rPr>
                <w:webHidden/>
              </w:rPr>
              <w:fldChar w:fldCharType="separate"/>
            </w:r>
            <w:r w:rsidR="00B6344D">
              <w:rPr>
                <w:rStyle w:val="affc"/>
                <w:lang w:val="en-US"/>
              </w:rPr>
              <w:t>5</w:t>
            </w:r>
            <w:r w:rsidR="00B6344D">
              <w:rPr>
                <w:webHidden/>
              </w:rPr>
              <w:fldChar w:fldCharType="end"/>
            </w:r>
          </w:hyperlink>
        </w:p>
        <w:p w:rsidR="00367FBE" w:rsidRDefault="00B6344D">
          <w:pPr>
            <w:pStyle w:val="16"/>
          </w:pPr>
          <w:r>
            <w:t>3.</w:t>
          </w:r>
          <w:r>
            <w:tab/>
            <w:t>Требования к документации по ценообразованию на этапе заключения (исполнения) договора………………………………………………………………………..…..…………………10</w:t>
          </w:r>
        </w:p>
        <w:p w:rsidR="00367FBE" w:rsidRDefault="00042937">
          <w:pPr>
            <w:pStyle w:val="16"/>
            <w:rPr>
              <w:rFonts w:asciiTheme="minorHAnsi" w:eastAsiaTheme="minorEastAsia" w:hAnsiTheme="minorHAnsi" w:cstheme="minorBidi"/>
              <w:iCs/>
              <w:lang w:val="en-US"/>
            </w:rPr>
          </w:pPr>
          <w:hyperlink w:anchor="_Toc54643470">
            <w:r w:rsidR="00B6344D">
              <w:rPr>
                <w:rStyle w:val="affc"/>
                <w:webHidden/>
              </w:rPr>
              <w:t>4.</w:t>
            </w:r>
            <w:r w:rsidR="00B6344D">
              <w:rPr>
                <w:rStyle w:val="affc"/>
                <w:rFonts w:asciiTheme="minorHAnsi" w:eastAsiaTheme="minorEastAsia" w:hAnsiTheme="minorHAnsi" w:cstheme="minorBidi"/>
              </w:rPr>
              <w:tab/>
            </w:r>
            <w:r w:rsidR="00B6344D">
              <w:rPr>
                <w:rStyle w:val="affc"/>
              </w:rPr>
              <w:t>Приложения…</w:t>
            </w:r>
            <w:r w:rsidR="00B6344D">
              <w:rPr>
                <w:rStyle w:val="affc"/>
                <w:lang w:val="en-US"/>
              </w:rPr>
              <w:t>…………………………………………………………………………………1</w:t>
            </w:r>
          </w:hyperlink>
          <w:r w:rsidR="00B6344D">
            <w:rPr>
              <w:lang w:val="en-US"/>
            </w:rPr>
            <w:t>1</w:t>
          </w:r>
          <w:r w:rsidR="00B6344D">
            <w:rPr>
              <w:lang w:val="en-US"/>
            </w:rPr>
            <w:fldChar w:fldCharType="end"/>
          </w:r>
        </w:p>
      </w:sdtContent>
    </w:sdt>
    <w:p w:rsidR="00367FBE" w:rsidRDefault="00367FBE">
      <w:pPr>
        <w:pStyle w:val="16"/>
        <w:rPr>
          <w:rFonts w:asciiTheme="minorHAnsi" w:eastAsiaTheme="minorEastAsia" w:hAnsiTheme="minorHAnsi" w:cstheme="minorBidi"/>
          <w:iCs/>
        </w:rPr>
      </w:pPr>
    </w:p>
    <w:p w:rsidR="00367FBE" w:rsidRDefault="00B6344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67FBE" w:rsidRDefault="00B6344D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lastRenderedPageBreak/>
        <w:t>Общие сведения</w:t>
      </w:r>
      <w:bookmarkEnd w:id="0"/>
    </w:p>
    <w:p w:rsidR="00367FBE" w:rsidRDefault="00B6344D">
      <w:pPr>
        <w:pStyle w:val="4"/>
        <w:numPr>
          <w:ilvl w:val="1"/>
          <w:numId w:val="3"/>
        </w:numPr>
        <w:ind w:left="432"/>
        <w:rPr>
          <w:lang w:val="en-US"/>
        </w:rPr>
      </w:pPr>
      <w:r>
        <w:rPr>
          <w:lang w:val="en-US"/>
        </w:rPr>
        <w:t>Обозначения и сокращения</w:t>
      </w:r>
    </w:p>
    <w:tbl>
      <w:tblPr>
        <w:tblStyle w:val="affff5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367FBE"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ГЭС</w:t>
            </w:r>
          </w:p>
        </w:tc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 xml:space="preserve">Гидроэлектростанция </w:t>
            </w:r>
          </w:p>
        </w:tc>
      </w:tr>
      <w:tr w:rsidR="00367FBE"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ПАО</w:t>
            </w:r>
          </w:p>
        </w:tc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 xml:space="preserve">Публичное акционерное общество </w:t>
            </w:r>
          </w:p>
        </w:tc>
      </w:tr>
      <w:tr w:rsidR="00367FBE"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ГР</w:t>
            </w:r>
          </w:p>
        </w:tc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Генераторное распределительное устройство (элегазовый генераторный комплекс)</w:t>
            </w:r>
          </w:p>
        </w:tc>
      </w:tr>
      <w:tr w:rsidR="00367FBE"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Г</w:t>
            </w:r>
          </w:p>
        </w:tc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 xml:space="preserve">Генератор синхронный </w:t>
            </w:r>
          </w:p>
        </w:tc>
      </w:tr>
      <w:tr w:rsidR="00367FBE">
        <w:tc>
          <w:tcPr>
            <w:tcW w:w="4955" w:type="dxa"/>
            <w:tcBorders>
              <w:top w:val="nil"/>
            </w:tcBorders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ТТ</w:t>
            </w:r>
          </w:p>
        </w:tc>
        <w:tc>
          <w:tcPr>
            <w:tcW w:w="4955" w:type="dxa"/>
            <w:tcBorders>
              <w:top w:val="nil"/>
            </w:tcBorders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 xml:space="preserve">Технические требования </w:t>
            </w:r>
          </w:p>
        </w:tc>
      </w:tr>
      <w:tr w:rsidR="00367FBE"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СТО</w:t>
            </w:r>
          </w:p>
        </w:tc>
        <w:tc>
          <w:tcPr>
            <w:tcW w:w="4955" w:type="dxa"/>
          </w:tcPr>
          <w:p w:rsidR="00367FBE" w:rsidRDefault="00B6344D">
            <w:pPr>
              <w:widowControl w:val="0"/>
              <w:rPr>
                <w:i/>
                <w:sz w:val="24"/>
                <w:szCs w:val="24"/>
                <w:lang w:val="en-US" w:eastAsia="x-none"/>
              </w:rPr>
            </w:pPr>
            <w:r>
              <w:rPr>
                <w:i/>
                <w:sz w:val="24"/>
                <w:szCs w:val="24"/>
                <w:lang w:val="en-US" w:eastAsia="x-none"/>
              </w:rPr>
              <w:t>Стандарт организации</w:t>
            </w:r>
          </w:p>
        </w:tc>
      </w:tr>
    </w:tbl>
    <w:p w:rsidR="00367FBE" w:rsidRDefault="00367FBE">
      <w:pPr>
        <w:rPr>
          <w:sz w:val="24"/>
          <w:szCs w:val="24"/>
          <w:lang w:val="en-US" w:eastAsia="x-none"/>
        </w:rPr>
      </w:pPr>
    </w:p>
    <w:p w:rsidR="00367FBE" w:rsidRDefault="00B6344D">
      <w:pPr>
        <w:pStyle w:val="4"/>
        <w:numPr>
          <w:ilvl w:val="1"/>
          <w:numId w:val="3"/>
        </w:numPr>
        <w:ind w:left="432"/>
      </w:pPr>
      <w:bookmarkStart w:id="1" w:name="_Toc46743506"/>
      <w:bookmarkStart w:id="2" w:name="_Toc54643696"/>
      <w:r>
        <w:t>Наименование закупаемой продукции</w:t>
      </w:r>
      <w:bookmarkEnd w:id="1"/>
      <w:bookmarkEnd w:id="2"/>
    </w:p>
    <w:p w:rsidR="00367FBE" w:rsidRDefault="00B6344D">
      <w:pPr>
        <w:keepNext/>
        <w:keepLines/>
        <w:jc w:val="both"/>
      </w:pPr>
      <w:r>
        <w:rPr>
          <w:rStyle w:val="aff1"/>
          <w:rFonts w:eastAsia="Calibri"/>
          <w:b w:val="0"/>
          <w:bCs/>
          <w:sz w:val="24"/>
          <w:szCs w:val="24"/>
          <w:shd w:val="clear" w:color="auto" w:fill="auto"/>
          <w:lang w:eastAsia="x-none"/>
        </w:rPr>
        <w:t>ОКПД 2</w:t>
      </w:r>
      <w:r>
        <w:rPr>
          <w:rStyle w:val="aff1"/>
          <w:rFonts w:eastAsia="Calibri"/>
          <w:b w:val="0"/>
          <w:bCs/>
          <w:color w:val="000000"/>
          <w:sz w:val="24"/>
          <w:szCs w:val="24"/>
          <w:shd w:val="clear" w:color="auto" w:fill="auto"/>
          <w:lang w:eastAsia="x-none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 персоналом ООО «Эйч Энерджи».</w:t>
      </w:r>
    </w:p>
    <w:p w:rsidR="00367FBE" w:rsidRDefault="00B6344D">
      <w:pPr>
        <w:pStyle w:val="4"/>
        <w:numPr>
          <w:ilvl w:val="1"/>
          <w:numId w:val="3"/>
        </w:numPr>
        <w:spacing w:before="240"/>
        <w:ind w:left="431" w:hanging="431"/>
      </w:pPr>
      <w:bookmarkStart w:id="3" w:name="_Toc46743507"/>
      <w:bookmarkStart w:id="4" w:name="_Toc54643697"/>
      <w:r>
        <w:t xml:space="preserve">Цель </w:t>
      </w:r>
      <w:bookmarkEnd w:id="3"/>
      <w:r>
        <w:rPr>
          <w:lang w:val="ru-RU"/>
        </w:rPr>
        <w:t>оказания услуг</w:t>
      </w:r>
      <w:r>
        <w:t xml:space="preserve"> </w:t>
      </w:r>
      <w:bookmarkEnd w:id="4"/>
    </w:p>
    <w:p w:rsidR="00367FBE" w:rsidRDefault="00B6344D">
      <w:pPr>
        <w:widowControl w:val="0"/>
        <w:tabs>
          <w:tab w:val="left" w:pos="426"/>
        </w:tabs>
        <w:spacing w:after="120"/>
        <w:jc w:val="both"/>
        <w:rPr>
          <w:rFonts w:eastAsia="Calibri"/>
          <w:lang w:eastAsia="x-none"/>
        </w:rPr>
      </w:pPr>
      <w:r>
        <w:rPr>
          <w:i/>
          <w:sz w:val="24"/>
          <w:szCs w:val="24"/>
        </w:rPr>
        <w:t xml:space="preserve">Исполнение обязательств по договору №4-РЕМ-2023-ВотГЭС от 31.10.2023 «Работы по капитальному и текущему ремонту оборудования, зданий, сооружений для нужд филиала ПАО «РусГидро»-«Воткинская ГЭС», заключенного между филиалом ПАО «РусГидро»-«Воткинская ГЭС» с одной стороны и Воткинским филиалом АО «Гидроремонт-ВКК» в г. Чайковский, с другой стороны. </w:t>
      </w:r>
      <w:r>
        <w:rPr>
          <w:rFonts w:eastAsia="Calibri"/>
          <w:i/>
          <w:sz w:val="24"/>
          <w:szCs w:val="24"/>
          <w:lang w:eastAsia="x-none"/>
        </w:rPr>
        <w:t xml:space="preserve">Целью оказания услуги является руководство работами направленных на поддержание работоспособного или исправного состояния оборудования ГР тип HECS-80S, а также формирование рекомендаций по повышению качества эксплуатации, планированию ремонтных работ. </w:t>
      </w:r>
    </w:p>
    <w:p w:rsidR="00367FBE" w:rsidRDefault="00B6344D">
      <w:pPr>
        <w:pStyle w:val="4"/>
        <w:numPr>
          <w:ilvl w:val="1"/>
          <w:numId w:val="3"/>
        </w:numPr>
        <w:ind w:left="432"/>
      </w:pPr>
      <w:bookmarkStart w:id="5" w:name="_Toc54643699"/>
      <w:r>
        <w:t>Существующее положение</w:t>
      </w:r>
    </w:p>
    <w:p w:rsidR="00367FBE" w:rsidRDefault="00B6344D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На филиале ПАО «РусГидро-Воткинская ГЭС» установлены генераторные распределительные устройства </w:t>
      </w:r>
      <w:r>
        <w:rPr>
          <w:rFonts w:eastAsia="Calibri"/>
          <w:i/>
          <w:sz w:val="24"/>
          <w:szCs w:val="24"/>
          <w:lang w:eastAsia="x-none"/>
        </w:rPr>
        <w:t>тип HECS-80S и находятся в здании ГЭС.</w:t>
      </w:r>
    </w:p>
    <w:p w:rsidR="00367FBE" w:rsidRDefault="00B6344D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562"/>
        <w:gridCol w:w="2973"/>
        <w:gridCol w:w="1989"/>
        <w:gridCol w:w="1842"/>
        <w:gridCol w:w="2410"/>
      </w:tblGrid>
      <w:tr w:rsidR="00367F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367FBE" w:rsidRDefault="00367FB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367FB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67FBE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367FBE">
            <w:pPr>
              <w:pStyle w:val="aff0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2"/>
                <w:szCs w:val="22"/>
              </w:rPr>
              <w:t>ОКПД 2</w:t>
            </w:r>
            <w:r>
              <w:rPr>
                <w:rFonts w:eastAsia="Calibri"/>
                <w:i/>
                <w:color w:val="000000"/>
                <w:sz w:val="22"/>
                <w:szCs w:val="22"/>
              </w:rPr>
              <w:t xml:space="preserve">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Филиал ПАО «РусГидро-Воткинская ГЭС», Российская Федерация, Пермский край, г. Чайковский, здание ГЭС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367FBE">
            <w:pPr>
              <w:widowControl w:val="0"/>
              <w:ind w:left="6" w:hanging="6"/>
              <w:jc w:val="center"/>
              <w:rPr>
                <w:i/>
                <w:sz w:val="22"/>
                <w:szCs w:val="22"/>
              </w:rPr>
            </w:pPr>
          </w:p>
          <w:p w:rsidR="00367FBE" w:rsidRDefault="00B6344D">
            <w:pPr>
              <w:widowControl w:val="0"/>
              <w:ind w:left="6" w:hanging="6"/>
              <w:jc w:val="center"/>
              <w:rPr>
                <w:rFonts w:eastAsia="Calibri"/>
                <w:i/>
                <w:sz w:val="22"/>
                <w:szCs w:val="22"/>
                <w:lang w:eastAsia="x-none"/>
              </w:rPr>
            </w:pPr>
            <w:r>
              <w:rPr>
                <w:rFonts w:eastAsia="Calibri"/>
                <w:i/>
                <w:sz w:val="22"/>
                <w:szCs w:val="22"/>
                <w:lang w:eastAsia="x-none"/>
              </w:rPr>
              <w:t>HECS-80S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widowControl w:val="0"/>
              <w:ind w:left="149" w:hanging="14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Эксплуатирующая организация: ПАО «РусГидро-Воткинская ГЭС»</w:t>
            </w:r>
          </w:p>
        </w:tc>
      </w:tr>
    </w:tbl>
    <w:p w:rsidR="00367FBE" w:rsidRDefault="00367FBE">
      <w:pPr>
        <w:widowControl w:val="0"/>
        <w:tabs>
          <w:tab w:val="left" w:pos="426"/>
        </w:tabs>
        <w:jc w:val="both"/>
        <w:rPr>
          <w:rStyle w:val="aff1"/>
          <w:b w:val="0"/>
          <w:bCs/>
          <w:sz w:val="24"/>
          <w:szCs w:val="24"/>
        </w:rPr>
      </w:pPr>
    </w:p>
    <w:p w:rsidR="00367FBE" w:rsidRDefault="00B6344D">
      <w:pPr>
        <w:pStyle w:val="4"/>
        <w:numPr>
          <w:ilvl w:val="1"/>
          <w:numId w:val="3"/>
        </w:numPr>
        <w:ind w:left="426" w:hanging="426"/>
        <w:jc w:val="both"/>
      </w:pPr>
      <w:bookmarkStart w:id="6" w:name="_Toc48062863"/>
      <w:bookmarkStart w:id="7" w:name="_Toc54643459"/>
      <w:r>
        <w:t xml:space="preserve">Информация в отношении исполнения договора, </w:t>
      </w:r>
      <w:bookmarkStart w:id="8" w:name="_Hlk46492347"/>
      <w:r>
        <w:t xml:space="preserve">которая должна быть учтена при подготовке заявки </w:t>
      </w:r>
      <w:bookmarkEnd w:id="8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6"/>
      <w:bookmarkEnd w:id="7"/>
    </w:p>
    <w:p w:rsidR="00367FBE" w:rsidRDefault="00B6344D">
      <w:pPr>
        <w:rPr>
          <w:i/>
          <w:sz w:val="24"/>
          <w:szCs w:val="24"/>
          <w:lang w:eastAsia="x-none"/>
        </w:rPr>
      </w:pPr>
      <w:r>
        <w:rPr>
          <w:i/>
          <w:sz w:val="24"/>
          <w:szCs w:val="24"/>
          <w:lang w:eastAsia="x-none"/>
        </w:rPr>
        <w:t xml:space="preserve">Заказчик предоставит </w:t>
      </w:r>
      <w:r>
        <w:rPr>
          <w:i/>
          <w:sz w:val="24"/>
          <w:szCs w:val="24"/>
          <w:lang w:val="en-US" w:eastAsia="x-none"/>
        </w:rPr>
        <w:t>исполнителю</w:t>
      </w:r>
      <w:r>
        <w:rPr>
          <w:i/>
          <w:sz w:val="24"/>
          <w:szCs w:val="24"/>
          <w:lang w:eastAsia="x-none"/>
        </w:rPr>
        <w:t xml:space="preserve">: </w:t>
      </w:r>
    </w:p>
    <w:p w:rsidR="00367FBE" w:rsidRDefault="00B6344D">
      <w:pPr>
        <w:pStyle w:val="aff0"/>
        <w:numPr>
          <w:ilvl w:val="0"/>
          <w:numId w:val="11"/>
        </w:numPr>
        <w:jc w:val="both"/>
        <w:rPr>
          <w:i/>
          <w:lang w:eastAsia="x-none"/>
        </w:rPr>
      </w:pPr>
      <w:r>
        <w:rPr>
          <w:i/>
          <w:lang w:eastAsia="x-none"/>
        </w:rPr>
        <w:t xml:space="preserve">Оборудование, выведенное в ремонт. Меры безопасности обеспечивают возможность доступа персонала к оборудованию, включая возможность оперирования выключателем, </w:t>
      </w:r>
      <w:r>
        <w:rPr>
          <w:i/>
          <w:lang w:eastAsia="x-none"/>
        </w:rPr>
        <w:lastRenderedPageBreak/>
        <w:t>разъединителем и заземляющими ножами со стороны трансформатора и со стороны генератора;</w:t>
      </w:r>
    </w:p>
    <w:p w:rsidR="00367FBE" w:rsidRDefault="00B6344D">
      <w:pPr>
        <w:pStyle w:val="aff0"/>
        <w:numPr>
          <w:ilvl w:val="0"/>
          <w:numId w:val="11"/>
        </w:numPr>
        <w:jc w:val="both"/>
        <w:rPr>
          <w:i/>
          <w:lang w:eastAsia="x-none"/>
        </w:rPr>
      </w:pPr>
      <w:r>
        <w:rPr>
          <w:i/>
          <w:lang w:eastAsia="x-none"/>
        </w:rPr>
        <w:t>Помещение для складирования оборудования, размещения персонала на время оказания услуг.</w:t>
      </w:r>
    </w:p>
    <w:p w:rsidR="00367FBE" w:rsidRDefault="00B6344D">
      <w:pPr>
        <w:pStyle w:val="4"/>
        <w:numPr>
          <w:ilvl w:val="1"/>
          <w:numId w:val="3"/>
        </w:numPr>
        <w:ind w:left="426" w:hanging="426"/>
        <w:jc w:val="both"/>
      </w:pPr>
      <w:bookmarkStart w:id="9" w:name="_Ref54011166"/>
      <w:bookmarkStart w:id="10" w:name="_Toc54643460"/>
      <w:r>
        <w:t>Иные требования и сведения общего характера</w:t>
      </w:r>
      <w:bookmarkEnd w:id="9"/>
      <w:r>
        <w:rPr>
          <w:lang w:val="ru-RU"/>
        </w:rPr>
        <w:t xml:space="preserve"> </w:t>
      </w:r>
      <w:bookmarkEnd w:id="10"/>
    </w:p>
    <w:p w:rsidR="00367FBE" w:rsidRDefault="00B6344D">
      <w:pPr>
        <w:rPr>
          <w:i/>
          <w:sz w:val="24"/>
          <w:szCs w:val="24"/>
          <w:lang w:val="en-US" w:eastAsia="x-none"/>
        </w:rPr>
      </w:pPr>
      <w:r>
        <w:rPr>
          <w:i/>
          <w:sz w:val="24"/>
          <w:szCs w:val="24"/>
          <w:lang w:val="en-US" w:eastAsia="x-none"/>
        </w:rPr>
        <w:t xml:space="preserve">Условия оказания услуг: </w:t>
      </w:r>
    </w:p>
    <w:p w:rsidR="00367FBE" w:rsidRDefault="00B6344D">
      <w:pPr>
        <w:pStyle w:val="aff0"/>
        <w:numPr>
          <w:ilvl w:val="0"/>
          <w:numId w:val="12"/>
        </w:numPr>
        <w:jc w:val="both"/>
        <w:rPr>
          <w:i/>
          <w:lang w:eastAsia="x-none"/>
        </w:rPr>
      </w:pPr>
      <w:r>
        <w:rPr>
          <w:i/>
          <w:lang w:eastAsia="x-none"/>
        </w:rPr>
        <w:t>Оказание услуг осуществляются в помещениях эксплуатируемого объекта без остановки рабочего процесса предприятия, при этом в зоне оказания услуг имеется</w:t>
      </w:r>
      <w:r>
        <w:rPr>
          <w:lang w:eastAsia="x-none"/>
        </w:rPr>
        <w:t xml:space="preserve"> </w:t>
      </w:r>
      <w:r>
        <w:rPr>
          <w:i/>
          <w:lang w:eastAsia="x-none"/>
        </w:rPr>
        <w:t>действующее технологическое оборудование.</w:t>
      </w:r>
    </w:p>
    <w:p w:rsidR="00367FBE" w:rsidRDefault="00B6344D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4643702"/>
      <w:bookmarkStart w:id="12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 w:rsidR="00367FBE" w:rsidRDefault="00B6344D">
      <w:pPr>
        <w:pStyle w:val="4"/>
        <w:numPr>
          <w:ilvl w:val="1"/>
          <w:numId w:val="3"/>
        </w:numPr>
        <w:ind w:left="432"/>
      </w:pPr>
      <w:bookmarkStart w:id="13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3"/>
    </w:p>
    <w:p w:rsidR="00367FBE" w:rsidRDefault="00B6344D">
      <w:pPr>
        <w:pStyle w:val="32"/>
        <w:numPr>
          <w:ilvl w:val="2"/>
          <w:numId w:val="3"/>
        </w:numPr>
      </w:pPr>
      <w:bookmarkStart w:id="14" w:name="_Toc54643704"/>
      <w:r>
        <w:rPr>
          <w:lang w:val="ru-RU"/>
        </w:rPr>
        <w:t>Требования к перечню и объему услуг</w:t>
      </w:r>
      <w:bookmarkEnd w:id="14"/>
    </w:p>
    <w:p w:rsidR="00367FBE" w:rsidRDefault="00B6344D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1339695"/>
      <w:bookmarkStart w:id="16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6"/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"/>
        <w:gridCol w:w="5557"/>
        <w:gridCol w:w="1769"/>
        <w:gridCol w:w="1733"/>
      </w:tblGrid>
      <w:tr w:rsidR="00367FBE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7FBE" w:rsidRDefault="00B6344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67FBE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67FBE">
        <w:trPr>
          <w:trHeight w:val="56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ОКПД 2: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</w:tbl>
    <w:p w:rsidR="00367FBE" w:rsidRDefault="00B6344D">
      <w:pPr>
        <w:pStyle w:val="32"/>
        <w:numPr>
          <w:ilvl w:val="2"/>
          <w:numId w:val="3"/>
        </w:numPr>
        <w:rPr>
          <w:lang w:val="ru-RU"/>
        </w:rPr>
      </w:pPr>
      <w:bookmarkStart w:id="17" w:name="_Toc51339696"/>
      <w:bookmarkStart w:id="18" w:name="_Toc5464370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8"/>
    </w:p>
    <w:p w:rsidR="00367FBE" w:rsidRDefault="00B6344D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9" w:name="_Toc50125126"/>
      <w:bookmarkStart w:id="20" w:name="_Toc50125127"/>
      <w:bookmarkStart w:id="21" w:name="_Toc51339697"/>
      <w:bookmarkStart w:id="22" w:name="_Toc54643707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оказания услуг</w:t>
      </w:r>
      <w:bookmarkEnd w:id="22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3"/>
        <w:gridCol w:w="3405"/>
        <w:gridCol w:w="2693"/>
        <w:gridCol w:w="2835"/>
      </w:tblGrid>
      <w:tr w:rsidR="00367FBE" w:rsidTr="00B6344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услуг*</w:t>
            </w:r>
          </w:p>
        </w:tc>
      </w:tr>
      <w:tr w:rsidR="00367FBE" w:rsidTr="00B6344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4" w:name="_Toc46743510"/>
            <w:r>
              <w:rPr>
                <w:b/>
                <w:sz w:val="24"/>
                <w:szCs w:val="24"/>
              </w:rPr>
              <w:t>4</w:t>
            </w:r>
            <w:bookmarkEnd w:id="24"/>
          </w:p>
        </w:tc>
      </w:tr>
      <w:tr w:rsidR="00367FBE" w:rsidTr="00B6344D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FBE" w:rsidRDefault="00B6344D">
            <w:pPr>
              <w:keepNext/>
              <w:keepLines/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ОКПД 2: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 (ГР-5Г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ГР-6Г) </w:t>
            </w:r>
          </w:p>
          <w:p w:rsidR="00367FBE" w:rsidRDefault="00367FBE">
            <w:pPr>
              <w:widowControl w:val="0"/>
              <w:rPr>
                <w:sz w:val="24"/>
                <w:szCs w:val="24"/>
              </w:rPr>
            </w:pPr>
          </w:p>
          <w:p w:rsidR="00367FBE" w:rsidRDefault="00367FB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.2026 (ГР-5Г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ГР-6Г) </w:t>
            </w:r>
          </w:p>
          <w:p w:rsidR="00367FBE" w:rsidRDefault="00367FBE" w:rsidP="00B6344D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67FBE" w:rsidRDefault="00B6344D">
      <w:pPr>
        <w:keepNext/>
        <w:keepLines/>
        <w:spacing w:before="240" w:after="60"/>
        <w:jc w:val="both"/>
        <w:outlineLvl w:val="0"/>
        <w:rPr>
          <w:rFonts w:eastAsia="Calibri"/>
          <w:i/>
          <w:sz w:val="24"/>
          <w:szCs w:val="24"/>
          <w:lang w:eastAsia="x-none"/>
        </w:rPr>
        <w:sectPr w:rsidR="00367FBE">
          <w:headerReference w:type="even" r:id="rId8"/>
          <w:headerReference w:type="defaul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>
        <w:rPr>
          <w:rFonts w:eastAsia="Calibri"/>
          <w:i/>
          <w:sz w:val="24"/>
          <w:szCs w:val="24"/>
          <w:lang w:eastAsia="x-none"/>
        </w:rPr>
        <w:t>*Точные сроки оказания услуг будут известны после утверждения графиков ремонтов гидрогенераторов ст. №5</w:t>
      </w:r>
      <w:r w:rsidRPr="00B6344D">
        <w:rPr>
          <w:rFonts w:eastAsia="Calibri"/>
          <w:i/>
          <w:sz w:val="24"/>
          <w:szCs w:val="24"/>
          <w:lang w:eastAsia="x-none"/>
        </w:rPr>
        <w:t xml:space="preserve"> и №6</w:t>
      </w:r>
      <w:r>
        <w:rPr>
          <w:rFonts w:eastAsia="Calibri"/>
          <w:i/>
          <w:sz w:val="24"/>
          <w:szCs w:val="24"/>
          <w:lang w:eastAsia="x-none"/>
        </w:rPr>
        <w:t xml:space="preserve"> главным инженером филиала ПАО «РусГидро» - «Воткинская ГЭС».</w:t>
      </w:r>
    </w:p>
    <w:p w:rsidR="00367FBE" w:rsidRDefault="00B6344D">
      <w:pPr>
        <w:pStyle w:val="4"/>
        <w:numPr>
          <w:ilvl w:val="1"/>
          <w:numId w:val="3"/>
        </w:numPr>
        <w:ind w:left="432"/>
      </w:pPr>
      <w:bookmarkStart w:id="25" w:name="_Toc46743511"/>
      <w:bookmarkStart w:id="26" w:name="_Toc54643708"/>
      <w:bookmarkStart w:id="27" w:name="_Toc51339698"/>
      <w:bookmarkStart w:id="28" w:name="_Toc54643709"/>
      <w:r>
        <w:lastRenderedPageBreak/>
        <w:t xml:space="preserve">Требования к </w:t>
      </w:r>
      <w:bookmarkEnd w:id="25"/>
      <w:r>
        <w:rPr>
          <w:lang w:val="ru-RU"/>
        </w:rPr>
        <w:t>качеству услуг</w:t>
      </w:r>
      <w:bookmarkEnd w:id="26"/>
    </w:p>
    <w:p w:rsidR="00367FBE" w:rsidRDefault="00B6344D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7"/>
      <w:r>
        <w:rPr>
          <w:sz w:val="24"/>
          <w:szCs w:val="24"/>
          <w:lang w:val="ru-RU"/>
        </w:rPr>
        <w:t>качеству услуг</w:t>
      </w:r>
      <w:bookmarkEnd w:id="28"/>
      <w:r>
        <w:rPr>
          <w:sz w:val="24"/>
          <w:szCs w:val="24"/>
        </w:rPr>
        <w:t xml:space="preserve"> </w:t>
      </w:r>
    </w:p>
    <w:p w:rsidR="00367FBE" w:rsidRDefault="00B6344D">
      <w:pPr>
        <w:rPr>
          <w:i/>
          <w:iCs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rFonts w:eastAsia="Calibri"/>
          <w:b/>
          <w:bCs/>
          <w:sz w:val="24"/>
          <w:szCs w:val="24"/>
        </w:rPr>
        <w:t>ОКПД 2</w:t>
      </w:r>
      <w:r>
        <w:rPr>
          <w:rFonts w:eastAsia="Calibri"/>
          <w:b/>
          <w:bCs/>
          <w:color w:val="000000"/>
          <w:sz w:val="24"/>
          <w:szCs w:val="24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HECS-80S</w:t>
      </w:r>
      <w:r>
        <w:rPr>
          <w:b/>
          <w:bCs/>
          <w:sz w:val="24"/>
          <w:szCs w:val="24"/>
        </w:rPr>
        <w:t>.</w:t>
      </w:r>
    </w:p>
    <w:tbl>
      <w:tblPr>
        <w:tblStyle w:val="affff5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"/>
        <w:gridCol w:w="2365"/>
        <w:gridCol w:w="11198"/>
      </w:tblGrid>
      <w:tr w:rsidR="00367FBE">
        <w:trPr>
          <w:trHeight w:val="276"/>
        </w:trPr>
        <w:tc>
          <w:tcPr>
            <w:tcW w:w="754" w:type="dxa"/>
            <w:vMerge w:val="restart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65" w:type="dxa"/>
            <w:vMerge w:val="restart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198" w:type="dxa"/>
            <w:vMerge w:val="restart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367FBE">
        <w:trPr>
          <w:trHeight w:val="276"/>
        </w:trPr>
        <w:tc>
          <w:tcPr>
            <w:tcW w:w="754" w:type="dxa"/>
            <w:vMerge/>
            <w:vAlign w:val="center"/>
          </w:tcPr>
          <w:p w:rsidR="00367FBE" w:rsidRDefault="00367FB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vMerge/>
            <w:vAlign w:val="center"/>
          </w:tcPr>
          <w:p w:rsidR="00367FBE" w:rsidRDefault="00367FB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98" w:type="dxa"/>
            <w:vMerge/>
            <w:vAlign w:val="center"/>
          </w:tcPr>
          <w:p w:rsidR="00367FBE" w:rsidRDefault="00367FB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9"/>
          </w:p>
        </w:tc>
        <w:tc>
          <w:tcPr>
            <w:tcW w:w="2365" w:type="dxa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98" w:type="dxa"/>
            <w:vAlign w:val="center"/>
          </w:tcPr>
          <w:p w:rsidR="00367FBE" w:rsidRDefault="00B6344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367FBE">
        <w:trPr>
          <w:trHeight w:val="415"/>
        </w:trPr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выполняемых услуг</w:t>
            </w:r>
          </w:p>
        </w:tc>
        <w:tc>
          <w:tcPr>
            <w:tcW w:w="11198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выполняется на выведенном в ремонт ГР и включает в себя: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42"/>
              </w:tabs>
              <w:ind w:left="16" w:firstLine="142"/>
            </w:pPr>
            <w:r>
              <w:t>Транспортировка и доставка приборов (оборудования) к месту проведения услуг;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42"/>
              </w:tabs>
              <w:ind w:left="16" w:firstLine="142"/>
            </w:pPr>
            <w:r>
              <w:t>Оказание услуг согласно перечню указанного в п/п 1.1.2. таблицы 4;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42"/>
              </w:tabs>
              <w:ind w:left="16" w:firstLine="142"/>
            </w:pPr>
            <w:r>
              <w:t>Проведение необходимых измерений и испытаний, предусмотренных требованиями регламентирующих документов и перечнем оказываемых услуг;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42"/>
              </w:tabs>
              <w:ind w:left="16" w:firstLine="142"/>
            </w:pPr>
            <w:r>
              <w:t>Оформление приемосдаточной документации в соответствии с требованиями регламентирующих документов.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считается выполненной с момента сдачи ГР в эксплуатацию и подписания акта сдачи-приемки выполненных услуг.  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Перечень оказываемых услуг</w:t>
            </w:r>
          </w:p>
        </w:tc>
        <w:tc>
          <w:tcPr>
            <w:tcW w:w="11198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услуг технического контроля за работами по сервисному (техническому) обслуживанию генераторных распределительных устройств тип HECS-80S, которые выполняются на каждом устройстве: 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Измерение временных и скоростных характеристик выключателя с использованием программного обеспечения CabaWin, рекомендованного заводом-изготовителем элегазового генераторного распределительного устройства (далее ЭГРУ);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Сравнение заводских временных и скоростных характеристик с измеренными с использованием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программного обеспечения CabaWin, рекомендованного заводом-изготовителем ЭГРУ;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Определение износа контактов методом измерения динамического сопротивления контактов (метод DRM) с использованием программного обеспечения CabaWin, рекомендованного заводом-изготовителем ЭГРУ;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Анализ измеренных характеристик выключателя в программе CabaWin;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Контроль правильности функционирования гидромеханического привода;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Анализ параметров элегаза в выключателе;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Откачка элегаза из выключателя (фазы А, В, С) до вакуума с контролем и проверкой сигнала и </w:t>
            </w:r>
            <w:r>
              <w:rPr>
                <w:sz w:val="24"/>
                <w:szCs w:val="24"/>
              </w:rPr>
              <w:lastRenderedPageBreak/>
              <w:t>блокировок по элегазу;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Вакуумирование и заполнение выключателей (фазы А, В, С) азотом до 200 кПа;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Откачка азота из выключателя (фазы А, В, С) до вакуума;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Вакуумирование и заполнение выключателей (фазы А, В, С) азотом до 200 кПа;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Откачка азота из выключателя (фазы А, В, С) до вакуума;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Вакуумирование и заполнение выключателей (фазы А, В, С) элегазом до рабочего давления;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Проверка отсутствия утечек элегаза;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Анализ параметров элегаза в выключателе;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Проверка отсутствия аварийных сигналов на информационной панели;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Проверка работоспособности контрольных ламп шкафа управления;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Управление выключателем из шкафа управления посредством электрических органов управления;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Управление разъединителем и заземляющими ножами посредством электрических органов управления;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Управление разъединителем и заземляющими ножами посредством оперативной рукоятки;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Нанесение смазки OKS на разъединитель и заземляющие ножи в случае необходимости;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Измерение переходного сопротивления выключателя либо цепи «выключатель-разъединитель»;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Проверка работоспособности системы обогрева шкафа управления и гидромеханического привода;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Проверка работоспособности освещения шкафа управления;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Визуальный контроль на предмет внешних повреждений, включая состояние оборудования внутри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кожухов;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Дополнительная проверка давления заполнения и отсутствия утечек элегаза, пополнение элегазом при необходимости;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Контроль за очисткой оборудования внутри кожухов;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Контроль механических соединений на предмет исправности и надежности;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Контроль электрических соединений на предмет исправности и надежности;</w:t>
            </w:r>
          </w:p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Формирование технического отчёта об оказанных услугах.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при выполнении услуг норм и правил нормативно-технических документов</w:t>
            </w:r>
          </w:p>
        </w:tc>
        <w:tc>
          <w:tcPr>
            <w:tcW w:w="11198" w:type="dxa"/>
            <w:shd w:val="clear" w:color="auto" w:fill="auto"/>
          </w:tcPr>
          <w:p w:rsidR="00367FBE" w:rsidRDefault="00B634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bookmarkStart w:id="30" w:name="_Hlk124928894"/>
            <w:r>
              <w:t xml:space="preserve"> Правилами по охране труда при эксплуатации электроустановок, приказ Минтруда России от 15.12.2020 N903н</w:t>
            </w:r>
            <w:bookmarkEnd w:id="30"/>
            <w:r>
              <w:t xml:space="preserve"> с изменениями, внесенными приказом Минтруда России от 29 апреля 2022г. №279н;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Правилами устройства электроустановок издание седьмое (утв. Приказом Минэнерго России от 08.07.2002 №204);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Правилами организации технического обслуживания и ремонта объектов электроэнергетики, приказ Минэнерго России от 25.10.2017 №1013;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Правилами по охране труда при работе с инструментом и приспособлениями, приказ Минтруда России </w:t>
            </w:r>
            <w:r>
              <w:lastRenderedPageBreak/>
              <w:t>от 27.11.2020г. N 835н;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РД 34.45-51.300-97 «Объемы и нормы испытаний электрооборудования»;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Правилами технической эксплуатации электрических станций и сетей РФ, приказ Минэнерго России от 04.10.2022 №1070;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Правилами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7"/>
              </w:numPr>
              <w:tabs>
                <w:tab w:val="left" w:pos="292"/>
              </w:tabs>
              <w:ind w:left="16" w:firstLine="142"/>
              <w:jc w:val="both"/>
            </w:pPr>
            <w:r>
              <w:t xml:space="preserve"> 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 w:rsidR="00367FBE" w:rsidRDefault="00B6344D">
            <w:pPr>
              <w:widowControl w:val="0"/>
              <w:jc w:val="both"/>
            </w:pPr>
            <w:r>
              <w:t xml:space="preserve">- </w:t>
            </w:r>
            <w:r>
              <w:rPr>
                <w:sz w:val="24"/>
                <w:szCs w:val="24"/>
              </w:rPr>
              <w:t>Другими правилами, не противоречащие законодательству Российской Федерации</w:t>
            </w:r>
            <w:r>
              <w:t>.</w:t>
            </w:r>
          </w:p>
          <w:p w:rsidR="00367FBE" w:rsidRDefault="00B634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Корпоративные стандарты ПАО “РусГидро” размещены в свободном доступе в сети интернет по адресу: </w:t>
            </w:r>
            <w:hyperlink r:id="rId10">
              <w:r>
                <w:rPr>
                  <w:rStyle w:val="aa"/>
                  <w:sz w:val="24"/>
                  <w:szCs w:val="24"/>
                </w:rPr>
                <w:t>http://www.rushydro.ru/sustainable_development/safety/101153.html</w:t>
              </w:r>
            </w:hyperlink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1.2.</w:t>
            </w:r>
          </w:p>
        </w:tc>
        <w:tc>
          <w:tcPr>
            <w:tcW w:w="13563" w:type="dxa"/>
            <w:gridSpan w:val="2"/>
            <w:shd w:val="clear" w:color="auto" w:fill="auto"/>
            <w:vAlign w:val="center"/>
          </w:tcPr>
          <w:p w:rsidR="00367FBE" w:rsidRDefault="00B634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способам оказания услуг 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365" w:type="dxa"/>
            <w:shd w:val="clear" w:color="auto" w:fill="auto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  <w:shd w:val="clear" w:color="auto" w:fill="auto"/>
          </w:tcPr>
          <w:p w:rsidR="00367FBE" w:rsidRDefault="00B6344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выполняются на охраняемом Объекте с применением досмотровых технических средств охраны (переносные и стационарные), с целью недопущения проноса (провоза) на охраняемый Объект вооружения, взрывчатых веществ и самодельных взрывных устройств и их элементов, а также других запрещенных предметов.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4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</w:tcPr>
          <w:p w:rsidR="00367FBE" w:rsidRDefault="00B6344D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292"/>
                <w:tab w:val="left" w:pos="426"/>
              </w:tabs>
              <w:spacing w:before="60"/>
              <w:ind w:left="8" w:firstLine="142"/>
              <w:jc w:val="both"/>
              <w:rPr>
                <w:b/>
              </w:rPr>
            </w:pPr>
            <w:r>
              <w:t xml:space="preserve">Допуск персонала исполнителя для выполнения услуг должен осуществляться в соответствии с </w:t>
            </w:r>
            <w:bookmarkStart w:id="31" w:name="_Hlk124767430"/>
            <w:r>
              <w:t xml:space="preserve">Регламентом процесса «Допуск персонала подрядных организаций на объекты ПАО «РусГидро» (утв. Приказом ПАО «РусГидро» №300 от 28.04.2023 г) </w:t>
            </w:r>
            <w:bookmarkEnd w:id="31"/>
            <w:r>
              <w:t>(Приложение №</w:t>
            </w:r>
            <w:r>
              <w:rPr>
                <w:lang w:val="en-US"/>
              </w:rPr>
              <w:t>1</w:t>
            </w:r>
            <w:r>
              <w:t xml:space="preserve"> к настоящим ТТ).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4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информационной безопасности</w:t>
            </w:r>
          </w:p>
        </w:tc>
        <w:tc>
          <w:tcPr>
            <w:tcW w:w="11198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1"/>
                <w:numId w:val="1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4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используемому оборудованию</w:t>
            </w:r>
          </w:p>
        </w:tc>
        <w:tc>
          <w:tcPr>
            <w:tcW w:w="11198" w:type="dxa"/>
          </w:tcPr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1. Наличие у исполнителя материально-технических ресурсов: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ноутбук, с установленным программным обеспечением CabaWin версии R04 или выше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заводской файл (arc-файл) с временными и скоростными характеристиками с данными заводских испытаний, для использования в программном обеспечении CabaWin;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анализатор характеристик выключателей EGIL либо TM1600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прибор SDRM202 – 1 шт. (за исключением HEC 7/8 и HVS);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lastRenderedPageBreak/>
              <w:t>▪ микроомметр MOM200 или MOM600 – 1 комплект;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течеискатель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анализатор элегаза (влажности элегаза)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датчик перемещения резистивный (трансдюсер)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цифровой мультиметр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газотехнологические переходники – 1 комплект;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набор монтажного инструмента (отвертки, глючи гаечные) – 1 комплект;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смазка OKS в тубе 250 мл – 1 шт;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баллон с элегазом (</w:t>
            </w:r>
            <w:r>
              <w:rPr>
                <w:lang w:val="en-US"/>
              </w:rPr>
              <w:t>SF</w:t>
            </w:r>
            <w:r>
              <w:t>6) по ТУ6-02-1249-83, 56 кг – 1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баллон с азотом особой чистоты – 3 шт.;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▪ масло гидравлическое – 7 л.</w:t>
            </w:r>
          </w:p>
          <w:p w:rsidR="00367FBE" w:rsidRDefault="00B6344D">
            <w:pPr>
              <w:pStyle w:val="aff0"/>
              <w:widowControl w:val="0"/>
              <w:tabs>
                <w:tab w:val="left" w:pos="292"/>
                <w:tab w:val="left" w:pos="426"/>
              </w:tabs>
              <w:spacing w:before="60"/>
              <w:ind w:left="150"/>
              <w:jc w:val="both"/>
            </w:pPr>
            <w:r>
              <w:t>2. Используемые исполнителем материально-технические ресурсы должны иметь действующие сертификаты соответствия и результаты поверки, технические паспорта и другие документы, удостоверяющие их качество.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1"/>
                <w:numId w:val="1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563" w:type="dxa"/>
            <w:gridSpan w:val="2"/>
          </w:tcPr>
          <w:p w:rsidR="00367FBE" w:rsidRDefault="00B6344D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4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11198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sz w:val="24"/>
                <w:szCs w:val="24"/>
              </w:rPr>
              <w:t xml:space="preserve">Выполнение услуг должно осуществляться в составе бригады </w:t>
            </w:r>
            <w:bookmarkStart w:id="32" w:name="_Hlk124928831"/>
            <w:r>
              <w:rPr>
                <w:sz w:val="24"/>
                <w:szCs w:val="24"/>
              </w:rPr>
              <w:t xml:space="preserve">квалифицированными специалистами с сертификатом уровня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3 либо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4, выданным заводом-изготовителем элегазового генераторного выключателя (</w:t>
            </w:r>
            <w:r>
              <w:rPr>
                <w:sz w:val="24"/>
                <w:szCs w:val="24"/>
                <w:lang w:val="en-US"/>
              </w:rPr>
              <w:t>Hitachi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ABB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Power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Grids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Switzerland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Ltd</w:t>
            </w:r>
            <w:r>
              <w:rPr>
                <w:sz w:val="24"/>
                <w:szCs w:val="24"/>
              </w:rPr>
              <w:t xml:space="preserve">. либо </w:t>
            </w:r>
            <w:r>
              <w:rPr>
                <w:sz w:val="24"/>
                <w:szCs w:val="24"/>
                <w:lang w:val="en-US"/>
              </w:rPr>
              <w:t>Hitachi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Energy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Switzerland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Ltd</w:t>
            </w:r>
            <w:r>
              <w:rPr>
                <w:sz w:val="24"/>
                <w:szCs w:val="24"/>
              </w:rPr>
              <w:t>.)), обладающими группой по электробезопасности не ниже III.</w:t>
            </w:r>
            <w:bookmarkEnd w:id="32"/>
          </w:p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bookmarkStart w:id="33" w:name="_Hlk124929079"/>
            <w:r>
              <w:rPr>
                <w:sz w:val="24"/>
                <w:szCs w:val="24"/>
              </w:rPr>
              <w:t xml:space="preserve">До начала выполнения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работ и протоколы проверки знаний правил работы в электроустановках. </w:t>
            </w:r>
            <w:bookmarkEnd w:id="33"/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0"/>
                <w:numId w:val="14"/>
              </w:numPr>
              <w:spacing w:before="60" w:after="60"/>
              <w:jc w:val="center"/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ind w:left="3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11198" w:type="dxa"/>
          </w:tcPr>
          <w:p w:rsidR="00367FBE" w:rsidRDefault="00B6344D">
            <w:pPr>
              <w:pStyle w:val="aff0"/>
              <w:widowControl w:val="0"/>
              <w:numPr>
                <w:ilvl w:val="0"/>
                <w:numId w:val="15"/>
              </w:numPr>
              <w:ind w:left="292" w:hanging="292"/>
              <w:jc w:val="both"/>
              <w:rPr>
                <w:lang w:val="en-US"/>
              </w:rPr>
            </w:pPr>
            <w:r>
              <w:rPr>
                <w:lang w:val="en-US"/>
              </w:rPr>
              <w:t>Результаты услуг должны обеспечивать: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9"/>
              </w:numPr>
              <w:ind w:left="292" w:hanging="142"/>
              <w:jc w:val="both"/>
            </w:pPr>
            <w:r>
              <w:t>надежную и безаварийную работу оборудования;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9"/>
              </w:numPr>
              <w:ind w:left="292" w:hanging="142"/>
              <w:jc w:val="both"/>
            </w:pPr>
            <w:r>
              <w:rPr>
                <w:lang w:val="en-US"/>
              </w:rPr>
              <w:t>бесперебойную передачу электрической энергии.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5"/>
              </w:numPr>
              <w:ind w:left="292" w:hanging="292"/>
              <w:jc w:val="both"/>
            </w:pPr>
            <w:r>
              <w:t>Отчетная документация должна обеспечивать достоверность и полноту сведений о фактически оказанных услугах.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приемке результата оказания услуг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2.2.1</w:t>
            </w:r>
            <w:r>
              <w:rPr>
                <w:sz w:val="24"/>
                <w:szCs w:val="24"/>
                <w:lang w:val="en-US"/>
              </w:rPr>
              <w:lastRenderedPageBreak/>
              <w:t>.</w:t>
            </w:r>
          </w:p>
        </w:tc>
        <w:tc>
          <w:tcPr>
            <w:tcW w:w="2365" w:type="dxa"/>
            <w:vAlign w:val="center"/>
          </w:tcPr>
          <w:p w:rsidR="00367FBE" w:rsidRDefault="00B6344D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</w:t>
            </w:r>
            <w:r>
              <w:rPr>
                <w:sz w:val="24"/>
                <w:szCs w:val="24"/>
              </w:rPr>
              <w:lastRenderedPageBreak/>
              <w:t>порядку приемки результатов оказания услуг</w:t>
            </w:r>
          </w:p>
        </w:tc>
        <w:tc>
          <w:tcPr>
            <w:tcW w:w="11198" w:type="dxa"/>
            <w:vAlign w:val="center"/>
          </w:tcPr>
          <w:p w:rsidR="00367FBE" w:rsidRDefault="00B6344D">
            <w:pPr>
              <w:widowControl w:val="0"/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соответствии с требованиями «Правил организации технического обслуживания и ремонта объектов </w:t>
            </w:r>
            <w:r>
              <w:rPr>
                <w:sz w:val="24"/>
                <w:szCs w:val="24"/>
              </w:rPr>
              <w:lastRenderedPageBreak/>
              <w:t>электроэнергетики», утвержденных Приказом Министерства энергетики Российской Федерации от 25.10.2017 №1013 и</w:t>
            </w:r>
            <w:r>
              <w:t xml:space="preserve"> </w:t>
            </w:r>
            <w:r>
              <w:rPr>
                <w:sz w:val="24"/>
                <w:szCs w:val="24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требования».</w:t>
            </w:r>
          </w:p>
          <w:p w:rsidR="00367FBE" w:rsidRDefault="00B6344D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считаются выполненными после приемки объекта из ремонта ответственными лицами филиала ПАО «РусГидро»-«Воткинская ГЭС».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367FBE">
            <w:pPr>
              <w:pStyle w:val="aff0"/>
              <w:widowControl w:val="0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365" w:type="dxa"/>
          </w:tcPr>
          <w:p w:rsidR="00367FBE" w:rsidRDefault="00B6344D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1198" w:type="dxa"/>
            <w:vAlign w:val="center"/>
          </w:tcPr>
          <w:p w:rsidR="00367FBE" w:rsidRDefault="00B6344D">
            <w:pPr>
              <w:pStyle w:val="aff0"/>
              <w:widowControl w:val="0"/>
              <w:numPr>
                <w:ilvl w:val="0"/>
                <w:numId w:val="17"/>
              </w:numPr>
              <w:ind w:left="8" w:firstLine="0"/>
              <w:jc w:val="both"/>
            </w:pPr>
            <w:r>
              <w:t>Предоставить заказчику отчетную документацию: акт выполненных услуг (оказанных услуг), протоколы измерений.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7"/>
              </w:numPr>
              <w:ind w:left="8" w:firstLine="0"/>
              <w:jc w:val="both"/>
            </w:pPr>
            <w:r>
              <w:t>Исполнитель передает заказчику приемосдаточную документацию не позднее 5 рабочих дней после оказания услуг.</w:t>
            </w:r>
          </w:p>
          <w:p w:rsidR="00367FBE" w:rsidRDefault="00B6344D">
            <w:pPr>
              <w:pStyle w:val="aff0"/>
              <w:widowControl w:val="0"/>
              <w:numPr>
                <w:ilvl w:val="0"/>
                <w:numId w:val="17"/>
              </w:numPr>
              <w:ind w:left="8" w:firstLine="0"/>
            </w:pPr>
            <w:r>
              <w:t xml:space="preserve">Отчетные документы по оказанным услугам предоставить на русском языке на бумажном носителе в 2 экземплярах и в электронном виде в 1 экземпляре в формтах </w:t>
            </w:r>
            <w:r>
              <w:rPr>
                <w:rFonts w:cs="Dutch 801 SWA"/>
              </w:rPr>
              <w:t xml:space="preserve">*.dwg, *.vsd, *.dос, *.хls.  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3563" w:type="dxa"/>
            <w:gridSpan w:val="2"/>
            <w:vAlign w:val="center"/>
          </w:tcPr>
          <w:p w:rsidR="00367FBE" w:rsidRDefault="00B6344D">
            <w:pPr>
              <w:widowControl w:val="0"/>
              <w:ind w:left="360"/>
            </w:pPr>
            <w:r>
              <w:rPr>
                <w:b/>
                <w:bCs/>
                <w:sz w:val="24"/>
                <w:szCs w:val="24"/>
              </w:rPr>
              <w:t>Прочие требования к оказанию услуг</w:t>
            </w:r>
          </w:p>
        </w:tc>
      </w:tr>
      <w:tr w:rsidR="00367FBE">
        <w:tc>
          <w:tcPr>
            <w:tcW w:w="754" w:type="dxa"/>
            <w:vAlign w:val="center"/>
          </w:tcPr>
          <w:p w:rsidR="00367FBE" w:rsidRDefault="00B6344D">
            <w:pPr>
              <w:widowControl w:val="0"/>
              <w:spacing w:before="60" w:after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3.1.1.</w:t>
            </w:r>
          </w:p>
        </w:tc>
        <w:tc>
          <w:tcPr>
            <w:tcW w:w="2365" w:type="dxa"/>
          </w:tcPr>
          <w:p w:rsidR="00367FBE" w:rsidRDefault="00B6344D">
            <w:pPr>
              <w:widowControl w:val="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Выполнение комплекса услуг</w:t>
            </w:r>
          </w:p>
        </w:tc>
        <w:tc>
          <w:tcPr>
            <w:tcW w:w="11198" w:type="dxa"/>
            <w:vAlign w:val="center"/>
          </w:tcPr>
          <w:p w:rsidR="00367FBE" w:rsidRDefault="00B6344D">
            <w:pPr>
              <w:widowControl w:val="0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выполняются в таком объёме, которые позволяют начать эксплуатацию объекта без закупки заказчиком дополнительных объёмов каких-либо материалов, оборудования и работ, за исключением случаев выполнения непредвиденных работ, выявленных в процессе выполнения услуг.</w:t>
            </w:r>
          </w:p>
        </w:tc>
      </w:tr>
    </w:tbl>
    <w:p w:rsidR="00367FBE" w:rsidRDefault="00367FBE">
      <w:pPr>
        <w:sectPr w:rsidR="00367FBE">
          <w:headerReference w:type="default" r:id="rId11"/>
          <w:headerReference w:type="first" r:id="rId12"/>
          <w:pgSz w:w="16838" w:h="11906" w:orient="landscape"/>
          <w:pgMar w:top="851" w:right="1670" w:bottom="851" w:left="992" w:header="680" w:footer="0" w:gutter="0"/>
          <w:pgNumType w:start="5"/>
          <w:cols w:space="720"/>
          <w:formProt w:val="0"/>
          <w:docGrid w:linePitch="381"/>
        </w:sectPr>
      </w:pPr>
    </w:p>
    <w:p w:rsidR="00367FBE" w:rsidRDefault="00B6344D">
      <w:pPr>
        <w:keepNext/>
        <w:keepLines/>
        <w:numPr>
          <w:ilvl w:val="0"/>
          <w:numId w:val="3"/>
        </w:numPr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lastRenderedPageBreak/>
        <w:t>Требования к документации по ценообразованию на этапе заключения (исполнения) договора</w:t>
      </w:r>
    </w:p>
    <w:p w:rsidR="00367FBE" w:rsidRPr="002274EB" w:rsidRDefault="00B6344D">
      <w:pPr>
        <w:pStyle w:val="4"/>
        <w:numPr>
          <w:ilvl w:val="1"/>
          <w:numId w:val="3"/>
        </w:numPr>
        <w:jc w:val="both"/>
        <w:rPr>
          <w:b w:val="0"/>
        </w:rPr>
        <w:sectPr w:rsidR="00367FBE" w:rsidRPr="002274EB">
          <w:headerReference w:type="default" r:id="rId13"/>
          <w:headerReference w:type="first" r:id="rId14"/>
          <w:pgSz w:w="11906" w:h="16838"/>
          <w:pgMar w:top="1135" w:right="851" w:bottom="992" w:left="851" w:header="680" w:footer="0" w:gutter="0"/>
          <w:pgNumType w:start="10"/>
          <w:cols w:space="720"/>
          <w:formProt w:val="0"/>
          <w:docGrid w:linePitch="381"/>
        </w:sectPr>
      </w:pPr>
      <w:r w:rsidRPr="002274EB">
        <w:rPr>
          <w:b w:val="0"/>
          <w:lang w:val="ru-RU"/>
        </w:rPr>
        <w:t>Р</w:t>
      </w:r>
      <w:r w:rsidRPr="002274EB">
        <w:rPr>
          <w:b w:val="0"/>
        </w:rPr>
        <w:t>асчет стоимости составлять в соответствии с утвержденными ставками на оказание услуг сервисного центра. Предоставить Утвержденный расчет ставок ООО Эйч Энерджи на 2026 год.</w:t>
      </w:r>
      <w:bookmarkStart w:id="34" w:name="_GoBack"/>
      <w:bookmarkEnd w:id="34"/>
    </w:p>
    <w:p w:rsidR="00367FBE" w:rsidRDefault="00B6344D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lastRenderedPageBreak/>
        <w:t>Приложения</w:t>
      </w:r>
    </w:p>
    <w:p w:rsidR="00367FBE" w:rsidRDefault="00B6344D">
      <w:pPr>
        <w:rPr>
          <w:i/>
          <w:sz w:val="24"/>
          <w:szCs w:val="24"/>
        </w:rPr>
        <w:sectPr w:rsidR="00367FBE">
          <w:headerReference w:type="default" r:id="rId15"/>
          <w:headerReference w:type="first" r:id="rId16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rPr>
          <w:i/>
          <w:sz w:val="24"/>
          <w:szCs w:val="24"/>
        </w:rPr>
        <w:t>Приложение №1: регламент процесса «Допуск персонала подрядных организаций на объекты ПАО «РусГидро» (утв. Приказом ПАО «РусГидро» №300 от 28.04.2023 г).</w:t>
      </w:r>
      <w:r>
        <w:br w:type="page"/>
      </w:r>
    </w:p>
    <w:p w:rsidR="00367FBE" w:rsidRDefault="00B6344D">
      <w:pPr>
        <w:jc w:val="right"/>
        <w:rPr>
          <w:b/>
          <w:i/>
          <w:sz w:val="24"/>
          <w:szCs w:val="24"/>
        </w:rPr>
      </w:pPr>
      <w:bookmarkStart w:id="35" w:name="_Ref40301253"/>
      <w:bookmarkEnd w:id="35"/>
      <w:r>
        <w:rPr>
          <w:b/>
          <w:i/>
          <w:sz w:val="24"/>
          <w:szCs w:val="24"/>
        </w:rPr>
        <w:lastRenderedPageBreak/>
        <w:t>Приложение №</w:t>
      </w:r>
      <w:r w:rsidRPr="00B6344D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 к ТТ</w:t>
      </w:r>
    </w:p>
    <w:p w:rsidR="00367FBE" w:rsidRDefault="00367FBE">
      <w:pPr>
        <w:jc w:val="center"/>
        <w:rPr>
          <w:sz w:val="24"/>
          <w:szCs w:val="24"/>
        </w:rPr>
      </w:pPr>
    </w:p>
    <w:p w:rsidR="00367FBE" w:rsidRDefault="00B6344D">
      <w:r>
        <w:rPr>
          <w:sz w:val="24"/>
          <w:szCs w:val="24"/>
        </w:rPr>
        <w:t>Регламент процесса «Допуск персонала подрядных организаций на объекты ПАО «РусГидро» (утв. Приказом ПАО «РусГидро» №300 от 28.04.2023 г) представлен отдельным файлом.</w:t>
      </w:r>
    </w:p>
    <w:sectPr w:rsidR="00367FBE">
      <w:headerReference w:type="default" r:id="rId17"/>
      <w:headerReference w:type="first" r:id="rId18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BC" w:rsidRDefault="00B6344D">
      <w:r>
        <w:separator/>
      </w:r>
    </w:p>
  </w:endnote>
  <w:endnote w:type="continuationSeparator" w:id="0">
    <w:p w:rsidR="009404BC" w:rsidRDefault="00B6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utch 801 SW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BC" w:rsidRDefault="00B6344D">
      <w:r>
        <w:separator/>
      </w:r>
    </w:p>
  </w:footnote>
  <w:footnote w:type="continuationSeparator" w:id="0">
    <w:p w:rsidR="009404BC" w:rsidRDefault="00B63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B6344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67FBE" w:rsidRDefault="00B6344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67FBE" w:rsidRDefault="00B6344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367FB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B6344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274EB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330092"/>
      <w:docPartObj>
        <w:docPartGallery w:val="Page Numbers (Top of Page)"/>
        <w:docPartUnique/>
      </w:docPartObj>
    </w:sdtPr>
    <w:sdtEndPr/>
    <w:sdtContent>
      <w:p w:rsidR="00367FBE" w:rsidRDefault="00B6344D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274EB">
          <w:rPr>
            <w:noProof/>
          </w:rPr>
          <w:t>9</w:t>
        </w:r>
        <w:r>
          <w:fldChar w:fldCharType="end"/>
        </w:r>
      </w:p>
      <w:p w:rsidR="00367FBE" w:rsidRDefault="00042937">
        <w:pPr>
          <w:pStyle w:val="aff5"/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367FB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B6344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274EB">
      <w:rPr>
        <w:noProof/>
      </w:rPr>
      <w:t>10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367FBE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B6344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274EB">
      <w:rPr>
        <w:noProof/>
      </w:rPr>
      <w:t>11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367FB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FBE" w:rsidRDefault="00B6344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274EB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91D"/>
    <w:multiLevelType w:val="multilevel"/>
    <w:tmpl w:val="AC7CAC0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A6261A"/>
    <w:multiLevelType w:val="multilevel"/>
    <w:tmpl w:val="C8A26F26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E92E1A"/>
    <w:multiLevelType w:val="multilevel"/>
    <w:tmpl w:val="8F309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3694DA1"/>
    <w:multiLevelType w:val="multilevel"/>
    <w:tmpl w:val="AB88302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346BD9"/>
    <w:multiLevelType w:val="multilevel"/>
    <w:tmpl w:val="5ED81AF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21156029"/>
    <w:multiLevelType w:val="multilevel"/>
    <w:tmpl w:val="B08425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F9A6128"/>
    <w:multiLevelType w:val="multilevel"/>
    <w:tmpl w:val="0B228F60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BA3CFE"/>
    <w:multiLevelType w:val="multilevel"/>
    <w:tmpl w:val="0344C06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AED6365"/>
    <w:multiLevelType w:val="multilevel"/>
    <w:tmpl w:val="C99A99A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4119294F"/>
    <w:multiLevelType w:val="multilevel"/>
    <w:tmpl w:val="DCFE896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A328A4"/>
    <w:multiLevelType w:val="multilevel"/>
    <w:tmpl w:val="8DC40DDE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3D17E8"/>
    <w:multiLevelType w:val="multilevel"/>
    <w:tmpl w:val="B30417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D512D71"/>
    <w:multiLevelType w:val="multilevel"/>
    <w:tmpl w:val="0090EE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920C30"/>
    <w:multiLevelType w:val="multilevel"/>
    <w:tmpl w:val="92FC4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3E51F9F"/>
    <w:multiLevelType w:val="multilevel"/>
    <w:tmpl w:val="8EEA41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9AB2425"/>
    <w:multiLevelType w:val="multilevel"/>
    <w:tmpl w:val="B00AF1A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6E270CDC"/>
    <w:multiLevelType w:val="multilevel"/>
    <w:tmpl w:val="00D2C90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4BB6A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1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7"/>
  </w:num>
  <w:num w:numId="11">
    <w:abstractNumId w:val="10"/>
  </w:num>
  <w:num w:numId="12">
    <w:abstractNumId w:val="6"/>
  </w:num>
  <w:num w:numId="13">
    <w:abstractNumId w:val="12"/>
  </w:num>
  <w:num w:numId="14">
    <w:abstractNumId w:val="2"/>
  </w:num>
  <w:num w:numId="15">
    <w:abstractNumId w:val="5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9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BE"/>
    <w:rsid w:val="00042937"/>
    <w:rsid w:val="002274EB"/>
    <w:rsid w:val="00367FBE"/>
    <w:rsid w:val="009404BC"/>
    <w:rsid w:val="00B6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7545"/>
  <w15:docId w15:val="{67B0222E-7F94-4DB1-87B2-059A80A0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0E7127"/>
    <w:pPr>
      <w:tabs>
        <w:tab w:val="left" w:pos="567"/>
      </w:tabs>
      <w:spacing w:before="120"/>
      <w:ind w:right="-2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A94621"/>
    <w:pPr>
      <w:tabs>
        <w:tab w:val="left" w:pos="1134"/>
        <w:tab w:val="right" w:leader="dot" w:pos="9911"/>
      </w:tabs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yperlink" Target="http://www.rushydro.ru/sustainable_development/safety/101153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8079-0BD6-4B6D-AA97-5CA48E01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9937</TotalTime>
  <Pages>12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Иванова Мария Николаевна</cp:lastModifiedBy>
  <cp:revision>78</cp:revision>
  <dcterms:created xsi:type="dcterms:W3CDTF">2021-04-04T11:05:00Z</dcterms:created>
  <dcterms:modified xsi:type="dcterms:W3CDTF">2026-06-30T11:58:00Z</dcterms:modified>
  <dc:language>ru-RU</dc:language>
</cp:coreProperties>
</file>