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header3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header4.xml" ContentType="application/vnd.openxmlformats-officedocument.wordprocessingml.head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header6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sz w:val="32"/>
          <w:szCs w:val="32"/>
        </w:rPr>
      </w:pPr>
      <w:r>
        <w:rPr>
          <w:rFonts w:eastAsia="Calibri"/>
          <w:b/>
          <w:sz w:val="32"/>
          <w:szCs w:val="32"/>
        </w:rPr>
        <w:t>Технические требования на поставку МТР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BlockText"/>
        <w:shd w:val="clear" w:color="auto" w:fill="FFFFFF"/>
        <w:ind w:left="0" w:right="-2" w:hanging="0"/>
        <w:rPr>
          <w:sz w:val="28"/>
          <w:szCs w:val="28"/>
        </w:rPr>
      </w:pPr>
      <w:r>
        <w:rPr>
          <w:sz w:val="26"/>
          <w:szCs w:val="26"/>
        </w:rPr>
        <w:t>ОКПД2 23.61.20.000 Поставка железобетонных защитных сооружений в количестве 6 шт, для оснащения МОГ</w:t>
      </w:r>
    </w:p>
    <w:p>
      <w:pPr>
        <w:pStyle w:val="BlockText"/>
        <w:shd w:val="clear" w:color="auto" w:fill="FFFFFF"/>
        <w:ind w:left="0" w:right="-2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>пгт. Правокубанский 2026</w:t>
      </w:r>
      <w:r>
        <w:br w:type="page"/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/>
          </w:pPr>
          <w:r>
            <w:fldChar w:fldCharType="begin"/>
          </w:r>
          <w:r>
            <w:rPr>
              <w:rStyle w:val="Style14"/>
            </w:rPr>
            <w:instrText xml:space="preserve"> TOC \o "1-4" \h</w:instrText>
          </w:r>
          <w:r>
            <w:rPr>
              <w:rStyle w:val="Style14"/>
            </w:rPr>
            <w:fldChar w:fldCharType="separate"/>
          </w:r>
          <w:hyperlink w:anchor="_Toc75446566">
            <w:r>
              <w:rPr>
                <w:rStyle w:val="Style14"/>
              </w:rPr>
              <w:t>1.</w:t>
            </w:r>
            <w:r>
              <w:rPr>
                <w:rStyle w:val="Style14"/>
                <w:rFonts w:eastAsia="PMingLiU" w:cs="Arial" w:ascii="Calibri" w:hAnsi="Calibr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</w:rPr>
              <w:t>Общие сведения</w:t>
              <w:tab/>
            </w:r>
          </w:hyperlink>
          <w:r>
            <w:rPr/>
            <w:t>3</w:t>
          </w:r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sz w:val="24"/>
              <w:szCs w:val="24"/>
            </w:rPr>
          </w:pPr>
          <w:r>
            <w:rPr>
              <w:sz w:val="24"/>
              <w:szCs w:val="24"/>
            </w:rPr>
            <w:t>1.1.</w:t>
            <w:tab/>
            <w:t>Обозначения и сокращения</w:t>
            <w:tab/>
            <w:t>3</w:t>
          </w:r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sz w:val="24"/>
              <w:szCs w:val="24"/>
            </w:rPr>
          </w:pPr>
          <w:r>
            <w:rPr>
              <w:sz w:val="24"/>
              <w:szCs w:val="24"/>
            </w:rPr>
            <w:t>1.2.</w:t>
            <w:tab/>
            <w:t>Наименование закупаемого Товара</w:t>
            <w:tab/>
            <w:t>4</w:t>
          </w:r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sz w:val="24"/>
              <w:szCs w:val="24"/>
            </w:rPr>
          </w:pPr>
          <w:r>
            <w:rPr>
              <w:sz w:val="24"/>
              <w:szCs w:val="24"/>
            </w:rPr>
            <w:t>1.3.</w:t>
            <w:tab/>
            <w:t xml:space="preserve">Цель использования закупаемого Товара </w:t>
            <w:tab/>
            <w:t>4</w:t>
          </w:r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sz w:val="24"/>
              <w:szCs w:val="24"/>
            </w:rPr>
          </w:pPr>
          <w:r>
            <w:rPr>
              <w:sz w:val="24"/>
              <w:szCs w:val="24"/>
            </w:rPr>
            <w:t>1.4.</w:t>
            <w:tab/>
            <w:t xml:space="preserve">Существующее положение </w:t>
            <w:tab/>
            <w:t>4</w:t>
          </w:r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sz w:val="24"/>
              <w:szCs w:val="24"/>
            </w:rPr>
          </w:pPr>
          <w:r>
            <w:rPr>
              <w:sz w:val="24"/>
              <w:szCs w:val="24"/>
            </w:rPr>
            <w:t>1.5.</w:t>
            <w:tab/>
            <w:t xml:space="preserve"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 </w:t>
            <w:tab/>
            <w:t>5</w:t>
          </w:r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/>
          </w:pPr>
          <w:hyperlink w:anchor="_Toc75446572">
            <w:r>
              <w:rPr>
                <w:rStyle w:val="Style14"/>
                <w:iCs/>
                <w:sz w:val="24"/>
                <w:szCs w:val="24"/>
              </w:rPr>
              <w:t>1.6.</w:t>
            </w:r>
            <w:r>
              <w:rPr>
                <w:rStyle w:val="Style14"/>
                <w:rFonts w:eastAsia="PMingLiU" w:cs="Arial"/>
                <w:sz w:val="24"/>
                <w:szCs w:val="24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sz w:val="24"/>
                <w:szCs w:val="24"/>
              </w:rPr>
              <w:t xml:space="preserve">Иные требования и сведения общего характера </w:t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/>
          </w:pPr>
          <w:hyperlink w:anchor="_Toc75446573">
            <w:r>
              <w:rPr>
                <w:rStyle w:val="Style14"/>
              </w:rPr>
              <w:t>2.</w:t>
            </w:r>
            <w:r>
              <w:rPr>
                <w:rStyle w:val="Style14"/>
                <w:rFonts w:eastAsia="PMingLiU" w:cs="Arial"/>
                <w:b w:val="false"/>
                <w:bCs w:val="false"/>
              </w:rPr>
              <w:tab/>
            </w:r>
            <w:r>
              <w:rPr>
                <w:rStyle w:val="Style14"/>
                <w:iCs/>
              </w:rPr>
              <w:t xml:space="preserve">Требования к </w:t>
            </w:r>
            <w:r>
              <w:rPr>
                <w:rStyle w:val="Style14"/>
                <w:iCs/>
                <w:lang w:val="en-US"/>
              </w:rPr>
              <w:t>Товару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/>
          </w:pPr>
          <w:hyperlink w:anchor="_Toc75446574">
            <w:r>
              <w:rPr>
                <w:rStyle w:val="Style14"/>
                <w:iCs/>
                <w:sz w:val="24"/>
                <w:szCs w:val="24"/>
              </w:rPr>
              <w:t>2.1.</w:t>
            </w:r>
            <w:r>
              <w:rPr>
                <w:rStyle w:val="Style14"/>
                <w:rFonts w:eastAsia="PMingLiU" w:cs="Arial"/>
                <w:sz w:val="24"/>
                <w:szCs w:val="24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sz w:val="24"/>
                <w:szCs w:val="24"/>
              </w:rPr>
              <w:t>Требования к объемам и срокам поставки</w:t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rPr/>
          </w:pPr>
          <w:hyperlink w:anchor="_Toc75446575">
            <w:r>
              <w:rPr>
                <w:rStyle w:val="Style14"/>
                <w:sz w:val="24"/>
                <w:szCs w:val="24"/>
              </w:rPr>
              <w:t>2.1.1.</w:t>
            </w:r>
            <w:r>
              <w:rPr>
                <w:rStyle w:val="Style14"/>
                <w:rFonts w:eastAsia="PMingLiU" w:cs="Arial"/>
                <w:sz w:val="24"/>
                <w:szCs w:val="24"/>
              </w:rPr>
              <w:tab/>
            </w:r>
            <w:r>
              <w:rPr>
                <w:rStyle w:val="Style14"/>
                <w:sz w:val="24"/>
                <w:szCs w:val="24"/>
              </w:rPr>
              <w:t xml:space="preserve">Перечень и объем закупаемого </w:t>
            </w:r>
            <w:r>
              <w:rPr>
                <w:rStyle w:val="Style14"/>
                <w:sz w:val="24"/>
                <w:szCs w:val="24"/>
                <w:lang w:val="en-US"/>
              </w:rPr>
              <w:t>Товара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sz w:val="24"/>
                <w:szCs w:val="24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/>
          </w:pPr>
          <w:hyperlink w:anchor="_Toc75446576">
            <w:r>
              <w:rPr>
                <w:rStyle w:val="Style14"/>
              </w:rPr>
              <w:t xml:space="preserve">Таблица 1.1 Перечень и объем закупаемого </w:t>
            </w:r>
            <w:r>
              <w:rPr>
                <w:rStyle w:val="Style14"/>
                <w:lang w:val="en-US"/>
              </w:rPr>
              <w:t>Товара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/>
          </w:pPr>
          <w:hyperlink w:anchor="_Toc75446577">
            <w:r>
              <w:rPr>
                <w:rStyle w:val="Style14"/>
              </w:rPr>
              <w:t>Таблица 1.2 Перечень и объем закупаемых сопутствующих услуг</w:t>
              <w:tab/>
            </w:r>
          </w:hyperlink>
          <w:r>
            <w:rPr/>
            <w:t>5</w:t>
          </w:r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rPr>
              <w:sz w:val="24"/>
              <w:szCs w:val="24"/>
            </w:rPr>
          </w:pPr>
          <w:r>
            <w:rPr>
              <w:sz w:val="24"/>
              <w:szCs w:val="24"/>
            </w:rPr>
            <w:t>2.1.2.</w:t>
            <w:tab/>
            <w:t>Требования к срокам поставки Товара и оказания сопутствующих услуг</w:t>
            <w:tab/>
            <w:t>6</w:t>
          </w:r>
        </w:p>
        <w:p>
          <w:pPr>
            <w:pStyle w:val="TOC1"/>
            <w:tabs>
              <w:tab w:val="clear" w:pos="708"/>
              <w:tab w:val="right" w:pos="9911" w:leader="dot"/>
            </w:tabs>
            <w:rPr/>
          </w:pPr>
          <w:hyperlink w:anchor="_Toc75446579">
            <w:r>
              <w:rPr>
                <w:rStyle w:val="Style14"/>
              </w:rPr>
              <w:t xml:space="preserve">Таблица 2.1 Требования по срокам поставки </w:t>
            </w:r>
            <w:r>
              <w:rPr>
                <w:rStyle w:val="Style14"/>
                <w:lang w:val="en-US"/>
              </w:rPr>
              <w:t>Товара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/>
          </w:pPr>
          <w:hyperlink w:anchor="_Toc75446580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_Toc75446580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Таблица 2.2 Требования по срокам оказания сопутствующих услуг</w:t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sz w:val="24"/>
              <w:szCs w:val="24"/>
            </w:rPr>
          </w:pPr>
          <w:r>
            <w:rPr>
              <w:sz w:val="24"/>
              <w:szCs w:val="24"/>
            </w:rPr>
            <w:t>2.2.</w:t>
            <w:tab/>
            <w:t>Требования к качеству Товара</w:t>
            <w:tab/>
            <w:t>7</w:t>
          </w:r>
        </w:p>
        <w:p>
          <w:pPr>
            <w:pStyle w:val="TOC1"/>
            <w:tabs>
              <w:tab w:val="clear" w:pos="708"/>
              <w:tab w:val="right" w:pos="9911" w:leader="dot"/>
            </w:tabs>
            <w:rPr/>
          </w:pPr>
          <w:hyperlink w:anchor="_Toc75446582">
            <w:r>
              <w:rPr>
                <w:rStyle w:val="Style14"/>
              </w:rPr>
              <w:t>Таблица</w:t>
            </w:r>
          </w:hyperlink>
          <w:r>
            <w:rPr>
              <w:color w:val="000000"/>
            </w:rPr>
            <w:t> </w:t>
          </w:r>
          <w:hyperlink w:anchor="_Toc75446582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_Toc75446582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3. Требования к Товару</w:t>
              <w:tab/>
              <w:t>7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/>
          </w:pPr>
          <w:hyperlink w:anchor="_Toc75446583">
            <w:r>
              <w:rPr>
                <w:rStyle w:val="Style14"/>
              </w:rPr>
              <w:t>3.</w:t>
            </w:r>
            <w:r>
              <w:rPr>
                <w:rStyle w:val="Style14"/>
                <w:rFonts w:eastAsia="PMingLiU" w:cs="Arial"/>
                <w:b w:val="false"/>
                <w:bCs w:val="false"/>
              </w:rPr>
              <w:tab/>
            </w:r>
            <w:r>
              <w:rPr>
                <w:rStyle w:val="Style14"/>
              </w:rPr>
              <w:t>Требования к документации по ценообразованию на этапе закупки</w:t>
              <w:tab/>
            </w:r>
          </w:hyperlink>
          <w:r>
            <w:rPr/>
            <w:t>78</w:t>
          </w:r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/>
          </w:pPr>
          <w:r>
            <w:rPr/>
            <w:t>4</w:t>
          </w:r>
          <w:hyperlink w:anchor="_Toc75446585">
            <w:r>
              <w:rPr>
                <w:rStyle w:val="Style14"/>
              </w:rPr>
              <w:t>.</w:t>
            </w:r>
            <w:r>
              <w:rPr>
                <w:rStyle w:val="Style14"/>
                <w:rFonts w:eastAsia="PMingLiU" w:cs="Arial"/>
                <w:b w:val="false"/>
                <w:bCs w:val="false"/>
              </w:rPr>
              <w:tab/>
            </w:r>
            <w:r>
              <w:rPr>
                <w:rStyle w:val="Style14"/>
                <w:iCs/>
              </w:rPr>
              <w:t>Приложения</w:t>
            </w:r>
            <w:r>
              <w:rPr>
                <w:rStyle w:val="Style14"/>
              </w:rPr>
              <w:tab/>
            </w:r>
          </w:hyperlink>
          <w:r>
            <w:rPr/>
            <w:t>79</w:t>
          </w:r>
          <w:r>
            <w:rPr/>
            <w:fldChar w:fldCharType="end"/>
          </w:r>
        </w:p>
      </w:sdtContent>
    </w:sdt>
    <w:p>
      <w:pPr>
        <w:pStyle w:val="Heading2"/>
        <w:tabs>
          <w:tab w:val="clear" w:pos="0"/>
        </w:tabs>
        <w:ind w:left="0" w:hanging="0"/>
        <w:rPr>
          <w:b w:val="false"/>
          <w:i/>
          <w:i/>
        </w:rPr>
      </w:pPr>
      <w:r>
        <w:rPr/>
        <w:t>4.1.Приложение №1 к ТТ…………………………………………………………………………</w:t>
      </w:r>
      <w:r>
        <w:rPr>
          <w:b w:val="false"/>
          <w:i/>
        </w:rPr>
        <w:t>...</w:t>
      </w:r>
      <w:r>
        <w:rPr/>
        <w:t>80</w:t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0" w:name="_Toc51339692"/>
      <w:bookmarkStart w:id="1" w:name="_Toc75446566"/>
      <w:r>
        <w:rPr>
          <w:lang w:val="ru-RU"/>
        </w:rPr>
        <w:t>Общие сведения</w:t>
      </w:r>
      <w:bookmarkEnd w:id="0"/>
      <w:bookmarkEnd w:id="1"/>
    </w:p>
    <w:p>
      <w:pPr>
        <w:pStyle w:val="Heading4"/>
        <w:numPr>
          <w:ilvl w:val="1"/>
          <w:numId w:val="3"/>
        </w:numPr>
        <w:rPr/>
      </w:pPr>
      <w:bookmarkStart w:id="2" w:name="_Toc46743505"/>
      <w:bookmarkStart w:id="3" w:name="_Toc75446567"/>
      <w:r>
        <w:rPr/>
        <w:t>Обозначения и сокращения</w:t>
      </w:r>
      <w:bookmarkEnd w:id="2"/>
      <w:bookmarkEnd w:id="3"/>
    </w:p>
    <w:p>
      <w:pPr>
        <w:pStyle w:val="Normal"/>
        <w:rPr>
          <w:rStyle w:val="Style8"/>
          <w:b w:val="false"/>
          <w:bCs/>
          <w:iCs/>
          <w:sz w:val="26"/>
          <w:szCs w:val="26"/>
        </w:rPr>
      </w:pPr>
      <w:r>
        <w:rPr>
          <w:b w:val="false"/>
          <w:bCs/>
          <w:iCs/>
          <w:sz w:val="26"/>
          <w:szCs w:val="26"/>
        </w:rPr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noVBand="0" w:val="0000" w:noHBand="0" w:lastColumn="0" w:firstColumn="0" w:lastRow="0" w:firstRow="0"/>
      </w:tblPr>
      <w:tblGrid>
        <w:gridCol w:w="1528"/>
        <w:gridCol w:w="8392"/>
      </w:tblGrid>
      <w:tr>
        <w:trPr/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ТТ</w:t>
            </w: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Технические требования</w:t>
            </w:r>
            <w:r>
              <w:rPr>
                <w:rStyle w:val="Style8"/>
                <w:bCs/>
                <w:i w:val="false"/>
                <w:sz w:val="24"/>
                <w:szCs w:val="24"/>
                <w:shd w:fill="FFFFFF" w:val="clear"/>
              </w:rPr>
              <w:t xml:space="preserve"> </w:t>
            </w:r>
          </w:p>
        </w:tc>
      </w:tr>
      <w:tr>
        <w:trPr/>
        <w:tc>
          <w:tcPr>
            <w:tcW w:w="152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</w:t>
            </w:r>
          </w:p>
        </w:tc>
        <w:tc>
          <w:tcPr>
            <w:tcW w:w="83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стандарт организации</w:t>
            </w:r>
            <w:r>
              <w:rPr>
                <w:rStyle w:val="Style8"/>
                <w:b w:val="false"/>
                <w:bCs/>
                <w:i w:val="false"/>
                <w:sz w:val="24"/>
                <w:szCs w:val="24"/>
              </w:rPr>
              <w:t xml:space="preserve"> </w:t>
            </w:r>
          </w:p>
        </w:tc>
      </w:tr>
      <w:tr>
        <w:trPr/>
        <w:tc>
          <w:tcPr>
            <w:tcW w:w="152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/>
            </w:pPr>
            <w:r>
              <w:rPr>
                <w:rStyle w:val="Style8"/>
                <w:b w:val="false"/>
                <w:i w:val="false"/>
                <w:sz w:val="24"/>
                <w:szCs w:val="24"/>
                <w:shd w:fill="FFFFFF" w:val="clear"/>
              </w:rPr>
              <w:t>ГЭС</w:t>
            </w:r>
          </w:p>
        </w:tc>
        <w:tc>
          <w:tcPr>
            <w:tcW w:w="83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/>
            </w:pPr>
            <w:r>
              <w:rPr>
                <w:rStyle w:val="Style8"/>
                <w:b w:val="false"/>
                <w:i w:val="false"/>
                <w:sz w:val="24"/>
                <w:szCs w:val="24"/>
                <w:shd w:fill="FFFFFF" w:val="clear"/>
              </w:rPr>
              <w:t>Гидроэлектростанция</w:t>
            </w:r>
          </w:p>
        </w:tc>
      </w:tr>
      <w:tr>
        <w:trPr/>
        <w:tc>
          <w:tcPr>
            <w:tcW w:w="152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/>
            </w:pPr>
            <w:r>
              <w:rPr>
                <w:rStyle w:val="Style8"/>
                <w:b w:val="false"/>
                <w:i w:val="false"/>
                <w:sz w:val="24"/>
                <w:szCs w:val="24"/>
                <w:shd w:fill="FFFFFF" w:val="clear"/>
              </w:rPr>
              <w:t>ГАЭС</w:t>
            </w:r>
          </w:p>
        </w:tc>
        <w:tc>
          <w:tcPr>
            <w:tcW w:w="83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/>
            </w:pPr>
            <w:r>
              <w:rPr>
                <w:rStyle w:val="Style8"/>
                <w:b w:val="false"/>
                <w:i w:val="false"/>
                <w:sz w:val="24"/>
                <w:szCs w:val="24"/>
                <w:shd w:fill="FFFFFF" w:val="clear"/>
              </w:rPr>
              <w:t>Гидро-акк</w:t>
            </w:r>
            <w:r>
              <w:rPr>
                <w:rStyle w:val="Style8"/>
                <w:b w:val="false"/>
                <w:i w:val="false"/>
                <w:sz w:val="24"/>
                <w:szCs w:val="24"/>
                <w:shd w:fill="FFFFFF" w:val="clear"/>
                <w:lang w:val="en-US"/>
              </w:rPr>
              <w:t>у</w:t>
            </w:r>
            <w:r>
              <w:rPr>
                <w:rStyle w:val="Style8"/>
                <w:b w:val="false"/>
                <w:i w:val="false"/>
                <w:sz w:val="24"/>
                <w:szCs w:val="24"/>
                <w:shd w:fill="FFFFFF" w:val="clear"/>
              </w:rPr>
              <w:t>мулирующая электростанция</w:t>
            </w:r>
          </w:p>
        </w:tc>
      </w:tr>
    </w:tbl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Heading4"/>
        <w:numPr>
          <w:ilvl w:val="1"/>
          <w:numId w:val="3"/>
        </w:numPr>
        <w:rPr/>
      </w:pPr>
      <w:bookmarkStart w:id="4" w:name="_Toc46743506"/>
      <w:bookmarkStart w:id="5" w:name="_Toc75446568"/>
      <w:r>
        <w:rPr/>
        <w:t xml:space="preserve">Наименование закупаемого </w:t>
      </w:r>
      <w:bookmarkEnd w:id="4"/>
      <w:bookmarkEnd w:id="5"/>
      <w:r>
        <w:rPr>
          <w:lang w:val="ru-RU"/>
        </w:rPr>
        <w:t>Товара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  <w:lang w:eastAsia="x-none"/>
        </w:rPr>
        <w:t xml:space="preserve">ОКПД2 23.61.20.000 Поставка железобетонных защитных сооружений в количестве 6 шт, для оснащения МОГ Филиала ПАО «РусГидро»- «Карачаево-Черкесский филиал» </w:t>
      </w:r>
    </w:p>
    <w:p>
      <w:pPr>
        <w:pStyle w:val="Heading4"/>
        <w:numPr>
          <w:ilvl w:val="1"/>
          <w:numId w:val="3"/>
        </w:numPr>
        <w:spacing w:before="240" w:after="60"/>
        <w:ind w:left="431" w:hanging="431"/>
        <w:rPr/>
      </w:pPr>
      <w:bookmarkStart w:id="6" w:name="_Toc75446569"/>
      <w:bookmarkStart w:id="7" w:name="_Toc46743507"/>
      <w:r>
        <w:rPr/>
        <w:t xml:space="preserve">Цель </w:t>
      </w:r>
      <w:bookmarkEnd w:id="7"/>
      <w:r>
        <w:rPr>
          <w:lang w:val="ru-RU"/>
        </w:rPr>
        <w:t xml:space="preserve">использования закупаемого </w:t>
      </w:r>
      <w:bookmarkEnd w:id="6"/>
      <w:r>
        <w:rPr>
          <w:lang w:val="ru-RU"/>
        </w:rPr>
        <w:t>Товара</w:t>
      </w:r>
    </w:p>
    <w:p>
      <w:pPr>
        <w:pStyle w:val="Normal"/>
        <w:ind w:firstLine="567"/>
        <w:jc w:val="both"/>
        <w:rPr/>
      </w:pPr>
      <w:r>
        <w:rPr>
          <w:rStyle w:val="Style8"/>
          <w:b w:val="false"/>
          <w:bCs/>
          <w:i w:val="false"/>
          <w:sz w:val="24"/>
          <w:szCs w:val="24"/>
          <w:shd w:fill="auto" w:val="clear"/>
        </w:rPr>
        <w:t>Закупка осуществляется с целью оснащения МОГ  территории Зеленчукской ГЭС-ГАЭС мест временного укрытия персонала, в случае опасности поражения БПЛА.</w:t>
      </w:r>
    </w:p>
    <w:p>
      <w:pPr>
        <w:pStyle w:val="Heading4"/>
        <w:numPr>
          <w:ilvl w:val="1"/>
          <w:numId w:val="3"/>
        </w:numPr>
        <w:rPr/>
      </w:pPr>
      <w:bookmarkStart w:id="8" w:name="_Toc75446570"/>
      <w:bookmarkStart w:id="9" w:name="_Toc46743508"/>
      <w:r>
        <w:rPr/>
        <w:t>Существующее положение</w:t>
      </w:r>
      <w:bookmarkEnd w:id="9"/>
      <w:r>
        <w:rPr>
          <w:lang w:val="ru-RU"/>
        </w:rPr>
        <w:t xml:space="preserve"> </w:t>
      </w:r>
      <w:bookmarkEnd w:id="8"/>
    </w:p>
    <w:p>
      <w:pPr>
        <w:pStyle w:val="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1.4.1. Зеленчукская ГЭС - ГАЭС – деривационная гидроэлектростанция, расположена около поселка Правокубанский и аула Сары-Тюз Карачаевского района Карачаево-Черкесской Республики, в 42 км южнее г. Черкесска.</w:t>
      </w:r>
    </w:p>
    <w:p>
      <w:pPr>
        <w:pStyle w:val="BodyTextIndent"/>
        <w:ind w:left="0" w:firstLine="567"/>
        <w:jc w:val="both"/>
        <w:rPr/>
      </w:pPr>
      <w:r>
        <w:rPr>
          <w:rStyle w:val="Style8"/>
          <w:b w:val="false"/>
          <w:i w:val="false"/>
          <w:shd w:fill="auto" w:val="clear"/>
        </w:rPr>
        <w:t xml:space="preserve">1.4.2. </w:t>
      </w:r>
      <w:r>
        <w:rPr>
          <w:rStyle w:val="Style8"/>
          <w:b w:val="false"/>
          <w:bCs/>
          <w:i w:val="false"/>
          <w:shd w:fill="auto" w:val="clear"/>
        </w:rPr>
        <w:t>Техническая схема Зеленчукской ГЭС- ГАЭС построена на объединении части стока рек Большой и Малый Зеленчуки и переброске объединенного стока в р. Кубань. Забор воды осуществляется из водохранилищ трех однотипных водозаборных гидроузлов, расположенных последовательно на реках Большой Зеленчук, Маруха и Аксаут. По деривационным сооружениям вода из водозаборных гидроузлов поступает в бассейн суточного регулирования (БСР) и из бассейна по напорным трубопроводам и туннелям подается на гидроагрегаты в здание ГЭС-ГАЭС, расположенное вблизи русла р. Кубань. Общая площадь гидротехнического комплекса Зеленчукской ГЭС-ГАЭС по проекту составляет 957 га (согласно актам отвода земельных участков). Комплекс предназначен для энергетических целей.</w:t>
      </w:r>
    </w:p>
    <w:p>
      <w:pPr>
        <w:pStyle w:val="BodyTextIndent"/>
        <w:ind w:left="0" w:firstLine="567"/>
        <w:jc w:val="both"/>
        <w:rPr/>
      </w:pPr>
      <w:r>
        <w:rPr>
          <w:rStyle w:val="Style8"/>
          <w:b w:val="false"/>
          <w:bCs/>
          <w:i w:val="false"/>
          <w:shd w:fill="auto" w:val="clear"/>
        </w:rPr>
        <w:t xml:space="preserve">1.4.3. Площадки существующих сооружений Зеленчукской ГЭС-ГАЭС расположены на высотах 740-1012 м между метеостанциями г. Карачаевск (высота 861 м) и г. Черкесск (высота 525 м).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Сейсмичность площадки демонтажа здания – 8 баллов (карта общего сейсмического районирования ОСР-2015).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Климатические условия в месте расположения Зеленчукской ГЭС-ГАЭС: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а) Температура воздуха в районе строительства: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максимальная, º С                           </w:t>
        <w:tab/>
        <w:tab/>
        <w:tab/>
        <w:tab/>
        <w:t>+38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минимальная, º С                                            </w:t>
        <w:tab/>
        <w:t xml:space="preserve">            </w:t>
        <w:tab/>
        <w:t>- 31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- среднегодовая º С                                                                         +8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б) Относительная влажность, % 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среднемесячная максимальная,               </w:t>
        <w:tab/>
        <w:tab/>
        <w:tab/>
        <w:t xml:space="preserve"> </w:t>
        <w:tab/>
        <w:t xml:space="preserve"> 73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среднемесячная минимальная,                </w:t>
        <w:tab/>
        <w:tab/>
        <w:t xml:space="preserve">          </w:t>
        <w:tab/>
        <w:t xml:space="preserve"> </w:t>
        <w:tab/>
        <w:t xml:space="preserve"> 66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в) Среднегодовая скорость ветра, м/с                                </w:t>
        <w:tab/>
        <w:tab/>
        <w:t xml:space="preserve"> 3,1</w:t>
      </w:r>
    </w:p>
    <w:p>
      <w:pPr>
        <w:pStyle w:val="Style36"/>
        <w:tabs>
          <w:tab w:val="clear" w:pos="708"/>
          <w:tab w:val="left" w:pos="6270" w:leader="none"/>
        </w:tabs>
        <w:spacing w:before="0" w:after="0"/>
        <w:ind w:firstLine="567"/>
        <w:jc w:val="both"/>
        <w:rPr/>
      </w:pPr>
      <w:r>
        <w:rPr/>
        <w:t>Согласно СП 131.13330.2020 «Строительная климатология» (с Изменением №1)</w:t>
      </w:r>
      <w:r>
        <w:rPr>
          <w:rStyle w:val="Hyperlink"/>
          <w:color w:val="BF2F1C"/>
        </w:rPr>
        <w:t xml:space="preserve"> </w:t>
      </w:r>
      <w:r>
        <w:rPr/>
        <w:t>актуализированная редакция СНиП 23-01-99* , район реконструкции сооружений Зеленчукской ГЭС-ГАЭС  характеризуется следующими климатическими характеристиками:</w:t>
      </w:r>
    </w:p>
    <w:p>
      <w:pPr>
        <w:pStyle w:val="Style36"/>
        <w:tabs>
          <w:tab w:val="clear" w:pos="708"/>
          <w:tab w:val="left" w:pos="6270" w:leader="none"/>
        </w:tabs>
        <w:spacing w:before="0" w:after="0"/>
        <w:ind w:hanging="0"/>
        <w:rPr/>
      </w:pPr>
      <w:r>
        <w:rPr/>
        <w:t xml:space="preserve">- климатический район строительства – </w:t>
      </w:r>
      <w:r>
        <w:rPr>
          <w:lang w:val="en-US"/>
        </w:rPr>
        <w:t>III</w:t>
      </w:r>
      <w:r>
        <w:rPr/>
        <w:t xml:space="preserve"> - климатический подрайон строительства – </w:t>
      </w:r>
      <w:r>
        <w:rPr>
          <w:lang w:val="en-US"/>
        </w:rPr>
        <w:t>III</w:t>
      </w:r>
      <w:r>
        <w:rPr/>
        <w:t xml:space="preserve"> Б;</w:t>
      </w:r>
    </w:p>
    <w:p>
      <w:pPr>
        <w:pStyle w:val="Style36"/>
        <w:tabs>
          <w:tab w:val="clear" w:pos="708"/>
          <w:tab w:val="left" w:pos="6270" w:leader="none"/>
        </w:tabs>
        <w:spacing w:before="0" w:after="0"/>
        <w:ind w:hanging="0"/>
        <w:rPr/>
      </w:pPr>
      <w:r>
        <w:rPr/>
        <w:t xml:space="preserve">- температура воздуха наиболее холодной пятидневки при обеспеченности 0,92 </w:t>
      </w:r>
      <w:r>
        <w:rPr>
          <w:lang w:val="en-US"/>
        </w:rPr>
        <w:t>t</w:t>
      </w:r>
      <w:r>
        <w:rPr/>
        <w:t xml:space="preserve"> </w:t>
      </w:r>
      <w:r>
        <w:rPr>
          <w:vertAlign w:val="subscript"/>
        </w:rPr>
        <w:t>н</w:t>
      </w:r>
      <w:r>
        <w:rPr/>
        <w:t>= минус 18</w:t>
      </w:r>
      <w:r>
        <w:rPr>
          <w:vertAlign w:val="superscript"/>
        </w:rPr>
        <w:t>0</w:t>
      </w:r>
      <w:r>
        <w:rPr/>
        <w:t>С;</w:t>
      </w:r>
    </w:p>
    <w:p>
      <w:pPr>
        <w:pStyle w:val="Style36"/>
        <w:tabs>
          <w:tab w:val="clear" w:pos="708"/>
          <w:tab w:val="left" w:pos="6270" w:leader="none"/>
        </w:tabs>
        <w:spacing w:before="0" w:after="0"/>
        <w:ind w:hanging="0"/>
        <w:rPr/>
      </w:pPr>
      <w:r>
        <w:rPr/>
        <w:t>- средняя температура периода со среднесуточной температурой наружного воздуха не более минус 8</w:t>
      </w:r>
      <w:r>
        <w:rPr>
          <w:vertAlign w:val="superscript"/>
        </w:rPr>
        <w:t>0</w:t>
      </w:r>
      <w:r>
        <w:rPr/>
        <w:t xml:space="preserve">С – </w:t>
      </w:r>
      <w:r>
        <w:rPr>
          <w:lang w:val="en-US"/>
        </w:rPr>
        <w:t>t</w:t>
      </w:r>
      <w:r>
        <w:rPr>
          <w:vertAlign w:val="subscript"/>
        </w:rPr>
        <w:t xml:space="preserve">ср </w:t>
      </w:r>
      <w:r>
        <w:rPr/>
        <w:t>= минус 0,6</w:t>
      </w:r>
      <w:r>
        <w:rPr>
          <w:vertAlign w:val="superscript"/>
        </w:rPr>
        <w:t>0</w:t>
      </w:r>
      <w:r>
        <w:rPr/>
        <w:t>С;</w:t>
      </w:r>
    </w:p>
    <w:p>
      <w:pPr>
        <w:pStyle w:val="BodyTextIndent"/>
        <w:ind w:left="0" w:hanging="0"/>
        <w:jc w:val="both"/>
        <w:rPr/>
      </w:pPr>
      <w:r>
        <w:rPr>
          <w:rStyle w:val="Style8"/>
          <w:b w:val="false"/>
          <w:bCs/>
          <w:i w:val="false"/>
          <w:shd w:fill="auto" w:val="clear"/>
        </w:rPr>
        <w:t xml:space="preserve">- по расчетному значению веса снегового покрова для </w:t>
      </w:r>
      <w:r>
        <w:rPr>
          <w:rStyle w:val="Style8"/>
          <w:b w:val="false"/>
          <w:bCs/>
          <w:i w:val="false"/>
          <w:shd w:fill="auto" w:val="clear"/>
          <w:lang w:val="en-US"/>
        </w:rPr>
        <w:t>II</w:t>
      </w:r>
      <w:r>
        <w:rPr>
          <w:rStyle w:val="Style8"/>
          <w:b w:val="false"/>
          <w:bCs/>
          <w:i w:val="false"/>
          <w:shd w:fill="auto" w:val="clear"/>
        </w:rPr>
        <w:t xml:space="preserve"> района по СП 20.13330.2016 (с изменением №4), актуализированная редакция СНиП 2.01.07-85* «Нагрузки и воздействия»- кПа=120кгс/м</w:t>
      </w:r>
      <w:r>
        <w:rPr>
          <w:rStyle w:val="Style8"/>
          <w:b w:val="false"/>
          <w:bCs/>
          <w:i w:val="false"/>
          <w:shd w:fill="auto" w:val="clear"/>
          <w:vertAlign w:val="superscript"/>
        </w:rPr>
        <w:t>2.</w:t>
      </w:r>
    </w:p>
    <w:p>
      <w:pPr>
        <w:pStyle w:val="Heading4"/>
        <w:numPr>
          <w:ilvl w:val="1"/>
          <w:numId w:val="3"/>
        </w:numPr>
        <w:rPr/>
      </w:pPr>
      <w:bookmarkStart w:id="10" w:name="_Toc75446571"/>
      <w:bookmarkStart w:id="11" w:name="_Toc46743509"/>
      <w:bookmarkStart w:id="12" w:name="_Hlk49857604"/>
      <w:r>
        <w:rPr/>
        <w:t xml:space="preserve">Информация в отношении исполнения договора, </w:t>
      </w:r>
      <w:bookmarkStart w:id="13" w:name="_Hlk46492347"/>
      <w:r>
        <w:rPr/>
        <w:t xml:space="preserve">которая должна быть учтена при подготовке заявки </w:t>
      </w:r>
      <w:bookmarkEnd w:id="13"/>
      <w:r>
        <w:rPr/>
        <w:t xml:space="preserve">(в том числе перечень ресурсов, услуг и документов, предоставляемых </w:t>
      </w:r>
      <w:r>
        <w:rPr>
          <w:lang w:val="ru-RU"/>
        </w:rPr>
        <w:t>заказчиком</w:t>
      </w:r>
      <w:r>
        <w:rPr/>
        <w:t xml:space="preserve"> на этапе исполнения договора)</w:t>
      </w:r>
      <w:bookmarkEnd w:id="11"/>
      <w:bookmarkEnd w:id="12"/>
      <w:r>
        <w:rPr>
          <w:lang w:val="ru-RU"/>
        </w:rPr>
        <w:t xml:space="preserve"> </w:t>
      </w:r>
      <w:bookmarkEnd w:id="10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240"/>
        <w:ind w:firstLine="567"/>
        <w:jc w:val="both"/>
        <w:rPr/>
      </w:pPr>
      <w:r>
        <w:rPr>
          <w:rStyle w:val="Style8"/>
          <w:b w:val="false"/>
          <w:i w:val="false"/>
          <w:sz w:val="24"/>
          <w:szCs w:val="24"/>
          <w:shd w:fill="FFFFFF" w:val="clear"/>
        </w:rPr>
        <w:t>1.5.1. При необходимости, Поставщику предоставляется возможность работы с технической документацией (по заявке) в архиве Зеленчукской ГЭС-ГАЭС (если запрашиваемая</w:t>
      </w:r>
      <w:r>
        <w:rPr>
          <w:rStyle w:val="Style8"/>
          <w:b w:val="false"/>
          <w:iCs/>
          <w:sz w:val="24"/>
          <w:szCs w:val="24"/>
          <w:shd w:fill="FFFFFF" w:val="clear"/>
        </w:rPr>
        <w:t xml:space="preserve"> </w:t>
      </w:r>
      <w:r>
        <w:rPr>
          <w:rStyle w:val="Style8"/>
          <w:b w:val="false"/>
          <w:i w:val="false"/>
          <w:sz w:val="24"/>
          <w:szCs w:val="24"/>
          <w:shd w:fill="FFFFFF" w:val="clear"/>
        </w:rPr>
        <w:t>документация не является ДСП).</w:t>
      </w:r>
    </w:p>
    <w:p>
      <w:pPr>
        <w:pStyle w:val="Heading4"/>
        <w:numPr>
          <w:ilvl w:val="1"/>
          <w:numId w:val="3"/>
        </w:numPr>
        <w:rPr/>
      </w:pPr>
      <w:bookmarkStart w:id="14" w:name="_Toc75446572"/>
      <w:bookmarkStart w:id="15" w:name="_Toc46743510"/>
      <w:bookmarkStart w:id="16" w:name="_Hlk48209761_Копия_1"/>
      <w:bookmarkStart w:id="17" w:name="_Toc50125126"/>
      <w:bookmarkEnd w:id="15"/>
      <w:bookmarkEnd w:id="16"/>
      <w:bookmarkEnd w:id="17"/>
      <w:r>
        <w:rPr/>
        <w:t>Иные требования и сведения общего характера</w:t>
      </w:r>
      <w:r>
        <w:rPr>
          <w:lang w:val="ru-RU"/>
        </w:rPr>
        <w:t xml:space="preserve"> </w:t>
      </w:r>
      <w:bookmarkEnd w:id="14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240"/>
        <w:ind w:firstLine="567"/>
        <w:jc w:val="both"/>
        <w:rPr/>
      </w:pPr>
      <w:r>
        <w:rPr>
          <w:rStyle w:val="Style8"/>
          <w:b w:val="false"/>
          <w:bCs/>
          <w:i w:val="false"/>
          <w:sz w:val="24"/>
          <w:szCs w:val="24"/>
          <w:shd w:fill="FFFFFF" w:val="clear"/>
        </w:rPr>
        <w:t xml:space="preserve">1.6.1. </w:t>
      </w:r>
      <w:r>
        <w:rPr>
          <w:rStyle w:val="Style8"/>
          <w:b w:val="false"/>
          <w:bCs/>
          <w:i w:val="false"/>
          <w:sz w:val="24"/>
          <w:szCs w:val="24"/>
          <w:shd w:fill="auto" w:val="clear"/>
        </w:rPr>
        <w:t>Выполняются следующие услуги: поставка Товара и разгрузка в указанном Заказчиком месте (на территории Филиала).</w:t>
      </w:r>
      <w:r>
        <w:rPr>
          <w:rStyle w:val="Style8"/>
          <w:b w:val="false"/>
          <w:bCs/>
          <w:i w:val="false"/>
          <w:sz w:val="24"/>
          <w:szCs w:val="24"/>
          <w:shd w:fill="FFFFFF" w:val="clear"/>
        </w:rPr>
        <w:t xml:space="preserve"> </w:t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iCs/>
          <w:caps/>
          <w:lang w:val="ru-RU"/>
        </w:rPr>
      </w:pPr>
      <w:bookmarkStart w:id="18" w:name="_Toc51339693"/>
      <w:bookmarkStart w:id="19" w:name="_Toc75446573"/>
      <w:r>
        <w:rPr>
          <w:iCs/>
        </w:rPr>
        <w:t xml:space="preserve">Требования к </w:t>
      </w:r>
      <w:bookmarkEnd w:id="18"/>
      <w:bookmarkEnd w:id="19"/>
      <w:r>
        <w:rPr>
          <w:iCs/>
          <w:lang w:val="en-US"/>
        </w:rPr>
        <w:t>Товару</w:t>
      </w:r>
    </w:p>
    <w:p>
      <w:pPr>
        <w:pStyle w:val="Heading4"/>
        <w:numPr>
          <w:ilvl w:val="1"/>
          <w:numId w:val="3"/>
        </w:numPr>
        <w:rPr/>
      </w:pPr>
      <w:bookmarkStart w:id="20" w:name="_Toc75446574"/>
      <w:r>
        <w:rPr/>
        <w:t xml:space="preserve">Требования к объемам и срокам </w:t>
      </w:r>
      <w:r>
        <w:rPr>
          <w:lang w:val="ru-RU"/>
        </w:rPr>
        <w:t>поставки</w:t>
      </w:r>
      <w:bookmarkEnd w:id="20"/>
    </w:p>
    <w:p>
      <w:pPr>
        <w:pStyle w:val="Heading3"/>
        <w:numPr>
          <w:ilvl w:val="2"/>
          <w:numId w:val="3"/>
        </w:numPr>
        <w:rPr/>
      </w:pPr>
      <w:bookmarkStart w:id="21" w:name="_Toc75446575"/>
      <w:r>
        <w:rPr>
          <w:lang w:val="ru-RU"/>
        </w:rPr>
        <w:t xml:space="preserve">Перечень и объем закупаемого </w:t>
      </w:r>
      <w:bookmarkEnd w:id="21"/>
      <w:r>
        <w:rPr>
          <w:lang w:val="en-US"/>
        </w:rPr>
        <w:t>Товара</w:t>
      </w:r>
    </w:p>
    <w:p>
      <w:pPr>
        <w:pStyle w:val="Heading1"/>
        <w:keepLines/>
        <w:tabs>
          <w:tab w:val="clear" w:pos="0"/>
        </w:tabs>
        <w:spacing w:before="240" w:after="60"/>
        <w:ind w:left="0" w:hanging="0"/>
        <w:jc w:val="right"/>
        <w:rPr>
          <w:sz w:val="24"/>
          <w:szCs w:val="24"/>
        </w:rPr>
      </w:pPr>
      <w:bookmarkStart w:id="22" w:name="_Toc75446576"/>
      <w:bookmarkStart w:id="23" w:name="_Toc5133969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1.1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23"/>
      <w:r>
        <w:rPr>
          <w:sz w:val="24"/>
          <w:szCs w:val="24"/>
          <w:lang w:val="ru-RU"/>
        </w:rPr>
        <w:t xml:space="preserve">и объем закупаемого </w:t>
      </w:r>
      <w:bookmarkEnd w:id="22"/>
      <w:r>
        <w:rPr>
          <w:sz w:val="24"/>
          <w:szCs w:val="24"/>
          <w:lang w:val="ru-RU"/>
        </w:rPr>
        <w:t>Товара</w:t>
      </w:r>
    </w:p>
    <w:tbl>
      <w:tblPr>
        <w:tblW w:w="9812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842"/>
        <w:gridCol w:w="6135"/>
        <w:gridCol w:w="1421"/>
        <w:gridCol w:w="1413"/>
      </w:tblGrid>
      <w:tr>
        <w:trPr/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Товара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/>
            </w:pPr>
            <w:r>
              <w:rPr/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Железобетонное защитное сооружение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штук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firstLine="142"/>
        <w:rPr>
          <w:bCs/>
          <w:i/>
          <w:i/>
          <w:sz w:val="24"/>
          <w:szCs w:val="24"/>
          <w:shd w:fill="FFFF99" w:val="clear"/>
        </w:rPr>
      </w:pPr>
      <w:r>
        <w:rPr>
          <w:bCs/>
          <w:i/>
          <w:sz w:val="24"/>
          <w:szCs w:val="24"/>
          <w:shd w:fill="FFFF99" w:val="clear"/>
        </w:rPr>
      </w:r>
    </w:p>
    <w:p>
      <w:pPr>
        <w:pStyle w:val="Heading1"/>
        <w:keepLines/>
        <w:tabs>
          <w:tab w:val="clear" w:pos="0"/>
        </w:tabs>
        <w:spacing w:before="240" w:after="60"/>
        <w:ind w:left="0" w:hanging="0"/>
        <w:jc w:val="right"/>
        <w:rPr>
          <w:bCs/>
          <w:i/>
          <w:i/>
          <w:sz w:val="24"/>
          <w:szCs w:val="24"/>
          <w:shd w:fill="FFFF99" w:val="clear"/>
        </w:rPr>
      </w:pPr>
      <w:bookmarkStart w:id="24" w:name="_Toc75446577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1.2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Перечень и объем закупаемых сопутствующих услуг</w:t>
      </w:r>
      <w:bookmarkEnd w:id="24"/>
    </w:p>
    <w:tbl>
      <w:tblPr>
        <w:tblW w:w="981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848"/>
        <w:gridCol w:w="4849"/>
        <w:gridCol w:w="1992"/>
        <w:gridCol w:w="2120"/>
      </w:tblGrid>
      <w:tr>
        <w:trPr/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rPr/>
            </w:pPr>
            <w:r>
              <w:rPr/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Style w:val="Style8"/>
                <w:b w:val="false"/>
                <w:bCs/>
                <w:i w:val="false"/>
                <w:sz w:val="24"/>
                <w:szCs w:val="24"/>
                <w:shd w:fill="auto" w:val="clear"/>
              </w:rPr>
              <w:t xml:space="preserve">Доставка и разгрузка </w:t>
            </w:r>
            <w:r>
              <w:rPr>
                <w:rStyle w:val="Style8"/>
                <w:b w:val="false"/>
                <w:bCs/>
                <w:i w:val="false"/>
                <w:color w:val="000000"/>
                <w:sz w:val="24"/>
                <w:szCs w:val="24"/>
                <w:shd w:fill="auto" w:val="clear"/>
              </w:rPr>
              <w:t xml:space="preserve">железобетонного защитного сооружения.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lang w:val="uk-UA" w:eastAsia="en-US"/>
              </w:rPr>
            </w:pPr>
            <w:r>
              <w:rPr>
                <w:sz w:val="24"/>
                <w:szCs w:val="24"/>
              </w:rPr>
              <w:t>штук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firstLine="142"/>
        <w:rPr>
          <w:bCs/>
          <w:i/>
          <w:i/>
          <w:sz w:val="24"/>
          <w:szCs w:val="24"/>
          <w:shd w:fill="FFFF99" w:val="clear"/>
        </w:rPr>
      </w:pPr>
      <w:r>
        <w:rPr>
          <w:bCs/>
          <w:i/>
          <w:sz w:val="24"/>
          <w:szCs w:val="24"/>
          <w:shd w:fill="FFFF99" w:val="clear"/>
        </w:rPr>
      </w:r>
    </w:p>
    <w:p>
      <w:pPr>
        <w:pStyle w:val="Heading3"/>
        <w:numPr>
          <w:ilvl w:val="2"/>
          <w:numId w:val="3"/>
        </w:numPr>
        <w:rPr>
          <w:lang w:val="ru-RU"/>
        </w:rPr>
      </w:pPr>
      <w:bookmarkStart w:id="25" w:name="_Toc75446578"/>
      <w:bookmarkStart w:id="26" w:name="_Toc51339696"/>
      <w:r>
        <w:rPr>
          <w:lang w:val="ru-RU"/>
        </w:rPr>
        <w:t xml:space="preserve">Требования </w:t>
      </w:r>
      <w:bookmarkEnd w:id="26"/>
      <w:r>
        <w:rPr>
          <w:lang w:val="ru-RU"/>
        </w:rPr>
        <w:t>к срокам поставки Товара и оказанию сопутствующих услуг</w:t>
      </w:r>
      <w:bookmarkEnd w:id="25"/>
    </w:p>
    <w:p>
      <w:pPr>
        <w:pStyle w:val="Heading1"/>
        <w:keepLines/>
        <w:tabs>
          <w:tab w:val="clear" w:pos="0"/>
        </w:tabs>
        <w:spacing w:before="240" w:after="60"/>
        <w:ind w:left="0" w:hanging="0"/>
        <w:jc w:val="right"/>
        <w:rPr>
          <w:sz w:val="24"/>
          <w:szCs w:val="24"/>
          <w:lang w:val="ru-RU"/>
        </w:rPr>
      </w:pPr>
      <w:bookmarkStart w:id="27" w:name="_Toc75446579"/>
      <w:bookmarkStart w:id="28" w:name="_Toc50125127"/>
      <w:bookmarkStart w:id="29" w:name="_Toc51339697"/>
      <w:bookmarkStart w:id="30" w:name="_Toc50125126_Копия_1"/>
      <w:bookmarkEnd w:id="30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bookmarkStart w:id="31" w:name="_Hlk50465284"/>
      <w:r>
        <w:rPr>
          <w:sz w:val="24"/>
          <w:szCs w:val="24"/>
        </w:rPr>
        <w:t xml:space="preserve">Требования по срокам </w:t>
      </w:r>
      <w:bookmarkEnd w:id="28"/>
      <w:bookmarkEnd w:id="29"/>
      <w:bookmarkEnd w:id="31"/>
      <w:r>
        <w:rPr>
          <w:sz w:val="24"/>
          <w:szCs w:val="24"/>
          <w:lang w:val="ru-RU"/>
        </w:rPr>
        <w:t xml:space="preserve">поставки </w:t>
      </w:r>
      <w:bookmarkEnd w:id="27"/>
      <w:r>
        <w:rPr>
          <w:sz w:val="24"/>
          <w:szCs w:val="24"/>
          <w:lang w:val="ru-RU"/>
        </w:rPr>
        <w:t>Товара</w:t>
      </w:r>
    </w:p>
    <w:tbl>
      <w:tblPr>
        <w:tblW w:w="100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846"/>
        <w:gridCol w:w="4111"/>
        <w:gridCol w:w="2552"/>
        <w:gridCol w:w="2529"/>
      </w:tblGrid>
      <w:tr>
        <w:trPr/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  <w:lang w:val="en-US"/>
              </w:rPr>
              <w:t>Товара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Товара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Товара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/>
            </w:pPr>
            <w:r>
              <w:rP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Изготовление </w:t>
            </w:r>
            <w:r>
              <w:rPr>
                <w:rStyle w:val="Style8"/>
                <w:b w:val="false"/>
                <w:bCs/>
                <w:i w:val="false"/>
                <w:color w:val="000000"/>
                <w:sz w:val="24"/>
                <w:szCs w:val="24"/>
                <w:shd w:fill="auto" w:val="clear"/>
                <w:lang w:val="en-US"/>
              </w:rPr>
              <w:t>железобетонного защитного сооружения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с даты заключения договора 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01</w:t>
            </w:r>
            <w:r>
              <w:rPr>
                <w:sz w:val="24"/>
                <w:szCs w:val="24"/>
              </w:rPr>
              <w:t>.10.2026</w:t>
            </w:r>
          </w:p>
        </w:tc>
      </w:tr>
    </w:tbl>
    <w:p>
      <w:pPr>
        <w:pStyle w:val="Heading1"/>
        <w:tabs>
          <w:tab w:val="clear" w:pos="0"/>
        </w:tabs>
        <w:ind w:left="0" w:hanging="0"/>
        <w:rPr>
          <w:sz w:val="24"/>
          <w:szCs w:val="24"/>
        </w:rPr>
      </w:pPr>
      <w:r>
        <w:rPr>
          <w:sz w:val="24"/>
          <w:szCs w:val="24"/>
        </w:rPr>
      </w:r>
      <w:bookmarkStart w:id="32" w:name="_Toc46743510_Копия_1"/>
      <w:bookmarkStart w:id="33" w:name="_Toc46743510_Копия_1"/>
      <w:bookmarkEnd w:id="33"/>
    </w:p>
    <w:p>
      <w:pPr>
        <w:pStyle w:val="Heading1"/>
        <w:tabs>
          <w:tab w:val="clear" w:pos="0"/>
        </w:tabs>
        <w:ind w:left="0" w:hanging="0"/>
        <w:jc w:val="right"/>
        <w:rPr>
          <w:bCs/>
          <w:i/>
          <w:i/>
          <w:iCs/>
          <w:sz w:val="24"/>
          <w:szCs w:val="24"/>
          <w:shd w:fill="FFFF99" w:val="clear"/>
        </w:rPr>
      </w:pPr>
      <w:bookmarkStart w:id="34" w:name="_Toc75446580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 xml:space="preserve"> Требования по срокам </w:t>
      </w:r>
      <w:r>
        <w:rPr>
          <w:sz w:val="24"/>
          <w:szCs w:val="24"/>
          <w:lang w:val="ru-RU"/>
        </w:rPr>
        <w:t xml:space="preserve">оказания </w:t>
      </w:r>
      <w:r>
        <w:rPr>
          <w:sz w:val="24"/>
          <w:szCs w:val="24"/>
        </w:rPr>
        <w:t>сопутствующих услуг</w:t>
      </w:r>
      <w:bookmarkEnd w:id="34"/>
    </w:p>
    <w:tbl>
      <w:tblPr>
        <w:tblW w:w="991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1122"/>
        <w:gridCol w:w="3118"/>
        <w:gridCol w:w="1880"/>
        <w:gridCol w:w="2140"/>
        <w:gridCol w:w="1658"/>
      </w:tblGrid>
      <w:tr>
        <w:trPr/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Примечание</w:t>
            </w:r>
          </w:p>
        </w:tc>
      </w:tr>
      <w:tr>
        <w:trPr/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Доставка и разгрузка </w:t>
            </w:r>
            <w:r>
              <w:rPr>
                <w:rStyle w:val="Style8"/>
                <w:b w:val="false"/>
                <w:bCs/>
                <w:i w:val="false"/>
                <w:color w:val="000000"/>
                <w:sz w:val="24"/>
                <w:szCs w:val="24"/>
                <w:shd w:fill="auto" w:val="clear"/>
              </w:rPr>
              <w:t>железобетонного защитного сооружения.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01.10.2026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</w:r>
          </w:p>
        </w:tc>
      </w:tr>
    </w:tbl>
    <w:p>
      <w:pPr>
        <w:sectPr>
          <w:headerReference w:type="default" r:id="rId2"/>
          <w:headerReference w:type="first" r:id="rId3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3"/>
        </w:numPr>
        <w:rPr/>
      </w:pPr>
      <w:bookmarkStart w:id="35" w:name="_Toc51339698"/>
      <w:bookmarkStart w:id="36" w:name="_Toc75446581"/>
      <w:bookmarkStart w:id="37" w:name="_Toc46743511"/>
      <w:r>
        <w:rPr/>
        <w:t xml:space="preserve">Требования к </w:t>
      </w:r>
      <w:bookmarkEnd w:id="37"/>
      <w:r>
        <w:rPr>
          <w:lang w:val="ru-RU"/>
        </w:rPr>
        <w:t xml:space="preserve">качеству </w:t>
      </w:r>
      <w:bookmarkEnd w:id="36"/>
      <w:r>
        <w:rPr>
          <w:lang w:val="en-US"/>
        </w:rPr>
        <w:t>Товара</w:t>
      </w:r>
    </w:p>
    <w:p>
      <w:pPr>
        <w:pStyle w:val="Heading1"/>
        <w:keepLines/>
        <w:tabs>
          <w:tab w:val="clear" w:pos="0"/>
        </w:tabs>
        <w:spacing w:before="240" w:after="60"/>
        <w:ind w:left="0" w:hanging="0"/>
        <w:jc w:val="right"/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 </w:t>
      </w:r>
      <w:bookmarkStart w:id="38" w:name="_Toc75446582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bookmarkEnd w:id="35"/>
      <w:bookmarkEnd w:id="38"/>
      <w:r>
        <w:rPr>
          <w:sz w:val="24"/>
          <w:szCs w:val="24"/>
          <w:lang w:val="en-US"/>
        </w:rPr>
        <w:t>Товару</w:t>
      </w:r>
    </w:p>
    <w:p>
      <w:pPr>
        <w:pStyle w:val="Normal"/>
        <w:rPr/>
      </w:pPr>
      <w:r>
        <w:rPr/>
      </w:r>
    </w:p>
    <w:p>
      <w:pPr>
        <w:pStyle w:val="Normal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Наименование продукции (позиция №1 Таблицы 1.1): Ж</w:t>
      </w:r>
      <w:r>
        <w:rPr>
          <w:b/>
          <w:bCs/>
          <w:i/>
          <w:color w:val="111111"/>
          <w:sz w:val="26"/>
          <w:szCs w:val="22"/>
        </w:rPr>
        <w:t xml:space="preserve">елезобетонные защитные сооружения в количестве 3 шт.. </w:t>
      </w:r>
    </w:p>
    <w:tbl>
      <w:tblPr>
        <w:tblW w:w="1531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851"/>
        <w:gridCol w:w="1982"/>
        <w:gridCol w:w="5244"/>
        <w:gridCol w:w="2273"/>
        <w:gridCol w:w="2550"/>
        <w:gridCol w:w="2408"/>
        <w:gridCol w:w="7"/>
      </w:tblGrid>
      <w:tr>
        <w:trPr/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19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5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4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8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2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pacing w:before="6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7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/>
            </w:pPr>
            <w:r>
              <w:rPr/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 xml:space="preserve">Объем и состав </w:t>
            </w:r>
            <w:r>
              <w:rPr>
                <w:rFonts w:eastAsia="Calibri"/>
                <w:sz w:val="24"/>
                <w:szCs w:val="24"/>
                <w:lang w:eastAsia="en-US"/>
              </w:rPr>
              <w:t>поставки Товара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1"/>
              <w:widowControl w:val="false"/>
              <w:rPr/>
            </w:pPr>
            <w:r>
              <w:rPr/>
              <w:t>Железобетонное защитное сооружение (далее Продукция)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pacing w:before="6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7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/>
            </w:pPr>
            <w:r>
              <w:rPr/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Область применения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4"/>
              </w:rPr>
            </w:pPr>
            <w:r>
              <w:rPr>
                <w:sz w:val="24"/>
              </w:rPr>
              <w:t>Бетонное защитное сооружение, предназначенные для укрытия персонала станции от воздействия поражающего действия БПЛА и ракетной атаки.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/>
            </w:pPr>
            <w:r>
              <w:rPr/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 услуги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71"/>
              <w:widowControl w:val="false"/>
              <w:tabs>
                <w:tab w:val="clear" w:pos="708"/>
                <w:tab w:val="left" w:pos="302" w:leader="none"/>
              </w:tabs>
              <w:rPr/>
            </w:pPr>
            <w:r>
              <w:rPr/>
              <w:t xml:space="preserve">Защитное сооружение предназначено для защиты населения от воздействий средств нападения противника и направлено на предотвращение или предельное снижение потерь населения и угрозы его жизни и здоровью от поражающих факторов. 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pacing w:before="6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7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конструкции, изготовлению и материалам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/>
            </w:pPr>
            <w:r>
              <w:rPr/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Требования к конструкции бетонного защитного сооружения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91"/>
              <w:widowControl w:val="false"/>
              <w:ind w:left="-57" w:hanging="0"/>
              <w:rPr/>
            </w:pPr>
            <w:r>
              <w:rPr/>
              <w:t>1. Сооружение железобетонное сборное защитное Укрытие поставляется в собранном виде и предназначено для защиты населения.</w:t>
            </w:r>
          </w:p>
          <w:p>
            <w:pPr>
              <w:pStyle w:val="Style91"/>
              <w:widowControl w:val="false"/>
              <w:ind w:left="-57" w:hanging="0"/>
              <w:rPr/>
            </w:pPr>
            <w:r>
              <w:rPr/>
              <w:t>2. Сооружение представляет собой прямоугольный параллелепипед, который собирается из четырех железобетонных стеновых панелей и плит покрытия. Сборка сооружения производится с помощью сварных соединений монтажными элементами за закладные детали. Сооружение должно иметь дверной проем, размером, не меньше, 180*80 см.</w:t>
            </w:r>
          </w:p>
          <w:p>
            <w:pPr>
              <w:pStyle w:val="Style91"/>
              <w:widowControl w:val="false"/>
              <w:ind w:left="-57" w:hanging="0"/>
              <w:rPr/>
            </w:pPr>
            <w:r>
              <w:rPr/>
              <w:t>3. Габаритные размеры сооружения:</w:t>
            </w:r>
          </w:p>
          <w:p>
            <w:pPr>
              <w:pStyle w:val="Style91"/>
              <w:widowControl w:val="false"/>
              <w:ind w:left="-57" w:hanging="0"/>
              <w:rPr/>
            </w:pPr>
            <w:r>
              <w:rPr/>
              <w:t>- внутренний размер не менее Д-4260*Ш-2160*В-2200 мм</w:t>
            </w:r>
          </w:p>
          <w:p>
            <w:pPr>
              <w:pStyle w:val="Style91"/>
              <w:widowControl w:val="false"/>
              <w:ind w:left="-57" w:hanging="0"/>
              <w:rPr/>
            </w:pPr>
            <w:r>
              <w:rPr/>
              <w:t>- толщина стеновой панели не менее -120 мм</w:t>
            </w:r>
          </w:p>
          <w:p>
            <w:pPr>
              <w:pStyle w:val="Style91"/>
              <w:widowControl w:val="false"/>
              <w:ind w:left="-57" w:hanging="0"/>
              <w:rPr/>
            </w:pPr>
            <w:r>
              <w:rPr/>
              <w:t>- толщина плит покрытия не менее -100 мм</w:t>
            </w:r>
          </w:p>
          <w:p>
            <w:pPr>
              <w:pStyle w:val="Style91"/>
              <w:widowControl w:val="false"/>
              <w:ind w:left="-57" w:hanging="0"/>
              <w:rPr/>
            </w:pPr>
            <w:r>
              <w:rPr/>
              <w:t>4. Стеновые панели основания и плита покрытия армируются объемными каркасами из двух сеток Ф8 А500с шагом 200*200.</w:t>
            </w:r>
          </w:p>
          <w:p>
            <w:pPr>
              <w:pStyle w:val="Style91"/>
              <w:widowControl w:val="false"/>
              <w:ind w:left="-57" w:hanging="0"/>
              <w:rPr/>
            </w:pPr>
            <w:r>
              <w:rPr/>
              <w:t xml:space="preserve">5. Сооружение должно быть оборудовано монтажными петлями в количестве не менее 4 штук для транспортирования. </w:t>
            </w:r>
          </w:p>
          <w:p>
            <w:pPr>
              <w:pStyle w:val="Style91"/>
              <w:widowControl w:val="false"/>
              <w:ind w:left="-57" w:hanging="0"/>
              <w:rPr/>
            </w:pPr>
            <w:r>
              <w:rPr/>
              <w:t>6. Защитное железобетонное сооружение транспортируется в разобранном виде.</w:t>
            </w:r>
          </w:p>
          <w:p>
            <w:pPr>
              <w:pStyle w:val="Style91"/>
              <w:widowControl w:val="false"/>
              <w:ind w:left="-57" w:hanging="0"/>
              <w:jc w:val="left"/>
              <w:rPr/>
            </w:pPr>
            <w:r>
              <w:rPr/>
              <w:t>7. Железобетонные элементы изготавливаются из бетона класса по прочности на сжатие В22,5F150W6.</w:t>
            </w:r>
          </w:p>
          <w:p>
            <w:pPr>
              <w:pStyle w:val="Style91"/>
              <w:widowControl w:val="false"/>
              <w:ind w:left="-57" w:hanging="0"/>
              <w:jc w:val="left"/>
              <w:rPr/>
            </w:pPr>
            <w:r>
              <w:rPr/>
              <w:t>8. В состав укрытия должна входить плита основание.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pacing w:before="6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7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климатическому исполнению и стойкости к воздействующим климатическим факторам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/>
            </w:pPr>
            <w:r>
              <w:rPr/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  <w:lang w:val="uk-UA" w:eastAsia="en-US"/>
              </w:rPr>
              <w:t>Температурный режим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  <w:lang w:val="uk-UA" w:eastAsia="en-US"/>
              </w:rPr>
              <w:t>Температурный режим эксплуатации от минус 30</w:t>
            </w:r>
            <w:r>
              <w:rPr>
                <w:rFonts w:eastAsia="Calibri"/>
                <w:sz w:val="24"/>
                <w:szCs w:val="24"/>
                <w:lang w:val="uk-UA" w:eastAsia="en-US"/>
              </w:rPr>
              <w:t>°</w:t>
            </w:r>
            <w:r>
              <w:rPr>
                <w:rFonts w:eastAsia="Calibri"/>
                <w:bCs/>
                <w:sz w:val="24"/>
                <w:szCs w:val="24"/>
                <w:lang w:val="uk-UA" w:eastAsia="en-US"/>
              </w:rPr>
              <w:t>до плюс 50</w:t>
            </w:r>
            <w:r>
              <w:rPr>
                <w:rFonts w:eastAsia="Calibri"/>
                <w:sz w:val="24"/>
                <w:szCs w:val="24"/>
                <w:lang w:val="uk-UA" w:eastAsia="en-US"/>
              </w:rPr>
              <w:t>°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/>
            </w:pPr>
            <w:r>
              <w:rPr/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  <w:lang w:val="uk-UA" w:eastAsia="en-US"/>
              </w:rPr>
              <w:t>Влажность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  <w:lang w:val="uk-UA" w:eastAsia="en-US"/>
              </w:rPr>
              <w:t>Повышенная относительная влажность: 80%</w:t>
            </w:r>
            <w:bookmarkStart w:id="39" w:name="_GoBack_Копия_1"/>
            <w:bookmarkEnd w:id="39"/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pacing w:before="6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7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/>
            </w:pPr>
            <w:r>
              <w:rPr/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Доставка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Доставка</w:t>
            </w:r>
            <w:r>
              <w:rPr/>
              <w:t xml:space="preserve"> ж</w:t>
            </w:r>
            <w:r>
              <w:rPr>
                <w:rFonts w:eastAsia="Calibri"/>
                <w:sz w:val="24"/>
                <w:szCs w:val="24"/>
                <w:lang w:val="uk-UA" w:eastAsia="en-US"/>
              </w:rPr>
              <w:t>елезобетонн</w:t>
            </w:r>
            <w:r>
              <w:rPr>
                <w:rFonts w:eastAsia="Calibri"/>
                <w:sz w:val="24"/>
                <w:szCs w:val="24"/>
                <w:lang w:eastAsia="en-US"/>
              </w:rPr>
              <w:t>ых</w:t>
            </w:r>
            <w:r>
              <w:rPr>
                <w:rFonts w:eastAsia="Calibri"/>
                <w:sz w:val="24"/>
                <w:szCs w:val="24"/>
                <w:lang w:val="uk-UA" w:eastAsia="en-US"/>
              </w:rPr>
              <w:t xml:space="preserve"> защитн</w:t>
            </w:r>
            <w:r>
              <w:rPr>
                <w:rFonts w:eastAsia="Calibri"/>
                <w:sz w:val="24"/>
                <w:szCs w:val="24"/>
                <w:lang w:eastAsia="en-US"/>
              </w:rPr>
              <w:t>ых</w:t>
            </w:r>
            <w:r>
              <w:rPr>
                <w:rFonts w:eastAsia="Calibri"/>
                <w:sz w:val="24"/>
                <w:szCs w:val="24"/>
                <w:lang w:val="uk-UA" w:eastAsia="en-US"/>
              </w:rPr>
              <w:t xml:space="preserve"> сооружени</w:t>
            </w:r>
            <w:r>
              <w:rPr>
                <w:rFonts w:eastAsia="Calibri"/>
                <w:sz w:val="24"/>
                <w:szCs w:val="24"/>
                <w:lang w:eastAsia="en-US"/>
              </w:rPr>
              <w:t>й</w:t>
            </w:r>
            <w:r>
              <w:rPr>
                <w:rFonts w:eastAsia="Calibri"/>
                <w:sz w:val="24"/>
                <w:szCs w:val="24"/>
                <w:lang w:val="uk-UA" w:eastAsia="en-US"/>
              </w:rPr>
              <w:t xml:space="preserve"> до Заказчика (до территории Филиала).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/>
            </w:pPr>
            <w:r>
              <w:rPr/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Разгрузка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32" w:leader="none"/>
                <w:tab w:val="left" w:pos="459" w:leader="none"/>
              </w:tabs>
              <w:spacing w:before="0" w:after="200"/>
              <w:ind w:left="72" w:hanging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Разгрузка и установка железобетонных защитных сооружений</w:t>
            </w:r>
            <w:r>
              <w:rPr>
                <w:rFonts w:eastAsia="Calibri"/>
                <w:sz w:val="24"/>
                <w:szCs w:val="24"/>
                <w:lang w:val="uk-UA" w:eastAsia="en-US"/>
              </w:rPr>
              <w:t xml:space="preserve"> на территории Филиала.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rPr/>
            </w:pPr>
            <w:r>
              <w:rPr/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pacing w:before="6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7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/>
            </w:pPr>
            <w:r>
              <w:rPr/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Гарантийные обязательства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ind w:left="0" w:hanging="0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Срок</w:t>
            </w:r>
            <w:r>
              <w:rPr>
                <w:lang w:eastAsia="en-US"/>
              </w:rPr>
              <w:t xml:space="preserve"> службы</w:t>
            </w:r>
            <w:r>
              <w:rPr>
                <w:lang w:val="uk-UA" w:eastAsia="en-US"/>
              </w:rPr>
              <w:t xml:space="preserve"> </w:t>
            </w:r>
            <w:r>
              <w:rPr>
                <w:lang w:eastAsia="en-US"/>
              </w:rPr>
              <w:t>з</w:t>
            </w:r>
            <w:r>
              <w:rPr>
                <w:lang w:val="uk-UA" w:eastAsia="en-US"/>
              </w:rPr>
              <w:t xml:space="preserve">ащитных бетонных сооружений не менее 10 лет с даты ввода в эксплуатацию. Гарантийный срок эксплуатации не менее 12 месяцев с даты ввода в эксплуатацию. 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4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pacing w:before="6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7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/>
            </w:pPr>
            <w:r>
              <w:rPr/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Документы, передаваемые вместе с изделиями и СИЗ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 xml:space="preserve">Все поставляемые защитные сооружения должны иметь в комплекте поставки паспорта, сертификаты и инструкции производителя. </w:t>
            </w:r>
          </w:p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Поставщик обязан одновременно с передачей защитных сооружений передать Покупателю относящиеся к ним документы, оформленные надлежащим образом:</w:t>
            </w:r>
          </w:p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сертификаты качества;</w:t>
            </w:r>
          </w:p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технические паспорта;</w:t>
            </w:r>
          </w:p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руководства по эксплуатации;</w:t>
            </w:r>
          </w:p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упаковочные листы, упаковочные ярлыки;</w:t>
            </w:r>
          </w:p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товарно-транспортную накладную формы №1-Т;</w:t>
            </w:r>
          </w:p>
          <w:p>
            <w:pPr>
              <w:pStyle w:val="Normal"/>
              <w:widowControl w:val="false"/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- товарную накладную унифицированной формы ТОРГ-12 в 2 экз..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pacing w:before="6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7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сопутствующим услугам: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/>
            </w:pPr>
            <w:r>
              <w:rPr/>
            </w:r>
          </w:p>
        </w:tc>
        <w:tc>
          <w:tcPr>
            <w:tcW w:w="7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шефмонтажу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jc w:val="center"/>
              <w:rPr/>
            </w:pPr>
            <w:r>
              <w:rPr/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Требования к исполнителю работ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ind w:left="0" w:hanging="0"/>
              <w:jc w:val="both"/>
              <w:rPr>
                <w:lang w:val="uk-UA" w:eastAsia="en-US"/>
              </w:rPr>
            </w:pPr>
            <w:r>
              <w:rPr/>
              <w:t>Не требуется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/>
            </w:pPr>
            <w:r>
              <w:rPr/>
            </w:r>
          </w:p>
        </w:tc>
        <w:tc>
          <w:tcPr>
            <w:tcW w:w="7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прочим сопутствующим услугам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jc w:val="center"/>
              <w:rPr/>
            </w:pPr>
            <w:r>
              <w:rPr/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tabs>
                <w:tab w:val="clear" w:pos="708"/>
                <w:tab w:val="left" w:pos="180" w:leader="none"/>
                <w:tab w:val="left" w:pos="1134" w:leader="none"/>
              </w:tabs>
              <w:ind w:left="0" w:hanging="0"/>
              <w:textAlignment w:val="baseline"/>
              <w:rPr>
                <w:lang w:val="uk-UA" w:eastAsia="en-US"/>
              </w:rPr>
            </w:pPr>
            <w:r>
              <w:rPr>
                <w:lang w:val="uk-UA" w:eastAsia="en-US"/>
              </w:rPr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pacing w:before="6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7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обязательствам Поставщика, влияющим на исполнение договора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/>
            </w:pPr>
            <w:r>
              <w:rPr/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uk-UA" w:eastAsia="en-US"/>
              </w:rPr>
              <w:t>Общие требования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ind w:left="0" w:hanging="0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1. </w:t>
            </w:r>
            <w:r>
              <w:rPr>
                <w:lang w:eastAsia="en-US"/>
              </w:rPr>
              <w:t>К</w:t>
            </w:r>
            <w:r>
              <w:rPr>
                <w:lang w:val="uk-UA" w:eastAsia="en-US"/>
              </w:rPr>
              <w:t>ачеств</w:t>
            </w:r>
            <w:r>
              <w:rPr>
                <w:lang w:eastAsia="en-US"/>
              </w:rPr>
              <w:t>о, количество и сроки поставки</w:t>
            </w:r>
            <w:r>
              <w:rPr>
                <w:lang w:val="uk-UA" w:eastAsia="en-US"/>
              </w:rPr>
              <w:t xml:space="preserve"> </w:t>
            </w:r>
            <w:r>
              <w:rPr>
                <w:lang w:eastAsia="en-US"/>
              </w:rPr>
              <w:t>поставляемой Продукции должно быть</w:t>
            </w:r>
            <w:r>
              <w:rPr>
                <w:lang w:val="uk-UA" w:eastAsia="en-US"/>
              </w:rPr>
              <w:t xml:space="preserve"> в полном</w:t>
            </w:r>
            <w:r>
              <w:rPr>
                <w:lang w:eastAsia="en-US"/>
              </w:rPr>
              <w:t xml:space="preserve"> соответствии с условиями договора</w:t>
            </w:r>
            <w:r>
              <w:rPr>
                <w:lang w:val="uk-UA" w:eastAsia="en-US"/>
              </w:rPr>
              <w:t>.</w:t>
            </w:r>
          </w:p>
          <w:p>
            <w:pPr>
              <w:pStyle w:val="ListParagraph"/>
              <w:widowControl w:val="false"/>
              <w:ind w:left="0" w:hanging="0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2. Основные условия </w:t>
            </w:r>
            <w:r>
              <w:rPr>
                <w:lang w:eastAsia="en-US"/>
              </w:rPr>
              <w:t>поставки</w:t>
            </w:r>
            <w:r>
              <w:rPr>
                <w:lang w:val="uk-UA" w:eastAsia="en-US"/>
              </w:rPr>
              <w:t xml:space="preserve"> указаны в договоре Заказчика.</w:t>
            </w:r>
          </w:p>
          <w:p>
            <w:pPr>
              <w:pStyle w:val="ListParagraph"/>
              <w:widowControl w:val="false"/>
              <w:ind w:left="0" w:hanging="0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3. Допускается привлечение Подрядчиком третьих лиц для исполнения обязательств по договору.</w:t>
            </w:r>
          </w:p>
          <w:p>
            <w:pPr>
              <w:pStyle w:val="ListParagraph"/>
              <w:widowControl w:val="false"/>
              <w:ind w:left="0" w:hanging="0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4. Продукция должна быть изготовлена на территории РФ из материалов, изготовленных в РФ (подтверждаются сертификатами).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pacing w:before="6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7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Прочие (дополнительные) требования к продукции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/>
            </w:pPr>
            <w:r>
              <w:rPr/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both"/>
              <w:rPr/>
            </w:pPr>
            <w:r>
              <w:rPr/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both"/>
              <w:rPr/>
            </w:pPr>
            <w:r>
              <w:rPr/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/>
            </w:pPr>
            <w:r>
              <w:rPr/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eastAsia="Calibri"/>
                <w:bCs/>
                <w:iCs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uk-UA" w:eastAsia="en-US"/>
              </w:rPr>
              <w:t>Сведения о новизне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Поставляемые изделия должны быть новыми, выпуска не ранее 1 квартала 2026 г., (не бывшим в употреблении, не восстановленным, если это не оговорено требованиями технического задания), не являться выставочными образцами, свободным от прав третьих лиц.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sectPr>
          <w:headerReference w:type="default" r:id="rId4"/>
          <w:headerReference w:type="first" r:id="rId5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lang w:val="ru-RU"/>
        </w:rPr>
      </w:pPr>
      <w:bookmarkStart w:id="40" w:name="_Toc75446583"/>
      <w:bookmarkStart w:id="41" w:name="_Toc53393312"/>
      <w:r>
        <w:rPr>
          <w:lang w:val="ru-RU"/>
        </w:rPr>
        <w:t>Требования к документации по ценообразованию</w:t>
      </w:r>
      <w:bookmarkEnd w:id="41"/>
      <w:r>
        <w:rPr>
          <w:lang w:val="ru-RU"/>
        </w:rPr>
        <w:t xml:space="preserve"> на этапе закупки</w:t>
      </w:r>
      <w:bookmarkEnd w:id="40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jc w:val="both"/>
        <w:rPr>
          <w:rStyle w:val="Style8"/>
          <w:b w:val="false"/>
          <w:bCs/>
          <w:iCs/>
          <w:sz w:val="24"/>
          <w:szCs w:val="24"/>
        </w:rPr>
      </w:pPr>
      <w:r>
        <w:rPr>
          <w:b w:val="false"/>
          <w:bCs/>
          <w:iCs/>
          <w:sz w:val="24"/>
          <w:szCs w:val="24"/>
        </w:rPr>
      </w:r>
    </w:p>
    <w:p>
      <w:pPr>
        <w:pStyle w:val="Normal"/>
        <w:numPr>
          <w:ilvl w:val="1"/>
          <w:numId w:val="10"/>
        </w:numPr>
        <w:suppressAutoHyphens w:val="false"/>
        <w:spacing w:before="0" w:after="120"/>
        <w:ind w:left="709" w:hanging="425"/>
        <w:jc w:val="both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  <w:t xml:space="preserve">В обоснование стоимости своей заявки Участник предоставляет Коммерческое предложение </w:t>
      </w:r>
    </w:p>
    <w:p>
      <w:pPr>
        <w:pStyle w:val="Normal"/>
        <w:ind w:left="709" w:hanging="425"/>
        <w:rPr>
          <w:bCs/>
          <w:i/>
          <w:i/>
          <w:iCs/>
          <w:sz w:val="24"/>
          <w:szCs w:val="24"/>
          <w:lang w:eastAsia="x-none"/>
        </w:rPr>
      </w:pPr>
      <w:r>
        <w:rPr/>
      </w:r>
      <w:bookmarkStart w:id="42" w:name="_GoBack"/>
      <w:bookmarkStart w:id="43" w:name="_GoBack"/>
      <w:bookmarkEnd w:id="43"/>
    </w:p>
    <w:sectPr>
      <w:headerReference w:type="default" r:id="rId6"/>
      <w:headerReference w:type="first" r:id="rId7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9</w:t>
    </w:r>
    <w:r>
      <w:rPr/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11</w:t>
    </w:r>
    <w:r>
      <w:rPr/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1844"/>
        </w:tabs>
        <w:ind w:left="6882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350"/>
        </w:tabs>
        <w:ind w:left="114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0">
    <w:lvl w:ilvl="0">
      <w:start w:val="3"/>
      <w:numFmt w:val="decimal"/>
      <w:lvlText w:val="%1.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40" w:hanging="4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  <w:rPr/>
    </w:lvl>
  </w:abstractNum>
  <w:abstractNum w:abstractNumId="1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pPr>
      <w:keepNext w:val="true"/>
      <w:tabs>
        <w:tab w:val="clear" w:pos="708"/>
        <w:tab w:val="left" w:pos="0" w:leader="none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qFormat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qFormat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qFormat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qFormat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qFormat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Pr/>
  </w:style>
  <w:style w:type="character" w:styleId="Hyperlink">
    <w:name w:val="Hyperlink"/>
    <w:rPr>
      <w:color w:val="0000FF"/>
      <w:u w:val="single"/>
    </w:rPr>
  </w:style>
  <w:style w:type="character" w:styleId="Annotationreference">
    <w:name w:val="annotation reference"/>
    <w:qFormat/>
    <w:rPr>
      <w:sz w:val="16"/>
      <w:szCs w:val="16"/>
    </w:rPr>
  </w:style>
  <w:style w:type="character" w:styleId="Strong">
    <w:name w:val="Strong"/>
    <w:qFormat/>
    <w:rPr>
      <w:b/>
      <w:bCs/>
    </w:rPr>
  </w:style>
  <w:style w:type="character" w:styleId="6" w:customStyle="1">
    <w:name w:val="Заголовок 6 Знак"/>
    <w:qFormat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qFormat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qFormat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qFormat/>
    <w:rPr>
      <w:b/>
      <w:bCs/>
      <w:i/>
      <w:iCs/>
      <w:sz w:val="26"/>
      <w:szCs w:val="26"/>
    </w:rPr>
  </w:style>
  <w:style w:type="character" w:styleId="9" w:customStyle="1">
    <w:name w:val="Заголовок 9 Знак"/>
    <w:qFormat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qFormat/>
    <w:rPr>
      <w:sz w:val="28"/>
    </w:rPr>
  </w:style>
  <w:style w:type="character" w:styleId="Style2" w:customStyle="1">
    <w:name w:val="Подзаголовок Знак"/>
    <w:qFormat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qFormat/>
    <w:rPr>
      <w:i/>
      <w:iCs/>
    </w:rPr>
  </w:style>
  <w:style w:type="character" w:styleId="21" w:customStyle="1">
    <w:name w:val="Цитата 2 Знак"/>
    <w:link w:val="Quote"/>
    <w:qFormat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qFormat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qFormat/>
    <w:rPr>
      <w:i/>
      <w:iCs/>
      <w:color w:val="808080"/>
    </w:rPr>
  </w:style>
  <w:style w:type="character" w:styleId="IntenseEmphasis">
    <w:name w:val="Intense Emphasis"/>
    <w:qFormat/>
    <w:rPr>
      <w:b/>
      <w:bCs/>
      <w:i/>
      <w:iCs/>
      <w:color w:val="4F81BD"/>
    </w:rPr>
  </w:style>
  <w:style w:type="character" w:styleId="SubtleReference">
    <w:name w:val="Subtle Reference"/>
    <w:qFormat/>
    <w:rPr>
      <w:smallCaps/>
      <w:color w:val="C0504D"/>
      <w:u w:val="single"/>
    </w:rPr>
  </w:style>
  <w:style w:type="character" w:styleId="IntenseReference">
    <w:name w:val="Intense Reference"/>
    <w:qFormat/>
    <w:rPr>
      <w:b/>
      <w:bCs/>
      <w:smallCaps/>
      <w:color w:val="C0504D"/>
      <w:spacing w:val="5"/>
      <w:u w:val="single"/>
    </w:rPr>
  </w:style>
  <w:style w:type="character" w:styleId="BookTitle">
    <w:name w:val="Book Title"/>
    <w:qFormat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qFormat/>
    <w:rPr>
      <w:rFonts w:eastAsia="Calibri"/>
      <w:sz w:val="24"/>
      <w:szCs w:val="24"/>
    </w:rPr>
  </w:style>
  <w:style w:type="character" w:styleId="11" w:customStyle="1">
    <w:name w:val="Подпункт Знак1"/>
    <w:link w:val="Style21"/>
    <w:qFormat/>
    <w:rPr>
      <w:sz w:val="28"/>
    </w:rPr>
  </w:style>
  <w:style w:type="character" w:styleId="Style5" w:customStyle="1">
    <w:name w:val="Текст сноски Знак"/>
    <w:qFormat/>
    <w:rPr/>
  </w:style>
  <w:style w:type="character" w:styleId="Style6" w:customStyle="1">
    <w:name w:val="Основной текст Знак"/>
    <w:qFormat/>
    <w:rPr>
      <w:sz w:val="28"/>
      <w:szCs w:val="28"/>
    </w:rPr>
  </w:style>
  <w:style w:type="character" w:styleId="Blk" w:customStyle="1">
    <w:name w:val="blk"/>
    <w:qFormat/>
    <w:rPr/>
  </w:style>
  <w:style w:type="character" w:styleId="Style7" w:customStyle="1">
    <w:name w:val="Абзац списка Знак"/>
    <w:link w:val="ListParagraph"/>
    <w:qFormat/>
    <w:rPr>
      <w:rFonts w:eastAsia="Calibri"/>
      <w:sz w:val="24"/>
      <w:szCs w:val="24"/>
    </w:rPr>
  </w:style>
  <w:style w:type="character" w:styleId="Style8" w:customStyle="1">
    <w:name w:val="комментарий"/>
    <w:qFormat/>
    <w:rPr>
      <w:b/>
      <w:i/>
      <w:shd w:fill="FFFF99" w:val="clear"/>
    </w:rPr>
  </w:style>
  <w:style w:type="character" w:styleId="Style9" w:customStyle="1">
    <w:name w:val="Подподпункт Знак"/>
    <w:link w:val="Style29"/>
    <w:qFormat/>
    <w:rPr>
      <w:sz w:val="26"/>
      <w:szCs w:val="26"/>
    </w:rPr>
  </w:style>
  <w:style w:type="character" w:styleId="31" w:customStyle="1">
    <w:name w:val="УРОВЕНЬ_Абзац_тип3 Знак"/>
    <w:link w:val="36"/>
    <w:qFormat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qFormat/>
    <w:rPr>
      <w:sz w:val="24"/>
      <w:szCs w:val="24"/>
    </w:rPr>
  </w:style>
  <w:style w:type="character" w:styleId="Style11" w:customStyle="1">
    <w:name w:val="Текст примечания Знак"/>
    <w:link w:val="Annotationtext"/>
    <w:qFormat/>
    <w:rPr/>
  </w:style>
  <w:style w:type="character" w:styleId="Style12" w:customStyle="1">
    <w:name w:val="Текст концевой сноски Знак"/>
    <w:basedOn w:val="DefaultParagraphFont"/>
    <w:qFormat/>
    <w:rPr/>
  </w:style>
  <w:style w:type="character" w:styleId="Style13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Pr>
      <w:b/>
      <w:sz w:val="28"/>
    </w:rPr>
  </w:style>
  <w:style w:type="character" w:styleId="12" w:customStyle="1">
    <w:name w:val="УРОВЕНЬ_1. Знак"/>
    <w:link w:val="19"/>
    <w:qFormat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qFormat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Pr>
      <w:sz w:val="16"/>
      <w:szCs w:val="16"/>
    </w:rPr>
  </w:style>
  <w:style w:type="character" w:styleId="Style14" w:customStyle="1">
    <w:name w:val="Ссылка указателя"/>
    <w:qFormat/>
    <w:rPr/>
  </w:style>
  <w:style w:type="character" w:styleId="Linenumber">
    <w:name w:val="line number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" w:customStyle="1">
    <w:name w:val="index heading111"/>
    <w:basedOn w:val="Title"/>
    <w:qFormat/>
    <w:pPr/>
    <w:rPr/>
  </w:style>
  <w:style w:type="paragraph" w:styleId="Style17" w:customStyle="1">
    <w:name w:val="Название раздела инструкции"/>
    <w:basedOn w:val="Normal"/>
    <w:autoRedefine/>
    <w:qFormat/>
    <w:pPr>
      <w:jc w:val="center"/>
    </w:pPr>
    <w:rPr>
      <w:b/>
    </w:rPr>
  </w:style>
  <w:style w:type="paragraph" w:styleId="Style18" w:customStyle="1">
    <w:name w:val="Раздел положения"/>
    <w:basedOn w:val="Normal"/>
    <w:autoRedefine/>
    <w:qFormat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9" w:customStyle="1">
    <w:name w:val="Подраздел раздела положения"/>
    <w:basedOn w:val="Normal"/>
    <w:autoRedefine/>
    <w:qFormat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pPr/>
    <w:rPr>
      <w:sz w:val="20"/>
      <w:szCs w:val="20"/>
    </w:rPr>
  </w:style>
  <w:style w:type="paragraph" w:styleId="14" w:customStyle="1">
    <w:name w:val="Шапка 1"/>
    <w:basedOn w:val="Normal"/>
    <w:qFormat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qFormat/>
    <w:pPr>
      <w:jc w:val="center"/>
    </w:pPr>
    <w:rPr>
      <w:szCs w:val="20"/>
      <w:lang w:val="x-none" w:eastAsia="x-none"/>
    </w:rPr>
  </w:style>
  <w:style w:type="paragraph" w:styleId="Style20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pPr>
      <w:ind w:left="360" w:hanging="0"/>
    </w:pPr>
    <w:rPr>
      <w:sz w:val="24"/>
      <w:szCs w:val="24"/>
    </w:rPr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pPr>
      <w:spacing w:lineRule="auto" w:line="480" w:before="0" w:after="120"/>
    </w:pPr>
    <w:rPr/>
  </w:style>
  <w:style w:type="paragraph" w:styleId="BlockText">
    <w:name w:val="Block Text"/>
    <w:basedOn w:val="Normal"/>
    <w:qFormat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1" w:customStyle="1">
    <w:name w:val="Подпункт"/>
    <w:basedOn w:val="Normal"/>
    <w:link w:val="11"/>
    <w:qFormat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pPr>
      <w:shd w:val="clear" w:color="auto" w:fill="FFFFFF"/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pPr>
      <w:shd w:val="clear" w:color="auto" w:fill="FFFFFF"/>
      <w:ind w:left="280" w:hanging="0"/>
    </w:pPr>
    <w:rPr>
      <w:rFonts w:cs="Calibri"/>
      <w:sz w:val="20"/>
      <w:szCs w:val="20"/>
    </w:rPr>
  </w:style>
  <w:style w:type="paragraph" w:styleId="Style22" w:customStyle="1">
    <w:name w:val="Раздел регламента"/>
    <w:basedOn w:val="Normal"/>
    <w:qFormat/>
    <w:pPr/>
    <w:rPr/>
  </w:style>
  <w:style w:type="paragraph" w:styleId="Style23" w:customStyle="1">
    <w:name w:val="Приложение к регламенту"/>
    <w:basedOn w:val="Normal"/>
    <w:qFormat/>
    <w:pPr>
      <w:jc w:val="right"/>
    </w:pPr>
    <w:rPr/>
  </w:style>
  <w:style w:type="paragraph" w:styleId="TOC2">
    <w:name w:val="TOC 2"/>
    <w:basedOn w:val="Normal"/>
    <w:next w:val="Normal"/>
    <w:autoRedefine/>
    <w:pPr>
      <w:spacing w:before="240" w:after="0"/>
    </w:pPr>
    <w:rPr>
      <w:rFonts w:cs="Calibri"/>
      <w:b/>
      <w:bCs/>
      <w:sz w:val="20"/>
      <w:szCs w:val="20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qFormat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16" w:customStyle="1">
    <w:name w:val="Обычный (веб)1"/>
    <w:basedOn w:val="Normal"/>
    <w:qFormat/>
    <w:pPr>
      <w:spacing w:before="280" w:after="280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pPr>
      <w:ind w:left="1960" w:hanging="0"/>
    </w:pPr>
    <w:rPr>
      <w:rFonts w:ascii="Calibri" w:hAnsi="Calibri" w:cs="Calibri"/>
      <w:sz w:val="20"/>
      <w:szCs w:val="20"/>
    </w:rPr>
  </w:style>
  <w:style w:type="paragraph" w:styleId="TOC5">
    <w:name w:val="TOC 5"/>
    <w:basedOn w:val="Normal"/>
    <w:next w:val="Normal"/>
    <w:autoRedefine/>
    <w:pPr>
      <w:ind w:left="840" w:hanging="0"/>
    </w:pPr>
    <w:rPr>
      <w:rFonts w:ascii="Calibri" w:hAnsi="Calibri" w:cs="Calibri"/>
      <w:sz w:val="20"/>
      <w:szCs w:val="20"/>
    </w:rPr>
  </w:style>
  <w:style w:type="paragraph" w:styleId="TOC4">
    <w:name w:val="TOC 4"/>
    <w:basedOn w:val="Normal"/>
    <w:next w:val="Normal"/>
    <w:autoRedefine/>
    <w:pPr>
      <w:shd w:val="clear" w:color="auto" w:fill="FFFFFF"/>
      <w:ind w:left="560" w:hanging="0"/>
    </w:pPr>
    <w:rPr>
      <w:rFonts w:cs="Calibri"/>
      <w:sz w:val="20"/>
      <w:szCs w:val="20"/>
    </w:rPr>
  </w:style>
  <w:style w:type="paragraph" w:styleId="25" w:customStyle="1">
    <w:name w:val="Раздел положения 2"/>
    <w:basedOn w:val="Normal"/>
    <w:qFormat/>
    <w:pPr>
      <w:pageBreakBefore/>
      <w:jc w:val="both"/>
      <w:outlineLvl w:val="0"/>
    </w:pPr>
    <w:rPr>
      <w:b/>
    </w:rPr>
  </w:style>
  <w:style w:type="paragraph" w:styleId="Style24" w:customStyle="1">
    <w:name w:val="Знак Знак Знак Знак Знак Знак Знак Знак Знак"/>
    <w:basedOn w:val="Normal"/>
    <w:qFormat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qFormat/>
    <w:pPr>
      <w:spacing w:lineRule="auto" w:line="360"/>
    </w:pPr>
    <w:rPr>
      <w:rFonts w:eastAsia="Calibri"/>
      <w:sz w:val="24"/>
      <w:szCs w:val="24"/>
    </w:rPr>
  </w:style>
  <w:style w:type="paragraph" w:styleId="Caption1111" w:customStyle="1">
    <w:name w:val="caption1111"/>
    <w:basedOn w:val="Normal"/>
    <w:next w:val="Normal"/>
    <w:qFormat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qFormat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qFormat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qFormat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qFormat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qFormat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qFormat/>
    <w:pPr/>
    <w:rPr>
      <w:rFonts w:eastAsia="Calibri"/>
      <w:sz w:val="24"/>
      <w:szCs w:val="24"/>
      <w:lang w:val="x-none" w:eastAsia="x-none"/>
    </w:rPr>
  </w:style>
  <w:style w:type="paragraph" w:styleId="Style25" w:customStyle="1">
    <w:name w:val="Знак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6" w:customStyle="1">
    <w:name w:val="Пункт"/>
    <w:basedOn w:val="Normal"/>
    <w:qFormat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7" w:customStyle="1">
    <w:name w:val="Таблица"/>
    <w:basedOn w:val="Normal"/>
    <w:qFormat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8" w:customStyle="1">
    <w:name w:val="Таблица шапка"/>
    <w:basedOn w:val="Normal"/>
    <w:qFormat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9" w:customStyle="1">
    <w:name w:val="Подподпункт"/>
    <w:basedOn w:val="Style21"/>
    <w:link w:val="Style9"/>
    <w:qFormat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0" w:customStyle="1">
    <w:name w:val="УРОВЕНЬ_(а)"/>
    <w:basedOn w:val="ListParagraph"/>
    <w:qFormat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1" w:customStyle="1">
    <w:name w:val="УРОВЕНЬ_Подпись"/>
    <w:basedOn w:val="ListParagraph"/>
    <w:qFormat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pPr/>
    <w:rPr>
      <w:sz w:val="20"/>
      <w:szCs w:val="20"/>
    </w:rPr>
  </w:style>
  <w:style w:type="paragraph" w:styleId="28" w:customStyle="1">
    <w:name w:val="Заголовок 2 КВВ"/>
    <w:basedOn w:val="Normal"/>
    <w:qFormat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2" w:customStyle="1">
    <w:name w:val="Таблица текст"/>
    <w:basedOn w:val="Normal"/>
    <w:qFormat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qFormat/>
    <w:pPr>
      <w:spacing w:before="280" w:after="280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pPr>
      <w:ind w:left="1120" w:hanging="0"/>
    </w:pPr>
    <w:rPr>
      <w:rFonts w:ascii="Calibri" w:hAnsi="Calibri" w:cs="Calibri"/>
      <w:sz w:val="20"/>
      <w:szCs w:val="20"/>
    </w:rPr>
  </w:style>
  <w:style w:type="paragraph" w:styleId="TOC7">
    <w:name w:val="TOC 7"/>
    <w:basedOn w:val="Normal"/>
    <w:next w:val="Normal"/>
    <w:autoRedefine/>
    <w:pPr>
      <w:ind w:left="1400" w:hanging="0"/>
    </w:pPr>
    <w:rPr>
      <w:rFonts w:ascii="Calibri" w:hAnsi="Calibri" w:cs="Calibri"/>
      <w:sz w:val="20"/>
      <w:szCs w:val="20"/>
    </w:rPr>
  </w:style>
  <w:style w:type="paragraph" w:styleId="TOC8">
    <w:name w:val="TOC 8"/>
    <w:basedOn w:val="Normal"/>
    <w:next w:val="Normal"/>
    <w:autoRedefine/>
    <w:pPr>
      <w:ind w:left="1680" w:hanging="0"/>
    </w:pPr>
    <w:rPr>
      <w:rFonts w:ascii="Calibri" w:hAnsi="Calibri" w:cs="Calibri"/>
      <w:sz w:val="20"/>
      <w:szCs w:val="20"/>
    </w:rPr>
  </w:style>
  <w:style w:type="paragraph" w:styleId="Style33" w:customStyle="1">
    <w:name w:val="Содержимое врезки"/>
    <w:basedOn w:val="Normal"/>
    <w:qFormat/>
    <w:pPr/>
    <w:rPr/>
  </w:style>
  <w:style w:type="paragraph" w:styleId="Style34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5" w:customStyle="1">
    <w:name w:val="Заголовок таблицы"/>
    <w:basedOn w:val="Style34"/>
    <w:qFormat/>
    <w:pPr>
      <w:jc w:val="center"/>
    </w:pPr>
    <w:rPr>
      <w:b/>
      <w:bCs/>
    </w:rPr>
  </w:style>
  <w:style w:type="paragraph" w:styleId="Style36" w:customStyle="1">
    <w:name w:val="ККГЭС Текст"/>
    <w:basedOn w:val="Normal"/>
    <w:qFormat/>
    <w:pPr>
      <w:spacing w:before="60" w:after="60"/>
      <w:ind w:firstLine="708"/>
    </w:pPr>
    <w:rPr>
      <w:rFonts w:eastAsia="Calibri"/>
      <w:sz w:val="24"/>
      <w:szCs w:val="24"/>
      <w:lang w:eastAsia="en-US"/>
    </w:rPr>
  </w:style>
  <w:style w:type="paragraph" w:styleId="Style91" w:customStyle="1">
    <w:name w:val="Style9"/>
    <w:basedOn w:val="Normal"/>
    <w:qFormat/>
    <w:pPr>
      <w:widowControl w:val="false"/>
      <w:jc w:val="both"/>
    </w:pPr>
    <w:rPr>
      <w:sz w:val="24"/>
      <w:szCs w:val="24"/>
    </w:rPr>
  </w:style>
  <w:style w:type="paragraph" w:styleId="Style71" w:customStyle="1">
    <w:name w:val="Style7"/>
    <w:basedOn w:val="Normal"/>
    <w:qFormat/>
    <w:pPr>
      <w:widowControl w:val="false"/>
      <w:spacing w:lineRule="exact" w:line="264"/>
      <w:jc w:val="both"/>
    </w:pPr>
    <w:rPr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qFormat/>
  </w:style>
  <w:style w:type="numbering" w:styleId="29" w:customStyle="1">
    <w:name w:val="Стиль2"/>
    <w:qFormat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1406</TotalTime>
  <Application>AlterOffice/3.4.0.9$Linux_X86_64 LibreOffice_project/b8daf9e823b1a5463a2f48435ddc2e8696e7d4fc</Application>
  <AppVersion>15.0000</AppVersion>
  <Pages>10</Pages>
  <Words>1445</Words>
  <Characters>9556</Characters>
  <CharactersWithSpaces>10988</CharactersWithSpaces>
  <Paragraphs>274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2024-06-11T10:35:00Z</dcterms:created>
  <dc:creator>Быстров Олег Геннадьевич</dc:creator>
  <dc:description/>
  <dc:language>ru-RU</dc:language>
  <cp:lastModifiedBy>zabelkinans@corp.gidroogk.com</cp:lastModifiedBy>
  <cp:lastPrinted>2026-07-29T13:18:06Z</cp:lastPrinted>
  <dcterms:modified xsi:type="dcterms:W3CDTF">2026-07-29T15:04:06Z</dcterms:modified>
  <cp:revision>22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