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2"/>
        <w:shd w:val="clear" w:color="auto" w:fill="auto"/>
        <w:spacing w:lineRule="auto" w:line="264"/>
        <w:rPr>
          <w:b/>
          <w:sz w:val="24"/>
          <w:szCs w:val="24"/>
        </w:rPr>
      </w:pPr>
      <w:r>
        <w:rPr>
          <w:rStyle w:val="Style6"/>
          <w:b/>
          <w:sz w:val="24"/>
          <w:szCs w:val="24"/>
        </w:rPr>
        <w:t xml:space="preserve">            </w:t>
      </w:r>
    </w:p>
    <w:tbl>
      <w:tblPr>
        <w:tblW w:w="9720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226"/>
        <w:gridCol w:w="5493"/>
      </w:tblGrid>
      <w:tr>
        <w:trPr>
          <w:trHeight w:val="2518" w:hRule="atLeast"/>
        </w:trPr>
        <w:tc>
          <w:tcPr>
            <w:tcW w:w="4226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402" w:leader="none"/>
              </w:tabs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493" w:type="dxa"/>
            <w:tcBorders/>
          </w:tcPr>
          <w:p>
            <w:pPr>
              <w:pStyle w:val="NoSpacing"/>
              <w:widowControl w:val="false"/>
              <w:jc w:val="right"/>
              <w:rPr/>
            </w:pPr>
            <w:r>
              <w:rPr/>
            </w:r>
          </w:p>
        </w:tc>
      </w:tr>
    </w:tbl>
    <w:p>
      <w:pPr>
        <w:pStyle w:val="12"/>
        <w:shd w:val="clear" w:color="auto" w:fill="auto"/>
        <w:spacing w:lineRule="auto" w:line="264"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12"/>
        <w:shd w:val="clear" w:color="auto" w:fill="auto"/>
        <w:spacing w:lineRule="auto" w:line="264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Технические требования </w:t>
      </w:r>
    </w:p>
    <w:p>
      <w:pPr>
        <w:pStyle w:val="12"/>
        <w:shd w:val="clear" w:color="auto" w:fill="auto"/>
        <w:spacing w:lineRule="auto" w:line="26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12"/>
        <w:shd w:val="clear" w:color="auto" w:fill="auto"/>
        <w:spacing w:lineRule="exact" w:line="331" w:before="0" w:after="263"/>
        <w:ind w:left="60" w:hanging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ОКПД2 28.22.19 Поставка блоков для </w:t>
      </w:r>
      <w:r>
        <w:rPr>
          <w:sz w:val="24"/>
          <w:szCs w:val="24"/>
        </w:rPr>
        <w:t>подъёмного сооружения</w:t>
      </w:r>
      <w:r>
        <w:rPr>
          <w:sz w:val="24"/>
          <w:szCs w:val="24"/>
        </w:rPr>
        <w:t xml:space="preserve"> ст. №9 г/п 50/10 тс </w:t>
      </w:r>
      <w:r>
        <w:rPr>
          <w:bCs/>
          <w:color w:val="000000"/>
          <w:sz w:val="24"/>
          <w:szCs w:val="24"/>
          <w:lang w:eastAsia="en-US"/>
        </w:rPr>
        <w:t>для нужд Саратовского филиала</w:t>
      </w:r>
    </w:p>
    <w:p>
      <w:pPr>
        <w:pStyle w:val="12"/>
        <w:shd w:val="clear" w:color="auto" w:fill="auto"/>
        <w:spacing w:lineRule="exact" w:line="331" w:before="0" w:after="263"/>
        <w:ind w:left="60" w:hanging="0"/>
        <w:jc w:val="center"/>
        <w:rPr>
          <w:shd w:fill="auto" w:val="clear"/>
        </w:rPr>
      </w:pPr>
      <w:r>
        <w:rPr>
          <w:sz w:val="24"/>
          <w:szCs w:val="24"/>
          <w:shd w:fill="auto" w:val="clear"/>
        </w:rPr>
        <w:t xml:space="preserve">Лот № </w:t>
      </w:r>
    </w:p>
    <w:p>
      <w:pPr>
        <w:pStyle w:val="12"/>
        <w:shd w:val="clear" w:color="auto" w:fill="auto"/>
        <w:spacing w:lineRule="exact" w:line="331" w:before="0" w:after="263"/>
        <w:ind w:left="60" w:hanging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12"/>
        <w:shd w:val="clear" w:color="auto" w:fill="auto"/>
        <w:spacing w:lineRule="exact" w:line="331" w:before="0" w:after="263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2"/>
        <w:shd w:val="clear" w:color="auto" w:fill="auto"/>
        <w:spacing w:lineRule="exact" w:line="331" w:before="0" w:after="263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2"/>
        <w:shd w:val="clear" w:color="auto" w:fill="auto"/>
        <w:spacing w:lineRule="exact" w:line="331" w:before="0" w:after="263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2"/>
        <w:shd w:val="clear" w:color="auto" w:fill="auto"/>
        <w:spacing w:lineRule="exact" w:line="331" w:before="0" w:after="263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2"/>
        <w:shd w:val="clear" w:color="auto" w:fill="auto"/>
        <w:spacing w:lineRule="exact" w:line="331" w:before="0" w:after="263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2"/>
        <w:shd w:val="clear" w:color="auto" w:fill="auto"/>
        <w:spacing w:lineRule="exact" w:line="331" w:before="0" w:after="263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2"/>
        <w:shd w:val="clear" w:color="auto" w:fill="auto"/>
        <w:spacing w:lineRule="exact" w:line="331" w:before="0" w:after="263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2"/>
        <w:shd w:val="clear" w:color="auto" w:fill="auto"/>
        <w:spacing w:lineRule="exact" w:line="331" w:before="0" w:after="263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2"/>
        <w:shd w:val="clear" w:color="auto" w:fill="auto"/>
        <w:spacing w:lineRule="exact" w:line="331" w:before="0" w:after="263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2"/>
        <w:shd w:val="clear" w:color="auto" w:fill="auto"/>
        <w:spacing w:lineRule="exact" w:line="331" w:before="0" w:after="263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2"/>
        <w:shd w:val="clear" w:color="auto" w:fill="auto"/>
        <w:spacing w:lineRule="exact" w:line="331" w:before="0" w:after="263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2"/>
        <w:shd w:val="clear" w:color="auto" w:fill="auto"/>
        <w:spacing w:lineRule="exact" w:line="331" w:before="0" w:after="263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2"/>
        <w:shd w:val="clear" w:color="auto" w:fill="auto"/>
        <w:spacing w:lineRule="exact" w:line="331" w:before="0" w:after="263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2"/>
        <w:shd w:val="clear" w:color="auto" w:fill="auto"/>
        <w:spacing w:lineRule="exact" w:line="331" w:before="0" w:after="263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2"/>
        <w:numPr>
          <w:ilvl w:val="0"/>
          <w:numId w:val="0"/>
        </w:numPr>
        <w:shd w:val="clear" w:color="auto" w:fill="auto"/>
        <w:spacing w:lineRule="exact" w:line="331" w:before="0" w:after="263"/>
        <w:ind w:left="0" w:hanging="0"/>
        <w:jc w:val="center"/>
        <w:outlineLvl w:val="0"/>
        <w:rPr>
          <w:sz w:val="24"/>
          <w:szCs w:val="24"/>
        </w:rPr>
      </w:pPr>
      <w:bookmarkStart w:id="0" w:name="__RefHeading___Toc5330_646910711"/>
      <w:bookmarkStart w:id="1" w:name="_Toc200371569"/>
      <w:bookmarkEnd w:id="0"/>
      <w:r>
        <w:rPr>
          <w:b/>
          <w:sz w:val="24"/>
          <w:szCs w:val="24"/>
        </w:rPr>
        <w:t>1. Общие сведения</w:t>
      </w:r>
      <w:bookmarkEnd w:id="1"/>
    </w:p>
    <w:p>
      <w:pPr>
        <w:pStyle w:val="Heading2"/>
        <w:numPr>
          <w:ilvl w:val="0"/>
          <w:numId w:val="0"/>
        </w:numPr>
        <w:suppressAutoHyphens w:val="false"/>
        <w:spacing w:lineRule="auto" w:line="264" w:before="0" w:after="0"/>
        <w:ind w:left="0" w:hanging="0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_RefHeading___Toc5332_646910711"/>
      <w:bookmarkStart w:id="3" w:name="_Toc200371570"/>
      <w:bookmarkEnd w:id="2"/>
      <w:r>
        <w:rPr>
          <w:rFonts w:cs="Times New Roman" w:ascii="Times New Roman" w:hAnsi="Times New Roman"/>
          <w:color w:val="000000"/>
          <w:sz w:val="24"/>
          <w:szCs w:val="24"/>
        </w:rPr>
        <w:t>1. 1. Наименование закупаемой продукции</w:t>
      </w:r>
      <w:bookmarkEnd w:id="3"/>
    </w:p>
    <w:p>
      <w:pPr>
        <w:pStyle w:val="Normal"/>
        <w:spacing w:before="0" w:after="0"/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</w:pPr>
      <w:r>
        <w:rPr>
          <w:rFonts w:cs="Times New Roman" w:ascii="Times New Roman" w:hAnsi="Times New Roman"/>
          <w:bCs/>
          <w:color w:val="000000"/>
          <w:sz w:val="24"/>
          <w:szCs w:val="24"/>
          <w:lang w:eastAsia="en-US"/>
        </w:rPr>
        <w:t>ОКПД2 28.22.19 Поставка</w:t>
      </w:r>
      <w:r>
        <w:rPr>
          <w:sz w:val="24"/>
          <w:szCs w:val="24"/>
        </w:rPr>
        <w:t xml:space="preserve"> блоков для ПС ст. №9 г/п 50/10 тс Саратовской</w:t>
      </w:r>
      <w:r>
        <w:rPr>
          <w:bCs/>
          <w:color w:val="000000"/>
          <w:sz w:val="24"/>
          <w:szCs w:val="24"/>
          <w:lang w:eastAsia="en-US"/>
        </w:rPr>
        <w:t xml:space="preserve"> ГЭС</w:t>
      </w:r>
    </w:p>
    <w:p>
      <w:pPr>
        <w:pStyle w:val="ListParagraph"/>
        <w:numPr>
          <w:ilvl w:val="0"/>
          <w:numId w:val="0"/>
        </w:numPr>
        <w:spacing w:lineRule="auto" w:line="264" w:before="0" w:after="0"/>
        <w:ind w:left="0" w:hanging="0"/>
        <w:contextualSpacing/>
        <w:outlineLvl w:val="1"/>
        <w:rPr>
          <w:sz w:val="24"/>
          <w:szCs w:val="24"/>
        </w:rPr>
      </w:pPr>
      <w:r>
        <w:rPr/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120" w:after="60"/>
        <w:ind w:left="357" w:hanging="35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4" w:name="_Toc200371572"/>
      <w:r>
        <w:rPr>
          <w:rFonts w:eastAsia="Calibri" w:cs="Times New Roman" w:ascii="Times New Roman" w:hAnsi="Times New Roman"/>
          <w:b/>
          <w:iCs/>
          <w:sz w:val="24"/>
          <w:szCs w:val="24"/>
        </w:rPr>
        <w:t>2. Требования к продукции</w:t>
      </w:r>
      <w:bookmarkEnd w:id="4"/>
    </w:p>
    <w:p>
      <w:pPr>
        <w:pStyle w:val="Normal"/>
        <w:keepNext w:val="true"/>
        <w:numPr>
          <w:ilvl w:val="0"/>
          <w:numId w:val="0"/>
        </w:numPr>
        <w:spacing w:lineRule="auto" w:line="240" w:before="120" w:after="60"/>
        <w:ind w:left="432" w:hanging="432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</w:rPr>
        <w:t>2.1. Требования к объемам и срокам поставки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2.1.1. Перечень и объем закупаемой продукции</w:t>
      </w:r>
    </w:p>
    <w:p>
      <w:pPr>
        <w:pStyle w:val="Heading3"/>
        <w:numPr>
          <w:ilvl w:val="2"/>
          <w:numId w:val="1"/>
        </w:numPr>
        <w:ind w:left="2148" w:hanging="2148"/>
        <w:rPr>
          <w:color w:val="auto"/>
          <w:sz w:val="24"/>
          <w:szCs w:val="24"/>
        </w:rPr>
      </w:pPr>
      <w:bookmarkStart w:id="5" w:name="__RefHeading___Toc5338_646910711"/>
      <w:bookmarkStart w:id="6" w:name="_Toc200371573"/>
      <w:bookmarkEnd w:id="5"/>
      <w:r>
        <w:rPr>
          <w:color w:val="auto"/>
          <w:sz w:val="24"/>
          <w:szCs w:val="24"/>
        </w:rPr>
        <w:t>Таблица 1. Перечень и объем закупаемой продукции</w:t>
      </w:r>
      <w:bookmarkEnd w:id="6"/>
    </w:p>
    <w:tbl>
      <w:tblPr>
        <w:tblW w:w="935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51"/>
        <w:gridCol w:w="4951"/>
        <w:gridCol w:w="2595"/>
        <w:gridCol w:w="958"/>
      </w:tblGrid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№</w:t>
            </w:r>
          </w:p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>
        <w:trPr>
          <w:trHeight w:val="117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napToGrid w:val="false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Блок Ø 700 мм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lang w:val="en-US"/>
              </w:rPr>
              <w:t>шт.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Блок Ø 700 мм (с пазами в ступице)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120" w:after="60"/>
        <w:ind w:left="0" w:hanging="0"/>
        <w:outlineLvl w:val="2"/>
        <w:rPr>
          <w:rFonts w:ascii="Times New Roman" w:hAnsi="Times New Roman" w:cs="Times New Roman"/>
          <w:sz w:val="24"/>
          <w:szCs w:val="24"/>
        </w:rPr>
      </w:pPr>
      <w:bookmarkStart w:id="7" w:name="_Toc200371574"/>
      <w:r>
        <w:rPr>
          <w:rFonts w:eastAsia="Calibri" w:cs="Times New Roman" w:ascii="Times New Roman" w:hAnsi="Times New Roman"/>
          <w:b/>
          <w:bCs/>
          <w:sz w:val="24"/>
          <w:szCs w:val="24"/>
        </w:rPr>
        <w:t>2.1.2. Требования к срокам поставки продукции</w:t>
      </w:r>
      <w:bookmarkEnd w:id="7"/>
    </w:p>
    <w:p>
      <w:pPr>
        <w:pStyle w:val="Heading3"/>
        <w:numPr>
          <w:ilvl w:val="2"/>
          <w:numId w:val="1"/>
        </w:numPr>
        <w:ind w:left="2148" w:hanging="2148"/>
        <w:jc w:val="both"/>
        <w:rPr>
          <w:color w:val="auto"/>
          <w:sz w:val="24"/>
          <w:szCs w:val="24"/>
        </w:rPr>
      </w:pPr>
      <w:bookmarkStart w:id="8" w:name="__RefHeading___Toc5342_646910711"/>
      <w:bookmarkStart w:id="9" w:name="_Toc200371575"/>
      <w:bookmarkEnd w:id="8"/>
      <w:r>
        <w:rPr>
          <w:bCs w:val="false"/>
          <w:color w:val="auto"/>
          <w:sz w:val="24"/>
          <w:szCs w:val="24"/>
        </w:rPr>
        <w:t xml:space="preserve">Таблица 2. </w:t>
      </w:r>
      <w:bookmarkStart w:id="10" w:name="_Hlk50465284"/>
      <w:r>
        <w:rPr>
          <w:bCs w:val="false"/>
          <w:color w:val="auto"/>
          <w:sz w:val="24"/>
          <w:szCs w:val="24"/>
        </w:rPr>
        <w:t xml:space="preserve">Требования по срокам </w:t>
      </w:r>
      <w:bookmarkEnd w:id="10"/>
      <w:r>
        <w:rPr>
          <w:bCs w:val="false"/>
          <w:color w:val="auto"/>
          <w:sz w:val="24"/>
          <w:szCs w:val="24"/>
        </w:rPr>
        <w:t>поставки продукции</w:t>
      </w:r>
      <w:bookmarkEnd w:id="9"/>
      <w:r>
        <w:rPr>
          <w:bCs w:val="false"/>
          <w:color w:val="auto"/>
          <w:sz w:val="24"/>
          <w:szCs w:val="24"/>
        </w:rPr>
        <w:t xml:space="preserve"> </w:t>
      </w:r>
    </w:p>
    <w:tbl>
      <w:tblPr>
        <w:tblW w:w="935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52"/>
        <w:gridCol w:w="2721"/>
        <w:gridCol w:w="2993"/>
        <w:gridCol w:w="2789"/>
      </w:tblGrid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360" w:hanging="0"/>
              <w:contextualSpacing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соответствии с таблицей 1.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 даты подписания договора сторонами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90 календарных дней с даты подписания договора сторонами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.</w:t>
            </w:r>
          </w:p>
        </w:tc>
      </w:tr>
    </w:tbl>
    <w:p>
      <w:pPr>
        <w:sectPr>
          <w:type w:val="nextPage"/>
          <w:pgSz w:w="11906" w:h="16838"/>
          <w:pgMar w:left="1701" w:right="850" w:gutter="0" w:header="0" w:top="284" w:footer="0" w:bottom="113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4"/>
        <w:numPr>
          <w:ilvl w:val="0"/>
          <w:numId w:val="0"/>
        </w:numPr>
        <w:ind w:lef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</w:t>
      </w:r>
      <w:bookmarkStart w:id="11" w:name="_Toc51339698"/>
      <w:bookmarkStart w:id="12" w:name="_Toc75446581"/>
      <w:bookmarkStart w:id="13" w:name="_Toc46743511"/>
      <w:r>
        <w:rPr>
          <w:rFonts w:ascii="Times New Roman" w:hAnsi="Times New Roman"/>
          <w:sz w:val="24"/>
          <w:szCs w:val="24"/>
        </w:rPr>
        <w:t xml:space="preserve">Требования к </w:t>
      </w:r>
      <w:bookmarkEnd w:id="13"/>
      <w:r>
        <w:rPr>
          <w:rFonts w:ascii="Times New Roman" w:hAnsi="Times New Roman"/>
          <w:sz w:val="24"/>
          <w:szCs w:val="24"/>
        </w:rPr>
        <w:t>качеству продукции</w:t>
      </w:r>
      <w:bookmarkEnd w:id="12"/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eastAsia="x-none"/>
        </w:rPr>
        <w:t>Таблица 3. Требование к качеству</w:t>
      </w:r>
      <w:bookmarkEnd w:id="11"/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  <w:iCs/>
          <w:color w:val="000000"/>
          <w:sz w:val="24"/>
          <w:szCs w:val="24"/>
        </w:rPr>
        <w:t>Наименование продукции (позиции 1-8 Таблицы 1):</w:t>
      </w:r>
      <w:r>
        <w:rPr>
          <w:rFonts w:cs="Times New Roman" w:ascii="Times New Roman" w:hAnsi="Times New Roman"/>
          <w:b/>
          <w:bCs/>
          <w:iCs/>
          <w:color w:val="000000"/>
          <w:sz w:val="24"/>
          <w:szCs w:val="24"/>
          <w:shd w:fill="FFFFFF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ОКПД2 28.22.19 Поставка запасных частей для подъёмных сооружений Саратовской</w:t>
      </w:r>
      <w:r>
        <w:rPr>
          <w:rFonts w:cs="Times New Roman" w:ascii="Times New Roman" w:hAnsi="Times New Roman"/>
          <w:bCs/>
          <w:color w:val="000000"/>
          <w:sz w:val="24"/>
          <w:szCs w:val="24"/>
          <w:lang w:eastAsia="en-US"/>
        </w:rPr>
        <w:t xml:space="preserve"> ГЭС</w:t>
      </w:r>
    </w:p>
    <w:tbl>
      <w:tblPr>
        <w:tblW w:w="15398" w:type="dxa"/>
        <w:jc w:val="left"/>
        <w:tblInd w:w="0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val="0000" w:noHBand="0" w:noVBand="0" w:firstColumn="0" w:lastRow="0" w:lastColumn="0" w:firstRow="0"/>
      </w:tblPr>
      <w:tblGrid>
        <w:gridCol w:w="1016"/>
        <w:gridCol w:w="4644"/>
        <w:gridCol w:w="4541"/>
        <w:gridCol w:w="2693"/>
        <w:gridCol w:w="2504"/>
      </w:tblGrid>
      <w:tr>
        <w:trPr/>
        <w:tc>
          <w:tcPr>
            <w:tcW w:w="1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4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Требование заказчика</w:t>
            </w:r>
          </w:p>
        </w:tc>
        <w:tc>
          <w:tcPr>
            <w:tcW w:w="5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101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Согласие с требованием/ указание характеристик</w:t>
            </w:r>
          </w:p>
        </w:tc>
        <w:tc>
          <w:tcPr>
            <w:tcW w:w="2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>
          <w:trHeight w:val="158" w:hRule="atLeast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9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Основные требования к техническим и функциональным характеристикам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5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Блок Ø 700 мм</w:t>
            </w:r>
          </w:p>
        </w:tc>
        <w:tc>
          <w:tcPr>
            <w:tcW w:w="4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Чертёж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  <w:lang w:val="en-US"/>
              </w:rPr>
              <w:t>НС3-5296</w:t>
            </w:r>
          </w:p>
        </w:tc>
        <w:tc>
          <w:tcPr>
            <w:tcW w:w="269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60" w:hanging="326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Блок Ø 700 мм (с пазами в ступице)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Чертёж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НС3-5296 (с пазами в ступице)</w:t>
            </w:r>
          </w:p>
        </w:tc>
        <w:tc>
          <w:tcPr>
            <w:tcW w:w="269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cs="Times New Roman"/>
                <w:sz w:val="24"/>
                <w:szCs w:val="24"/>
                <w:lang w:val="en-US" w:eastAsia="x-none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en-US" w:eastAsia="x-none"/>
              </w:rPr>
              <w:t>2.</w:t>
            </w:r>
          </w:p>
        </w:tc>
        <w:tc>
          <w:tcPr>
            <w:tcW w:w="9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Требования к доставке, маркировке, упаковке, транспортировке, приемке</w:t>
            </w:r>
          </w:p>
        </w:tc>
        <w:tc>
          <w:tcPr>
            <w:tcW w:w="2693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 w:eastAsia="x-none"/>
              </w:rPr>
              <w:t>2</w:t>
            </w:r>
            <w:r>
              <w:rPr>
                <w:rFonts w:cs="Times New Roman" w:ascii="Times New Roman" w:hAnsi="Times New Roman"/>
                <w:sz w:val="24"/>
                <w:szCs w:val="24"/>
                <w:lang w:eastAsia="x-none"/>
              </w:rPr>
              <w:t>.1.</w:t>
            </w:r>
          </w:p>
        </w:tc>
        <w:tc>
          <w:tcPr>
            <w:tcW w:w="46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4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РФ, 413840, Саратовская обл., г. Балаково, территория филиала ПАО «РусГидро»-«Саратовская ГЭС».</w:t>
            </w:r>
          </w:p>
        </w:tc>
        <w:tc>
          <w:tcPr>
            <w:tcW w:w="2693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 w:eastAsia="x-none"/>
              </w:rPr>
              <w:t>2</w:t>
            </w:r>
            <w:r>
              <w:rPr>
                <w:rFonts w:cs="Times New Roman" w:ascii="Times New Roman" w:hAnsi="Times New Roman"/>
                <w:sz w:val="24"/>
                <w:szCs w:val="24"/>
                <w:lang w:eastAsia="x-none"/>
              </w:rPr>
              <w:t>.2.</w:t>
            </w:r>
          </w:p>
        </w:tc>
        <w:tc>
          <w:tcPr>
            <w:tcW w:w="46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Требования к условиям транспортировки</w:t>
            </w:r>
          </w:p>
        </w:tc>
        <w:tc>
          <w:tcPr>
            <w:tcW w:w="4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Обеспечение сохранности проектных параметров продукции, упаковки (тары).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Поставщик должен обеспечить поставку продукции собственными силами и средствами, а при необходимости привлекать для исполнения своих обязательств третьих лиц. При привлечении третьих лиц (соисполнителей) Поставщик несет ответственность перед Заказчиком за неисполнение или ненадлежащее исполнение обязательств привлеченными к исполнению договора третьими лицами.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Поставка производится на склад Грузополучателя в г. Балаково в рабочие дни с 8-00 до 12-00 и с 13-00 до 16-00 (по местному времени).</w:t>
            </w:r>
          </w:p>
          <w:p>
            <w:pPr>
              <w:pStyle w:val="ListParagraph"/>
              <w:widowControl w:val="false"/>
              <w:tabs>
                <w:tab w:val="clear" w:pos="720"/>
                <w:tab w:val="left" w:pos="284" w:leader="none"/>
              </w:tabs>
              <w:spacing w:lineRule="auto" w:line="240" w:before="0" w:after="2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Информация о транспорте, на котором осуществляется доставка Продукции, для оформления допуска на территорию Филиала ПАО «РусГидро» - «Саратовская ГЭС» предоставляется Поставщиком Покупателю не позднее </w:t>
            </w:r>
            <w:r>
              <w:rPr>
                <w:bCs/>
                <w:sz w:val="24"/>
                <w:szCs w:val="24"/>
                <w:lang w:eastAsia="en-US"/>
              </w:rPr>
              <w:t>чем за 2 рабочих дня, предшествующих дню поставки.</w:t>
            </w:r>
          </w:p>
        </w:tc>
        <w:tc>
          <w:tcPr>
            <w:tcW w:w="2693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60" w:after="60"/>
              <w:ind w:left="25" w:hanging="0"/>
              <w:contextualSpacing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val="en-US" w:eastAsia="x-none"/>
              </w:rPr>
              <w:t>2</w:t>
            </w:r>
            <w:r>
              <w:rPr>
                <w:sz w:val="24"/>
                <w:szCs w:val="24"/>
                <w:lang w:eastAsia="x-none"/>
              </w:rPr>
              <w:t>.3.</w:t>
            </w:r>
          </w:p>
        </w:tc>
        <w:tc>
          <w:tcPr>
            <w:tcW w:w="46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Маркировка</w:t>
            </w:r>
          </w:p>
        </w:tc>
        <w:tc>
          <w:tcPr>
            <w:tcW w:w="4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На каждой упаковке полное наименование продукции</w:t>
            </w:r>
          </w:p>
        </w:tc>
        <w:tc>
          <w:tcPr>
            <w:tcW w:w="269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60" w:after="60"/>
              <w:ind w:left="25" w:hanging="0"/>
              <w:contextualSpacing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val="en-US" w:eastAsia="x-none"/>
              </w:rPr>
              <w:t>2</w:t>
            </w:r>
            <w:r>
              <w:rPr>
                <w:sz w:val="24"/>
                <w:szCs w:val="24"/>
                <w:lang w:eastAsia="x-none"/>
              </w:rPr>
              <w:t>.4</w:t>
            </w:r>
          </w:p>
        </w:tc>
        <w:tc>
          <w:tcPr>
            <w:tcW w:w="46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Приемка</w:t>
            </w:r>
          </w:p>
        </w:tc>
        <w:tc>
          <w:tcPr>
            <w:tcW w:w="4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Соответствие продукции и представленных документов договору и техническим требованиям в полном соответствии с конструкторской документацией (чертежам).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Наличие документов, удостоверяющие качество продукции согласно   настоящего ТТ.</w:t>
            </w:r>
          </w:p>
        </w:tc>
        <w:tc>
          <w:tcPr>
            <w:tcW w:w="26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 w:eastAsia="x-none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 w:eastAsia="x-none"/>
              </w:rPr>
              <w:t>3</w:t>
            </w:r>
          </w:p>
        </w:tc>
        <w:tc>
          <w:tcPr>
            <w:tcW w:w="918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60" w:after="60"/>
              <w:ind w:left="-117" w:hanging="0"/>
              <w:contextualSpacing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val="en-US" w:eastAsia="x-none"/>
              </w:rPr>
              <w:t>3</w:t>
            </w:r>
            <w:r>
              <w:rPr>
                <w:sz w:val="24"/>
                <w:szCs w:val="24"/>
                <w:lang w:eastAsia="x-none"/>
              </w:rPr>
              <w:t>.1</w:t>
            </w:r>
          </w:p>
        </w:tc>
        <w:tc>
          <w:tcPr>
            <w:tcW w:w="46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 w:eastAsia="ru-RU"/>
              </w:rPr>
              <w:t>Г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арантия</w:t>
            </w:r>
          </w:p>
        </w:tc>
        <w:tc>
          <w:tcPr>
            <w:tcW w:w="45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36 (тридцать шесть) месяцев, исчисляемые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 w:eastAsia="x-none"/>
              </w:rPr>
              <w:t>4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918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6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 w:eastAsia="x-none"/>
              </w:rPr>
              <w:t>4</w:t>
            </w:r>
            <w:r>
              <w:rPr>
                <w:rFonts w:cs="Times New Roman" w:ascii="Times New Roman" w:hAnsi="Times New Roman"/>
                <w:sz w:val="24"/>
                <w:szCs w:val="24"/>
                <w:lang w:eastAsia="x-none"/>
              </w:rPr>
              <w:t>.1.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Документы о качестве продукции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 поставке продукция должна быть укомплектована документами на русском языке, удостоверяющими качество продукции и гарантийные обязательства производителя, выданными производителем продукции.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Документы, предоставляемые при поставке продукции (на русском языке):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паспорт (сертификат) на каждое наименование продукции, с указанием в нем кол-ва продукции, соответствия нормативным показателям, даты изготовления, отметками о проверке ОТК;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1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- копии сертификатов на применяемые материалы и составные части продукции;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- гарантийный талон или другой документ, выполнение требований которого является 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условием выполнения гарантийных обязательств производителя или Поставщика, иные документы подтверждающие качество.</w:t>
            </w:r>
          </w:p>
        </w:tc>
        <w:tc>
          <w:tcPr>
            <w:tcW w:w="26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60" w:after="60"/>
              <w:ind w:left="25" w:hanging="0"/>
              <w:contextualSpacing/>
              <w:rPr>
                <w:b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  <w:lang w:val="en-US" w:eastAsia="x-none"/>
              </w:rPr>
              <w:t>5</w:t>
            </w:r>
            <w:r>
              <w:rPr>
                <w:b/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9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Прочие требования к продукции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60" w:after="60"/>
              <w:ind w:left="25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x-none"/>
              </w:rPr>
              <w:t>5</w:t>
            </w:r>
            <w:r>
              <w:rPr>
                <w:sz w:val="24"/>
                <w:szCs w:val="24"/>
                <w:lang w:eastAsia="x-none"/>
              </w:rPr>
              <w:t>.1.</w:t>
            </w:r>
          </w:p>
        </w:tc>
        <w:tc>
          <w:tcPr>
            <w:tcW w:w="9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Продукция должна быть изготовлена и поставлена в объёме спецификаций к сборочным чертежам.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Продукция должна соответствовать обязательным требованиям, установленным нормативными документами, действующими в РФ, а также параметрам и требованиям конструкторской документации.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Продукция должна быть новой, ранее не использовавшейся.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Для изготовления Продукции Заказчик предоставляет Поставщику чертежи согласно Приложения №1 к Техническим требованиям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5321" w:leader="none"/>
              </w:tabs>
              <w:overflowPunct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Поставщик обязан безусловно: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1276" w:leader="none"/>
              </w:tabs>
              <w:overflowPunct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использовать Чертежи исключительно для целей, для которых они были предоставлены;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1276" w:leader="none"/>
              </w:tabs>
              <w:overflowPunct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не разглашать, не обсуждать содержание, не предоставлять копий, не публиковать и не раскрывать в какой-либо иной форме третьим лицам информацию, содержащуюся в Чертежах без получения предварительного письменного согласия Покупателя, если иное не предусмотрено законодательством Российской Федерации;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1276" w:leader="none"/>
              </w:tabs>
              <w:overflowPunct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не осуществлять действий (бездействия), результатом которых может быть несанкционированная передача Чертежей или содержащейся в них информации третьим лицам;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1276" w:leader="none"/>
              </w:tabs>
              <w:overflowPunct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не разглашать третьим лицам факта передачи или получения Чертежей;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1276" w:leader="none"/>
              </w:tabs>
              <w:overflowPunct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раскрывать Информацию, содержащуюся в Чертежах только своим работникам, акционерам, членам Совета Директоров и аудиторам только в случае служебной необходимости в объеме, требуемом для исполнения Договора, оставаясь ответственным за действия таких лиц, как за свои собственные;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1276" w:leader="none"/>
              </w:tabs>
              <w:overflowPunct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Поставщик, нарушивший данные условия, возмещает Покупателю все понесенные расходы и убытки, вызванные таким нарушением, в течение 10 (десяти) дней с даты получения соответствующего требования.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Cs/>
          <w:sz w:val="24"/>
          <w:szCs w:val="24"/>
        </w:rPr>
      </w:r>
    </w:p>
    <w:p>
      <w:pPr>
        <w:pStyle w:val="Heading1"/>
        <w:numPr>
          <w:ilvl w:val="0"/>
          <w:numId w:val="0"/>
        </w:numPr>
        <w:spacing w:lineRule="auto" w:line="240"/>
        <w:ind w:left="0" w:hanging="0"/>
        <w:jc w:val="center"/>
        <w:rPr>
          <w:rFonts w:ascii="Times New Roman" w:hAnsi="Times New Roman" w:cs="Times New Roman"/>
          <w:sz w:val="24"/>
          <w:szCs w:val="24"/>
        </w:rPr>
      </w:pPr>
      <w:bookmarkStart w:id="14" w:name="__RefHeading___Toc5344_646910711"/>
      <w:bookmarkStart w:id="15" w:name="_Toc200371576"/>
      <w:bookmarkEnd w:id="14"/>
      <w:r>
        <w:rPr>
          <w:rFonts w:cs="Times New Roman" w:ascii="Times New Roman" w:hAnsi="Times New Roman"/>
          <w:iCs/>
          <w:sz w:val="24"/>
          <w:szCs w:val="24"/>
        </w:rPr>
        <w:t xml:space="preserve">3. </w:t>
      </w:r>
      <w:r>
        <w:rPr>
          <w:rFonts w:cs="Times New Roman" w:ascii="Times New Roman" w:hAnsi="Times New Roman"/>
          <w:sz w:val="24"/>
          <w:szCs w:val="24"/>
        </w:rPr>
        <w:t xml:space="preserve">    Требования к документации по ценообразованию на этапе закупки</w:t>
      </w:r>
      <w:bookmarkEnd w:id="15"/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  <w:iCs/>
          <w:sz w:val="24"/>
          <w:szCs w:val="24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 и в соответствии с требованиями таблицы 3.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  <w:iCs/>
          <w:sz w:val="24"/>
          <w:szCs w:val="24"/>
        </w:rPr>
        <w:t>3.2. Дополнительные документы по ценообразованию в состав заявки не включаются.</w:t>
      </w:r>
    </w:p>
    <w:p>
      <w:pPr>
        <w:pStyle w:val="Heading1"/>
        <w:numPr>
          <w:ilvl w:val="0"/>
          <w:numId w:val="0"/>
        </w:numPr>
        <w:spacing w:lineRule="auto" w:line="240"/>
        <w:ind w:left="0" w:hanging="0"/>
        <w:jc w:val="center"/>
        <w:rPr>
          <w:rFonts w:ascii="Times New Roman" w:hAnsi="Times New Roman" w:cs="Times New Roman"/>
          <w:sz w:val="24"/>
          <w:szCs w:val="24"/>
        </w:rPr>
      </w:pPr>
      <w:bookmarkStart w:id="16" w:name="__RefHeading___Toc5346_646910711"/>
      <w:bookmarkStart w:id="17" w:name="_Toc200371577"/>
      <w:bookmarkEnd w:id="16"/>
      <w:r>
        <w:rPr>
          <w:rFonts w:cs="Times New Roman" w:ascii="Times New Roman" w:hAnsi="Times New Roman"/>
          <w:sz w:val="24"/>
          <w:szCs w:val="24"/>
        </w:rPr>
        <w:t>4.    Приложения:</w:t>
      </w:r>
      <w:bookmarkEnd w:id="17"/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  <w:iCs/>
          <w:sz w:val="24"/>
          <w:szCs w:val="24"/>
        </w:rPr>
        <w:t>Чертежи: НС3-5296, НС3-5296 (с пазами в ступице)</w:t>
      </w:r>
      <w:bookmarkStart w:id="18" w:name="_GoBack"/>
      <w:bookmarkEnd w:id="18"/>
    </w:p>
    <w:p>
      <w:pPr>
        <w:pStyle w:val="Normal"/>
        <w:spacing w:lineRule="auto" w:line="240" w:before="0" w:after="20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headerReference w:type="default" r:id="rId2"/>
      <w:headerReference w:type="first" r:id="rId3"/>
      <w:type w:val="nextPage"/>
      <w:pgSz w:orient="landscape" w:w="16838" w:h="11906"/>
      <w:pgMar w:left="720" w:right="720" w:gutter="0" w:header="680" w:top="737" w:footer="0" w:bottom="720"/>
      <w:pgNumType w:fmt="decimal"/>
      <w:formProt w:val="false"/>
      <w:titlePg/>
      <w:textDirection w:val="lrTb"/>
      <w:docGrid w:type="default" w:linePitch="381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 Light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/>
    </w:pPr>
    <w:r>
      <w:rPr/>
      <w:t>5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BodyText"/>
    <w:qFormat/>
    <w:pPr>
      <w:widowControl w:val="false"/>
      <w:numPr>
        <w:ilvl w:val="1"/>
        <w:numId w:val="1"/>
      </w:numPr>
      <w:spacing w:before="200" w:after="0"/>
      <w:ind w:left="1788" w:hanging="720"/>
      <w:outlineLvl w:val="1"/>
    </w:pPr>
    <w:rPr>
      <w:rFonts w:ascii="Cambria" w:hAnsi="Cambria" w:eastAsia="Calibri" w:cs="Cambria"/>
      <w:b/>
      <w:bCs/>
      <w:color w:val="4F81BD"/>
      <w:sz w:val="28"/>
      <w:szCs w:val="26"/>
    </w:rPr>
  </w:style>
  <w:style w:type="paragraph" w:styleId="Heading3">
    <w:name w:val="Heading 3"/>
    <w:basedOn w:val="Normal"/>
    <w:next w:val="BodyText"/>
    <w:qFormat/>
    <w:pPr>
      <w:widowControl w:val="false"/>
      <w:numPr>
        <w:ilvl w:val="2"/>
        <w:numId w:val="1"/>
      </w:numPr>
      <w:spacing w:lineRule="atLeast" w:line="100" w:before="200" w:after="0"/>
      <w:ind w:left="2148" w:hanging="720"/>
      <w:outlineLvl w:val="2"/>
    </w:pPr>
    <w:rPr>
      <w:rFonts w:ascii="Times New Roman" w:hAnsi="Times New Roman" w:eastAsia="Calibri" w:cs="Times New Roman"/>
      <w:b/>
      <w:bCs/>
      <w:color w:val="3366FF"/>
      <w:sz w:val="28"/>
      <w:szCs w:val="20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Symbol" w:hAnsi="Symbol" w:cs="Symbol"/>
    </w:rPr>
  </w:style>
  <w:style w:type="character" w:styleId="WW8Num1z1" w:customStyle="1">
    <w:name w:val="WW8Num1z1"/>
    <w:qFormat/>
    <w:rPr>
      <w:rFonts w:ascii="OpenSymbol" w:hAnsi="OpenSymbol" w:eastAsia="Times New Roman"/>
    </w:rPr>
  </w:style>
  <w:style w:type="character" w:styleId="WW8Num2z0" w:customStyle="1">
    <w:name w:val="WW8Num2z0"/>
    <w:qFormat/>
    <w:rPr>
      <w:b/>
    </w:rPr>
  </w:style>
  <w:style w:type="character" w:styleId="WW8Num3z2" w:customStyle="1">
    <w:name w:val="WW8Num3z2"/>
    <w:qFormat/>
    <w:rPr>
      <w:b w:val="false"/>
      <w:bCs w:val="false"/>
    </w:rPr>
  </w:style>
  <w:style w:type="character" w:styleId="WW8Num4z0" w:customStyle="1">
    <w:name w:val="WW8Num4z0"/>
    <w:qFormat/>
    <w:rPr>
      <w:rFonts w:cs="Times New Roman"/>
    </w:rPr>
  </w:style>
  <w:style w:type="character" w:styleId="WW8Num5z0" w:customStyle="1">
    <w:name w:val="WW8Num5z0"/>
    <w:qFormat/>
    <w:rPr>
      <w:rFonts w:cs="Times New Roman"/>
    </w:rPr>
  </w:style>
  <w:style w:type="character" w:styleId="WW8Num6z0" w:customStyle="1">
    <w:name w:val="WW8Num6z0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2" w:customStyle="1">
    <w:name w:val="WW8Num6z2"/>
    <w:qFormat/>
    <w:rPr>
      <w:rFonts w:ascii="Wingdings" w:hAnsi="Wingdings" w:cs="Wingdings"/>
    </w:rPr>
  </w:style>
  <w:style w:type="character" w:styleId="WW8Num7z0" w:customStyle="1">
    <w:name w:val="WW8Num7z0"/>
    <w:qFormat/>
    <w:rPr/>
  </w:style>
  <w:style w:type="character" w:styleId="WW8Num7z1" w:customStyle="1">
    <w:name w:val="WW8Num7z1"/>
    <w:qFormat/>
    <w:rPr>
      <w:rFonts w:cs="Times New Roman"/>
    </w:rPr>
  </w:style>
  <w:style w:type="character" w:styleId="WW8Num8z0" w:customStyle="1">
    <w:name w:val="WW8Num8z0"/>
    <w:qFormat/>
    <w:rPr>
      <w:b/>
      <w:bCs w:val="false"/>
      <w:sz w:val="24"/>
      <w:szCs w:val="24"/>
    </w:rPr>
  </w:style>
  <w:style w:type="character" w:styleId="WW8Num8z1" w:customStyle="1">
    <w:name w:val="WW8Num8z1"/>
    <w:qFormat/>
    <w:rPr>
      <w:b w:val="false"/>
      <w:bCs/>
      <w:sz w:val="24"/>
      <w:szCs w:val="24"/>
    </w:rPr>
  </w:style>
  <w:style w:type="character" w:styleId="WW8Num8z2" w:customStyle="1">
    <w:name w:val="WW8Num8z2"/>
    <w:qFormat/>
    <w:rPr>
      <w:sz w:val="24"/>
      <w:szCs w:val="24"/>
    </w:rPr>
  </w:style>
  <w:style w:type="character" w:styleId="WW8Num10z0" w:customStyle="1">
    <w:name w:val="WW8Num10z0"/>
    <w:qFormat/>
    <w:rPr/>
  </w:style>
  <w:style w:type="character" w:styleId="WW8Num10z1" w:customStyle="1">
    <w:name w:val="WW8Num10z1"/>
    <w:qFormat/>
    <w:rPr>
      <w:rFonts w:cs="Times New Roman"/>
    </w:rPr>
  </w:style>
  <w:style w:type="character" w:styleId="WW8Num11z0" w:customStyle="1">
    <w:name w:val="WW8Num11z0"/>
    <w:qFormat/>
    <w:rPr/>
  </w:style>
  <w:style w:type="character" w:styleId="WW8Num12z0" w:customStyle="1">
    <w:name w:val="WW8Num12z0"/>
    <w:qFormat/>
    <w:rPr/>
  </w:style>
  <w:style w:type="character" w:styleId="WW8Num12z1" w:customStyle="1">
    <w:name w:val="WW8Num12z1"/>
    <w:qFormat/>
    <w:rPr>
      <w:rFonts w:cs="Times New Roman"/>
    </w:rPr>
  </w:style>
  <w:style w:type="character" w:styleId="WW8Num14z0" w:customStyle="1">
    <w:name w:val="WW8Num14z0"/>
    <w:qFormat/>
    <w:rPr>
      <w:rFonts w:cs="Times New Roman"/>
    </w:rPr>
  </w:style>
  <w:style w:type="character" w:styleId="WW8Num16z0" w:customStyle="1">
    <w:name w:val="WW8Num16z0"/>
    <w:qFormat/>
    <w:rPr>
      <w:rFonts w:ascii="Times New Roman" w:hAnsi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kern w:val="0"/>
      <w:position w:val="0"/>
      <w:sz w:val="28"/>
      <w:sz w:val="28"/>
      <w:szCs w:val="28"/>
      <w:u w:val="none"/>
      <w:vertAlign w:val="baseline"/>
      <w:em w:val="none"/>
    </w:rPr>
  </w:style>
  <w:style w:type="character" w:styleId="WW8Num16z1" w:customStyle="1">
    <w:name w:val="WW8Num16z1"/>
    <w:qFormat/>
    <w:rPr>
      <w:b/>
      <w:bCs/>
      <w:i w:val="false"/>
      <w:iCs/>
      <w:sz w:val="24"/>
      <w:szCs w:val="24"/>
    </w:rPr>
  </w:style>
  <w:style w:type="character" w:styleId="WW8Num16z2" w:customStyle="1">
    <w:name w:val="WW8Num16z2"/>
    <w:qFormat/>
    <w:rPr/>
  </w:style>
  <w:style w:type="character" w:styleId="WW8Num17z0" w:customStyle="1">
    <w:name w:val="WW8Num17z0"/>
    <w:qFormat/>
    <w:rPr>
      <w:rFonts w:ascii="Symbol" w:hAnsi="Symbol" w:cs="Symbol"/>
    </w:rPr>
  </w:style>
  <w:style w:type="character" w:styleId="WW8Num17z1" w:customStyle="1">
    <w:name w:val="WW8Num17z1"/>
    <w:qFormat/>
    <w:rPr>
      <w:rFonts w:ascii="Courier New" w:hAnsi="Courier New" w:cs="Courier New"/>
    </w:rPr>
  </w:style>
  <w:style w:type="character" w:styleId="WW8Num17z2" w:customStyle="1">
    <w:name w:val="WW8Num17z2"/>
    <w:qFormat/>
    <w:rPr>
      <w:rFonts w:ascii="Wingdings" w:hAnsi="Wingdings" w:cs="Wingdings"/>
    </w:rPr>
  </w:style>
  <w:style w:type="character" w:styleId="WW8Num18z0" w:customStyle="1">
    <w:name w:val="WW8Num18z0"/>
    <w:qFormat/>
    <w:rPr/>
  </w:style>
  <w:style w:type="character" w:styleId="WW8Num18z1" w:customStyle="1">
    <w:name w:val="WW8Num18z1"/>
    <w:qFormat/>
    <w:rPr>
      <w:rFonts w:cs="Times New Roman"/>
    </w:rPr>
  </w:style>
  <w:style w:type="character" w:styleId="WW8Num19z0" w:customStyle="1">
    <w:name w:val="WW8Num19z0"/>
    <w:qFormat/>
    <w:rPr>
      <w:rFonts w:cs="Times New Roman"/>
    </w:rPr>
  </w:style>
  <w:style w:type="character" w:styleId="WW8Num20z0" w:customStyle="1">
    <w:name w:val="WW8Num20z0"/>
    <w:qFormat/>
    <w:rPr>
      <w:rFonts w:cs="Times New Roman"/>
    </w:rPr>
  </w:style>
  <w:style w:type="character" w:styleId="2" w:customStyle="1">
    <w:name w:val="Заголовок 2 Знак"/>
    <w:qFormat/>
    <w:rPr>
      <w:rFonts w:ascii="Cambria" w:hAnsi="Cambria" w:eastAsia="Calibri" w:cs="Cambria"/>
      <w:b/>
      <w:bCs/>
      <w:color w:val="4F81BD"/>
      <w:sz w:val="28"/>
      <w:szCs w:val="26"/>
      <w:lang w:val="ru-RU" w:bidi="ar-SA"/>
    </w:rPr>
  </w:style>
  <w:style w:type="character" w:styleId="3" w:customStyle="1">
    <w:name w:val="Заголовок 3 Знак"/>
    <w:qFormat/>
    <w:rPr>
      <w:rFonts w:eastAsia="Calibri"/>
      <w:b/>
      <w:bCs/>
      <w:color w:val="3366FF"/>
      <w:sz w:val="28"/>
      <w:lang w:val="ru-RU" w:bidi="ar-SA"/>
    </w:rPr>
  </w:style>
  <w:style w:type="character" w:styleId="Style5" w:customStyle="1">
    <w:name w:val="Основной текст_"/>
    <w:qFormat/>
    <w:rPr>
      <w:sz w:val="28"/>
      <w:shd w:fill="FFFFFF" w:val="clear"/>
      <w:lang w:bidi="ar-SA"/>
    </w:rPr>
  </w:style>
  <w:style w:type="character" w:styleId="Style6" w:customStyle="1">
    <w:name w:val="Основной текст + Малые прописные"/>
    <w:qFormat/>
    <w:rPr>
      <w:rFonts w:ascii="Times New Roman" w:hAnsi="Times New Roman" w:cs="Times New Roman"/>
      <w:smallCaps/>
      <w:color w:val="000000"/>
      <w:spacing w:val="0"/>
      <w:w w:val="100"/>
      <w:position w:val="0"/>
      <w:sz w:val="28"/>
      <w:sz w:val="28"/>
      <w:u w:val="none"/>
      <w:vertAlign w:val="baseline"/>
      <w:lang w:val="ru-RU"/>
    </w:rPr>
  </w:style>
  <w:style w:type="character" w:styleId="Hyperlink">
    <w:name w:val="Hyperlink"/>
    <w:rPr>
      <w:color w:val="339999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21" w:customStyle="1">
    <w:name w:val="Основной текст (2)_"/>
    <w:qFormat/>
    <w:rPr>
      <w:lang w:bidi="ar-SA"/>
    </w:rPr>
  </w:style>
  <w:style w:type="character" w:styleId="1" w:customStyle="1">
    <w:name w:val="Заголовок №1_"/>
    <w:qFormat/>
    <w:rPr>
      <w:b/>
      <w:bCs/>
      <w:sz w:val="23"/>
      <w:szCs w:val="23"/>
      <w:lang w:bidi="ar-SA"/>
    </w:rPr>
  </w:style>
  <w:style w:type="character" w:styleId="11" w:customStyle="1">
    <w:name w:val="Заголовок №1 + Не полужирный"/>
    <w:basedOn w:val="1"/>
    <w:qFormat/>
    <w:rPr>
      <w:b/>
      <w:bCs/>
      <w:sz w:val="23"/>
      <w:szCs w:val="23"/>
      <w:lang w:bidi="ar-SA"/>
    </w:rPr>
  </w:style>
  <w:style w:type="character" w:styleId="Style7" w:customStyle="1">
    <w:name w:val="Текст выноски Знак"/>
    <w:qFormat/>
    <w:rPr>
      <w:rFonts w:ascii="Tahoma" w:hAnsi="Tahoma" w:cs="Tahoma"/>
      <w:sz w:val="16"/>
      <w:szCs w:val="16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yle8" w:customStyle="1">
    <w:name w:val="Текст примечания Знак"/>
    <w:qFormat/>
    <w:rPr>
      <w:rFonts w:ascii="Calibri" w:hAnsi="Calibri" w:cs="Calibri"/>
    </w:rPr>
  </w:style>
  <w:style w:type="character" w:styleId="Style9" w:customStyle="1">
    <w:name w:val="Тема примечания Знак"/>
    <w:qFormat/>
    <w:rPr>
      <w:rFonts w:ascii="Calibri" w:hAnsi="Calibri" w:cs="Calibri"/>
      <w:b/>
      <w:bCs/>
    </w:rPr>
  </w:style>
  <w:style w:type="character" w:styleId="4" w:customStyle="1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Style10" w:customStyle="1">
    <w:name w:val="Ссылка указателя"/>
    <w:qFormat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Normal"/>
    <w:qFormat/>
    <w:pPr>
      <w:suppressLineNumbers/>
    </w:pPr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ListParagraph">
    <w:name w:val="List Paragraph"/>
    <w:basedOn w:val="Normal"/>
    <w:qFormat/>
    <w:pPr>
      <w:widowControl w:val="false"/>
      <w:spacing w:before="0" w:after="200"/>
      <w:contextualSpacing/>
    </w:pPr>
    <w:rPr>
      <w:rFonts w:ascii="Times New Roman" w:hAnsi="Times New Roman" w:eastAsia="Calibri" w:cs="Times New Roman"/>
    </w:rPr>
  </w:style>
  <w:style w:type="paragraph" w:styleId="12" w:customStyle="1">
    <w:name w:val="Основной текст1"/>
    <w:basedOn w:val="Normal"/>
    <w:qFormat/>
    <w:pPr>
      <w:widowControl w:val="false"/>
      <w:shd w:val="clear" w:color="auto" w:fill="FFFFFF"/>
      <w:spacing w:lineRule="exact" w:line="302" w:before="0" w:after="0"/>
    </w:pPr>
    <w:rPr>
      <w:rFonts w:ascii="Times New Roman" w:hAnsi="Times New Roman" w:cs="Times New Roman"/>
      <w:sz w:val="28"/>
      <w:szCs w:val="20"/>
      <w:shd w:fill="FFFFFF" w:val="clear"/>
      <w:lang w:eastAsia="ru-RU"/>
    </w:rPr>
  </w:style>
  <w:style w:type="paragraph" w:styleId="22" w:customStyle="1">
    <w:name w:val="Основной текст (2)"/>
    <w:basedOn w:val="Normal"/>
    <w:qFormat/>
    <w:pPr>
      <w:shd w:val="clear" w:color="auto" w:fill="FFFFFF"/>
      <w:spacing w:lineRule="atLeast" w:line="240" w:before="0" w:after="0"/>
    </w:pPr>
    <w:rPr>
      <w:rFonts w:ascii="Times New Roman" w:hAnsi="Times New Roman" w:cs="Times New Roman"/>
      <w:sz w:val="20"/>
      <w:szCs w:val="20"/>
      <w:lang w:eastAsia="ru-RU"/>
    </w:rPr>
  </w:style>
  <w:style w:type="paragraph" w:styleId="13" w:customStyle="1">
    <w:name w:val="Заголовок №1"/>
    <w:basedOn w:val="Normal"/>
    <w:qFormat/>
    <w:pPr>
      <w:shd w:val="clear" w:color="auto" w:fill="FFFFFF"/>
      <w:spacing w:lineRule="exact" w:line="274" w:before="0" w:after="0"/>
      <w:outlineLvl w:val="0"/>
    </w:pPr>
    <w:rPr>
      <w:rFonts w:ascii="Times New Roman" w:hAnsi="Times New Roman" w:cs="Times New Roman"/>
      <w:b/>
      <w:bCs/>
      <w:sz w:val="23"/>
      <w:szCs w:val="23"/>
      <w:lang w:eastAsia="ru-RU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TOC1">
    <w:name w:val="TOC 1"/>
    <w:basedOn w:val="Normal"/>
    <w:next w:val="Normal"/>
    <w:pPr>
      <w:tabs>
        <w:tab w:val="clear" w:pos="720"/>
        <w:tab w:val="left" w:pos="560" w:leader="none"/>
        <w:tab w:val="right" w:pos="9911" w:leader="dot"/>
      </w:tabs>
      <w:spacing w:lineRule="auto" w:line="240" w:before="120" w:after="0"/>
      <w:ind w:right="-567" w:hanging="0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TOC3">
    <w:name w:val="TOC 3"/>
    <w:basedOn w:val="Normal"/>
    <w:next w:val="Normal"/>
    <w:pPr>
      <w:tabs>
        <w:tab w:val="clear" w:pos="720"/>
        <w:tab w:val="left" w:pos="1120" w:leader="none"/>
        <w:tab w:val="right" w:pos="9911" w:leader="dot"/>
      </w:tabs>
      <w:spacing w:lineRule="auto" w:line="240" w:before="0" w:after="0"/>
      <w:ind w:left="280" w:firstLine="287"/>
    </w:pPr>
    <w:rPr>
      <w:rFonts w:ascii="Times New Roman" w:hAnsi="Times New Roman" w:cs="Times New Roman"/>
      <w:sz w:val="20"/>
      <w:szCs w:val="20"/>
      <w:lang w:eastAsia="ru-RU"/>
    </w:rPr>
  </w:style>
  <w:style w:type="paragraph" w:styleId="TOC4">
    <w:name w:val="TOC 4"/>
    <w:basedOn w:val="Normal"/>
    <w:next w:val="Normal"/>
    <w:pPr>
      <w:tabs>
        <w:tab w:val="clear" w:pos="720"/>
        <w:tab w:val="left" w:pos="1120" w:leader="none"/>
        <w:tab w:val="right" w:pos="9911" w:leader="dot"/>
      </w:tabs>
      <w:spacing w:lineRule="auto" w:line="240" w:before="0" w:after="0"/>
      <w:ind w:left="560" w:hanging="0"/>
    </w:pPr>
    <w:rPr>
      <w:rFonts w:ascii="Times New Roman" w:hAnsi="Times New Roman" w:cs="Times New Roman"/>
      <w:iCs/>
      <w:sz w:val="20"/>
      <w:szCs w:val="20"/>
      <w:lang w:eastAsia="ru-RU"/>
    </w:rPr>
  </w:style>
  <w:style w:type="paragraph" w:styleId="TOC2">
    <w:name w:val="TOC 2"/>
    <w:basedOn w:val="Normal"/>
    <w:next w:val="Normal"/>
    <w:pPr>
      <w:ind w:left="220" w:hanging="0"/>
    </w:pPr>
    <w:rPr/>
  </w:style>
  <w:style w:type="paragraph" w:styleId="NoSpacing">
    <w:name w:val="No Spacing"/>
    <w:basedOn w:val="Normal"/>
    <w:qFormat/>
    <w:pPr>
      <w:spacing w:lineRule="auto" w:line="360" w:before="0" w:after="0"/>
    </w:pPr>
    <w:rPr>
      <w:rFonts w:ascii="Times New Roman" w:hAnsi="Times New Roman" w:eastAsia="Calibri" w:cs="Times New Roman"/>
      <w:sz w:val="24"/>
      <w:szCs w:val="24"/>
    </w:rPr>
  </w:style>
  <w:style w:type="paragraph" w:styleId="Style13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4" w:customStyle="1">
    <w:name w:val="Заголовок таблицы"/>
    <w:basedOn w:val="Style13"/>
    <w:qFormat/>
    <w:pPr>
      <w:jc w:val="center"/>
    </w:pPr>
    <w:rPr>
      <w:b/>
      <w:bCs/>
    </w:rPr>
  </w:style>
  <w:style w:type="paragraph" w:styleId="Style15" w:customStyle="1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31" w:customStyle="1">
    <w:name w:val="Абзац списка3"/>
    <w:basedOn w:val="Normal"/>
    <w:qFormat/>
    <w:pPr>
      <w:spacing w:before="0" w:after="200"/>
      <w:ind w:left="720" w:hanging="0"/>
      <w:contextualSpacing/>
    </w:pPr>
    <w:rPr>
      <w:lang w:eastAsia="en-US"/>
    </w:rPr>
  </w:style>
  <w:style w:type="paragraph" w:styleId="IndexHeading">
    <w:name w:val="Index Heading"/>
    <w:basedOn w:val="Style11"/>
    <w:pPr/>
    <w:rPr/>
  </w:style>
  <w:style w:type="paragraph" w:styleId="TOCHeading">
    <w:name w:val="TOC Heading"/>
    <w:basedOn w:val="Heading1"/>
    <w:next w:val="Normal"/>
    <w:qFormat/>
    <w:pPr>
      <w:keepLines/>
      <w:numPr>
        <w:ilvl w:val="0"/>
        <w:numId w:val="0"/>
      </w:numPr>
      <w:suppressAutoHyphens w:val="false"/>
      <w:overflowPunct w:val="false"/>
      <w:spacing w:lineRule="auto" w:line="259" w:before="240" w:after="0"/>
      <w:outlineLvl w:val="9"/>
    </w:pPr>
    <w:rPr>
      <w:rFonts w:ascii="Calibri Light" w:hAnsi="Calibri Light" w:eastAsia="Arial Unicode MS" w:cs="Arial Unicode MS"/>
      <w:b w:val="false"/>
      <w:bCs w:val="false"/>
      <w:color w:val="2E74B5"/>
      <w:kern w:val="0"/>
      <w:lang w:eastAsia="ru-RU"/>
    </w:rPr>
  </w:style>
  <w:style w:type="paragraph" w:styleId="Style16" w:customStyle="1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numbering" w:styleId="WW8Num8" w:customStyle="1">
    <w:name w:val="WW8Num8"/>
    <w:qFormat/>
  </w:style>
  <w:style w:type="numbering" w:styleId="WW8Num9" w:customStyle="1">
    <w:name w:val="WW8Num9"/>
    <w:qFormat/>
  </w:style>
  <w:style w:type="numbering" w:styleId="WW8Num10" w:customStyle="1">
    <w:name w:val="WW8Num10"/>
    <w:qFormat/>
  </w:style>
  <w:style w:type="numbering" w:styleId="WW8Num11" w:customStyle="1">
    <w:name w:val="WW8Num11"/>
    <w:qFormat/>
  </w:style>
  <w:style w:type="numbering" w:styleId="WW8Num12" w:customStyle="1">
    <w:name w:val="WW8Num12"/>
    <w:qFormat/>
  </w:style>
  <w:style w:type="numbering" w:styleId="WW8Num13" w:customStyle="1">
    <w:name w:val="WW8Num13"/>
    <w:qFormat/>
  </w:style>
  <w:style w:type="numbering" w:styleId="WW8Num14" w:customStyle="1">
    <w:name w:val="WW8Num14"/>
    <w:qFormat/>
  </w:style>
  <w:style w:type="numbering" w:styleId="WW8Num15" w:customStyle="1">
    <w:name w:val="WW8Num15"/>
    <w:qFormat/>
  </w:style>
  <w:style w:type="numbering" w:styleId="WW8Num16" w:customStyle="1">
    <w:name w:val="WW8Num16"/>
    <w:qFormat/>
  </w:style>
  <w:style w:type="numbering" w:styleId="WW8Num17" w:customStyle="1">
    <w:name w:val="WW8Num17"/>
    <w:qFormat/>
  </w:style>
  <w:style w:type="numbering" w:styleId="WW8Num18" w:customStyle="1">
    <w:name w:val="WW8Num18"/>
    <w:qFormat/>
  </w:style>
  <w:style w:type="numbering" w:styleId="WW8Num19" w:customStyle="1">
    <w:name w:val="WW8Num19"/>
    <w:qFormat/>
  </w:style>
  <w:style w:type="numbering" w:styleId="WW8Num20" w:customStyle="1">
    <w:name w:val="WW8Num20"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Application>AlterOffice/2025.3.0.0$Linux_X86_64 LibreOffice_project/774e6be3fe79fbee37ab4be005d8f260e3857d8a</Application>
  <AppVersion>15.0000</AppVersion>
  <Pages>7</Pages>
  <Words>813</Words>
  <Characters>5660</Characters>
  <CharactersWithSpaces>6396</CharactersWithSpaces>
  <Paragraphs>106</Paragraphs>
  <Company>HRVKK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2025-10-29T08:43:00Z</dcterms:created>
  <dc:creator>Карандашев Сергей</dc:creator>
  <dc:description/>
  <dc:language>ru-RU</dc:language>
  <cp:lastModifiedBy>bromirskyri@corp.gidroogk.com</cp:lastModifiedBy>
  <cp:lastPrinted>2025-08-28T08:18:00Z</cp:lastPrinted>
  <dcterms:modified xsi:type="dcterms:W3CDTF">2026-07-29T15:21:06Z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