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ascii="Liberation Serif" w:hAnsi="Liberation Serif"/>
          <w:sz w:val="24"/>
          <w:szCs w:val="24"/>
          <w:lang w:val="en-US"/>
        </w:rPr>
      </w:pPr>
      <w:r>
        <w:rPr>
          <w:rFonts w:ascii="Liberation Serif" w:hAnsi="Liberation Serif"/>
          <w:sz w:val="24"/>
          <w:szCs w:val="24"/>
          <w:lang w:val="en-US"/>
        </w:rPr>
      </w:r>
    </w:p>
    <w:p>
      <w:pPr>
        <w:pStyle w:val="Normal"/>
        <w:keepNext w:val="true"/>
        <w:keepLines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true"/>
        <w:keepLines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true"/>
        <w:keepLines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jc w:val="center"/>
        <w:rPr>
          <w:rFonts w:ascii="Liberation Serif" w:hAnsi="Liberation Serif" w:eastAsia="Calibri"/>
          <w:b/>
          <w:sz w:val="24"/>
          <w:szCs w:val="24"/>
        </w:rPr>
      </w:pPr>
      <w:r>
        <w:rPr>
          <w:rFonts w:eastAsia="Calibri" w:ascii="Liberation Serif" w:hAnsi="Liberation Serif"/>
          <w:b/>
          <w:sz w:val="24"/>
          <w:szCs w:val="24"/>
        </w:rPr>
        <w:t xml:space="preserve">Технические требования </w:t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ascii="Liberation Serif" w:hAnsi="Liberation Serif"/>
          <w:b/>
          <w:sz w:val="24"/>
          <w:szCs w:val="24"/>
        </w:rPr>
        <w:t>ОКПД2 25.93.13.112. Поставка</w:t>
      </w:r>
      <w:r>
        <w:rPr>
          <w:rFonts w:eastAsia="Calibri" w:ascii="Liberation Serif" w:hAnsi="Liberation Serif"/>
          <w:b/>
          <w:bCs/>
          <w:sz w:val="24"/>
          <w:szCs w:val="24"/>
        </w:rPr>
        <w:t xml:space="preserve"> </w:t>
      </w:r>
      <w:r>
        <w:rPr>
          <w:rFonts w:eastAsia="Calibri" w:ascii="Liberation Serif" w:hAnsi="Liberation Serif"/>
          <w:b/>
          <w:bCs/>
          <w:sz w:val="24"/>
          <w:szCs w:val="24"/>
        </w:rPr>
        <w:t xml:space="preserve">сетчатых </w:t>
      </w:r>
      <w:r>
        <w:rPr>
          <w:rFonts w:eastAsia="Calibri" w:ascii="Liberation Serif" w:hAnsi="Liberation Serif"/>
          <w:b/>
          <w:bCs/>
          <w:sz w:val="24"/>
          <w:szCs w:val="24"/>
        </w:rPr>
        <w:t>о</w:t>
      </w:r>
      <w:r>
        <w:rPr>
          <w:rFonts w:eastAsia="Calibri" w:ascii="Liberation Serif" w:hAnsi="Liberation Serif"/>
          <w:b/>
          <w:bCs/>
          <w:sz w:val="24"/>
          <w:szCs w:val="24"/>
        </w:rPr>
        <w:t xml:space="preserve">граждений </w:t>
      </w:r>
      <w:r>
        <w:rPr>
          <w:rFonts w:eastAsia="Calibri" w:ascii="Liberation Serif" w:hAnsi="Liberation Serif"/>
          <w:b/>
          <w:bCs/>
          <w:sz w:val="24"/>
          <w:szCs w:val="24"/>
        </w:rPr>
        <w:t>для</w:t>
      </w: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 объект</w:t>
      </w: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ов</w:t>
      </w: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 ПС 220 кВ КС-3, ПС 110 кВ КС-4, ПС 220 кВ КС-5, ПС 110 кВ Алдан, </w:t>
      </w: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для нужд филиала «Южно-Якутские электрические сети»</w:t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sectPr>
          <w:type w:val="nextPage"/>
          <w:pgSz w:orient="landscape" w:w="16838" w:h="11906"/>
          <w:pgMar w:left="1209" w:right="1054" w:gutter="0" w:header="0" w:top="1134" w:footer="0" w:bottom="567"/>
          <w:pgNumType w:fmt="decimal"/>
          <w:formProt w:val="false"/>
          <w:textDirection w:val="lrTb"/>
          <w:docGrid w:type="default" w:linePitch="381" w:charSpace="16384"/>
        </w:sectPr>
        <w:pStyle w:val="Normal"/>
        <w:ind w:left="0" w:right="0" w:firstLine="708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ascii="Liberation Serif" w:hAnsi="Liberation Serif"/>
          <w:b/>
          <w:sz w:val="24"/>
          <w:szCs w:val="24"/>
        </w:rPr>
        <w:t xml:space="preserve">Лот № </w:t>
      </w:r>
      <w:r>
        <w:rPr>
          <w:rFonts w:eastAsia="Calibri" w:ascii="Liberation Serif" w:hAnsi="Liberation Serif"/>
          <w:b/>
          <w:sz w:val="24"/>
          <w:szCs w:val="24"/>
        </w:rPr>
        <w:t>__________________________</w:t>
      </w:r>
    </w:p>
    <w:p>
      <w:pPr>
        <w:pStyle w:val="Normal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sz w:val="24"/>
          <w:szCs w:val="24"/>
        </w:rPr>
        <w:t>СОДЕРЖАНИЕ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>1. Общие сведения………………………………………………………………………………………………………………………………………….3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1.1. Обозначения и сокращения……………………………………………………………………………………………………………………….……3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1.2. Наименование закупаемой………………………………………………………………………………………………………………….…….…….3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2. </w:t>
      </w:r>
      <w:bookmarkStart w:id="0" w:name="_Toc51339693_Копия_1"/>
      <w:bookmarkStart w:id="1" w:name="_Toc75446573_Копия_1"/>
      <w:r>
        <w:rPr>
          <w:rFonts w:ascii="Liberation Serif" w:hAnsi="Liberation Serif"/>
          <w:b/>
          <w:bCs/>
          <w:iCs/>
          <w:sz w:val="24"/>
          <w:szCs w:val="24"/>
        </w:rPr>
        <w:t>Требования к продукции</w:t>
      </w:r>
      <w:bookmarkEnd w:id="0"/>
      <w:bookmarkEnd w:id="1"/>
      <w:r>
        <w:rPr>
          <w:rFonts w:ascii="Liberation Serif" w:hAnsi="Liberation Serif"/>
          <w:b/>
          <w:bCs/>
          <w:sz w:val="24"/>
          <w:szCs w:val="24"/>
        </w:rPr>
        <w:t>…………………………………………………………………………………………………………………….………….</w:t>
      </w:r>
      <w:r>
        <w:rPr>
          <w:rFonts w:ascii="Liberation Serif" w:hAnsi="Liberation Serif"/>
          <w:b/>
          <w:bCs/>
          <w:sz w:val="24"/>
          <w:szCs w:val="24"/>
        </w:rPr>
        <w:t>3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2.1. </w:t>
      </w:r>
      <w:bookmarkStart w:id="2" w:name="_Toc75446574_Копия_1"/>
      <w:r>
        <w:rPr>
          <w:rFonts w:ascii="Liberation Serif" w:hAnsi="Liberation Serif"/>
          <w:sz w:val="24"/>
          <w:szCs w:val="24"/>
        </w:rPr>
        <w:t>Требования к объемам и срокам поставки…</w:t>
      </w:r>
      <w:bookmarkEnd w:id="2"/>
      <w:r>
        <w:rPr>
          <w:rFonts w:ascii="Liberation Serif" w:hAnsi="Liberation Serif"/>
          <w:sz w:val="24"/>
          <w:szCs w:val="24"/>
        </w:rPr>
        <w:t>..………………………………………………………………………………………………….….….4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2.1.</w:t>
      </w:r>
      <w:r>
        <w:rPr>
          <w:rFonts w:ascii="Liberation Serif" w:hAnsi="Liberation Serif"/>
          <w:sz w:val="24"/>
          <w:szCs w:val="24"/>
        </w:rPr>
        <w:t>1</w:t>
      </w:r>
      <w:r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>Перечень о объём закупаемой</w:t>
      </w:r>
      <w:r>
        <w:rPr>
          <w:rFonts w:ascii="Liberation Serif" w:hAnsi="Liberation Serif"/>
          <w:sz w:val="24"/>
          <w:szCs w:val="24"/>
        </w:rPr>
        <w:t xml:space="preserve"> продукции.…..……..………………………………………...……………………………………………….…….</w:t>
      </w:r>
      <w:r>
        <w:rPr>
          <w:rFonts w:ascii="Liberation Serif" w:hAnsi="Liberation Serif"/>
          <w:sz w:val="24"/>
          <w:szCs w:val="24"/>
        </w:rPr>
        <w:t>3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2.1.</w:t>
      </w:r>
      <w:r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. Требования к срокам поставки продукции.…..……………………………………………………………………………………………….…….</w:t>
      </w:r>
      <w:r>
        <w:rPr>
          <w:rFonts w:ascii="Liberation Serif" w:hAnsi="Liberation Serif"/>
          <w:sz w:val="24"/>
          <w:szCs w:val="24"/>
        </w:rPr>
        <w:t>4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2.2. Требования к качеству продукции…………..…..……………………………………………………………………………………………….…….5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>3. Требования к заявке……….…………….……...</w:t>
      </w:r>
      <w:r>
        <w:rPr>
          <w:rFonts w:ascii="Liberation Serif" w:hAnsi="Liberation Serif"/>
          <w:b/>
          <w:bCs/>
          <w:iCs/>
          <w:sz w:val="24"/>
          <w:szCs w:val="24"/>
        </w:rPr>
        <w:t>……………..…………………………………………………………………………</w:t>
      </w:r>
      <w:r>
        <w:rPr>
          <w:rFonts w:ascii="Liberation Serif" w:hAnsi="Liberation Serif"/>
          <w:b/>
          <w:bCs/>
          <w:sz w:val="24"/>
          <w:szCs w:val="24"/>
        </w:rPr>
        <w:t>...………….26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4. </w:t>
      </w:r>
      <w:r>
        <w:rPr>
          <w:rFonts w:ascii="Liberation Serif" w:hAnsi="Liberation Serif"/>
          <w:b/>
          <w:bCs/>
          <w:iCs/>
          <w:sz w:val="24"/>
          <w:szCs w:val="24"/>
        </w:rPr>
        <w:t>Требование к</w:t>
      </w:r>
      <w:r>
        <w:rPr>
          <w:rFonts w:ascii="Liberation Serif" w:hAnsi="Liberation Serif"/>
          <w:b/>
          <w:bCs/>
          <w:sz w:val="24"/>
          <w:szCs w:val="24"/>
        </w:rPr>
        <w:t xml:space="preserve"> документации по ценообразованию на этапе закупки…..</w:t>
      </w:r>
      <w:r>
        <w:rPr>
          <w:rFonts w:ascii="Liberation Serif" w:hAnsi="Liberation Serif"/>
          <w:b/>
          <w:bCs/>
          <w:sz w:val="26"/>
          <w:szCs w:val="26"/>
        </w:rPr>
        <w:t>.…</w:t>
      </w:r>
      <w:r>
        <w:rPr>
          <w:rFonts w:ascii="Liberation Serif" w:hAnsi="Liberation Serif"/>
          <w:b/>
          <w:bCs/>
          <w:sz w:val="24"/>
          <w:szCs w:val="24"/>
        </w:rPr>
        <w:t>……………………………………………………...………….…28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>5. В составе заявки необходимо предоставить:…..</w:t>
      </w:r>
      <w:r>
        <w:rPr>
          <w:rFonts w:ascii="Liberation Serif" w:hAnsi="Liberation Serif"/>
          <w:b/>
          <w:bCs/>
          <w:iCs/>
          <w:sz w:val="24"/>
          <w:szCs w:val="24"/>
        </w:rPr>
        <w:t>………………………………………………………………………………………</w:t>
      </w:r>
      <w:r>
        <w:rPr>
          <w:rFonts w:ascii="Liberation Serif" w:hAnsi="Liberation Serif"/>
          <w:b/>
          <w:bCs/>
          <w:sz w:val="24"/>
          <w:szCs w:val="24"/>
        </w:rPr>
        <w:t>...………….28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>6. Приложения………………………………………</w:t>
      </w:r>
      <w:r>
        <w:rPr>
          <w:rFonts w:ascii="Liberation Serif" w:hAnsi="Liberation Serif"/>
          <w:b/>
          <w:bCs/>
          <w:iCs/>
          <w:sz w:val="24"/>
          <w:szCs w:val="24"/>
        </w:rPr>
        <w:t>..………………………………………………………………………………………</w:t>
      </w:r>
      <w:r>
        <w:rPr>
          <w:rFonts w:ascii="Liberation Serif" w:hAnsi="Liberation Serif"/>
          <w:b/>
          <w:bCs/>
          <w:sz w:val="24"/>
          <w:szCs w:val="24"/>
        </w:rPr>
        <w:t>...………….28</w:t>
      </w:r>
    </w:p>
    <w:p>
      <w:pPr>
        <w:pStyle w:val="Normal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4"/>
        </w:numPr>
        <w:ind w:left="357" w:right="0" w:hanging="357"/>
        <w:jc w:val="center"/>
        <w:rPr>
          <w:rFonts w:ascii="Liberation Serif" w:hAnsi="Liberation Serif"/>
        </w:rPr>
      </w:pPr>
      <w:bookmarkStart w:id="3" w:name="_Toc51339692"/>
      <w:bookmarkStart w:id="4" w:name="_Toc75446566"/>
      <w:r>
        <w:rPr>
          <w:rFonts w:ascii="Liberation Serif" w:hAnsi="Liberation Serif"/>
          <w:sz w:val="24"/>
          <w:szCs w:val="24"/>
          <w:lang w:val="ru-RU"/>
        </w:rPr>
        <w:t>Общие сведения</w:t>
      </w:r>
      <w:bookmarkEnd w:id="3"/>
      <w:bookmarkEnd w:id="4"/>
    </w:p>
    <w:p>
      <w:pPr>
        <w:pStyle w:val="Normal"/>
        <w:ind w:left="357" w:right="0" w:hanging="357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4"/>
        <w:numPr>
          <w:ilvl w:val="1"/>
          <w:numId w:val="4"/>
        </w:numPr>
        <w:rPr>
          <w:rFonts w:ascii="Liberation Serif" w:hAnsi="Liberation Serif"/>
          <w:shd w:fill="auto" w:val="clear"/>
        </w:rPr>
      </w:pPr>
      <w:r>
        <w:rPr>
          <w:rFonts w:ascii="Liberation Serif" w:hAnsi="Liberation Serif"/>
          <w:shd w:fill="auto" w:val="clear"/>
        </w:rPr>
        <w:t>Обозначения и сокращения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tbl>
      <w:tblPr>
        <w:tblW w:w="1485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12703"/>
      </w:tblGrid>
      <w:tr>
        <w:trPr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eastAsia="Calibri" w:ascii="Liberation Serif" w:hAnsi="Liberation Serif"/>
                <w:b/>
                <w:bCs/>
                <w:iCs/>
                <w:sz w:val="22"/>
                <w:szCs w:val="22"/>
              </w:rPr>
              <w:t>ГОСТ</w:t>
            </w:r>
          </w:p>
        </w:tc>
        <w:tc>
          <w:tcPr>
            <w:tcW w:w="1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государственный стандарт;</w:t>
            </w:r>
          </w:p>
        </w:tc>
      </w:tr>
      <w:tr>
        <w:trPr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eastAsia="Calibri" w:ascii="Liberation Serif" w:hAnsi="Liberation Serif"/>
                <w:b/>
                <w:bCs/>
                <w:iCs/>
                <w:sz w:val="22"/>
                <w:szCs w:val="22"/>
              </w:rPr>
              <w:t>НТД</w:t>
            </w:r>
          </w:p>
        </w:tc>
        <w:tc>
          <w:tcPr>
            <w:tcW w:w="1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нормативно-техническая документация;</w:t>
            </w:r>
          </w:p>
        </w:tc>
      </w:tr>
      <w:tr>
        <w:trPr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eastAsia="Calibri" w:ascii="Liberation Serif" w:hAnsi="Liberation Serif"/>
                <w:b/>
                <w:bCs/>
                <w:iCs/>
                <w:sz w:val="22"/>
                <w:szCs w:val="22"/>
              </w:rPr>
              <w:t>УХЛ</w:t>
            </w:r>
          </w:p>
        </w:tc>
        <w:tc>
          <w:tcPr>
            <w:tcW w:w="1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климатическое исполнение «умеренный и холодный климат»;</w:t>
            </w:r>
          </w:p>
        </w:tc>
      </w:tr>
      <w:tr>
        <w:trPr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ПУЭ</w:t>
            </w:r>
          </w:p>
        </w:tc>
        <w:tc>
          <w:tcPr>
            <w:tcW w:w="1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Правила устройства электроустановок.</w:t>
            </w:r>
          </w:p>
        </w:tc>
      </w:tr>
    </w:tbl>
    <w:p>
      <w:pPr>
        <w:pStyle w:val="Normal"/>
        <w:rPr>
          <w:rFonts w:ascii="Liberation Serif" w:hAnsi="Liberation Serif"/>
          <w:sz w:val="24"/>
          <w:szCs w:val="24"/>
          <w:lang w:val="x-none" w:eastAsia="x-none"/>
        </w:rPr>
      </w:pPr>
      <w:r>
        <w:rPr>
          <w:rFonts w:ascii="Liberation Serif" w:hAnsi="Liberation Serif"/>
          <w:sz w:val="24"/>
          <w:szCs w:val="24"/>
          <w:lang w:val="x-none" w:eastAsia="x-none"/>
        </w:rPr>
      </w:r>
    </w:p>
    <w:p>
      <w:pPr>
        <w:pStyle w:val="Heading4"/>
        <w:numPr>
          <w:ilvl w:val="1"/>
          <w:numId w:val="4"/>
        </w:numPr>
        <w:tabs>
          <w:tab w:val="clear" w:pos="849"/>
          <w:tab w:val="clear" w:pos="1300"/>
          <w:tab w:val="left" w:pos="0" w:leader="none"/>
          <w:tab w:val="left" w:pos="563" w:leader="none"/>
          <w:tab w:val="left" w:pos="1303" w:leader="none"/>
        </w:tabs>
        <w:ind w:left="0" w:right="0" w:hanging="0"/>
        <w:rPr>
          <w:rFonts w:ascii="Liberation Serif" w:hAnsi="Liberation Serif"/>
        </w:rPr>
      </w:pPr>
      <w:bookmarkStart w:id="5" w:name="_Toc75446568"/>
      <w:bookmarkStart w:id="6" w:name="_Toc46743506"/>
      <w:r>
        <w:rPr>
          <w:rFonts w:ascii="Liberation Serif" w:hAnsi="Liberation Serif"/>
        </w:rPr>
        <w:t>Наименование закупаемой продукции</w:t>
      </w:r>
      <w:bookmarkEnd w:id="5"/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ind w:left="0" w:right="57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Calibri" w:ascii="Liberation Serif" w:hAnsi="Liberation Serif"/>
          <w:b w:val="false"/>
          <w:bCs w:val="false"/>
          <w:i w:val="false"/>
          <w:iCs w:val="false"/>
          <w:sz w:val="24"/>
          <w:szCs w:val="24"/>
          <w:lang w:eastAsia="x-none"/>
        </w:rPr>
        <w:t>ОКПД2 25.93.13.112. Поставка</w:t>
      </w:r>
      <w:r>
        <w:rPr>
          <w:rFonts w:eastAsia="Calibri" w:ascii="Liberation Serif" w:hAnsi="Liberation Serif"/>
          <w:b w:val="false"/>
          <w:bCs w:val="false"/>
          <w:i w:val="false"/>
          <w:iCs w:val="false"/>
          <w:sz w:val="24"/>
          <w:szCs w:val="24"/>
          <w:lang w:eastAsia="x-none"/>
        </w:rPr>
        <w:t xml:space="preserve"> </w:t>
      </w:r>
      <w:r>
        <w:rPr>
          <w:rFonts w:eastAsia="Calibri" w:ascii="Liberation Serif" w:hAnsi="Liberation Serif"/>
          <w:b w:val="false"/>
          <w:bCs w:val="false"/>
          <w:i w:val="false"/>
          <w:iCs w:val="false"/>
          <w:sz w:val="24"/>
          <w:szCs w:val="24"/>
          <w:lang w:eastAsia="x-none"/>
        </w:rPr>
        <w:t xml:space="preserve">сетчатых </w:t>
      </w:r>
      <w:r>
        <w:rPr>
          <w:rFonts w:eastAsia="Calibri" w:ascii="Liberation Serif" w:hAnsi="Liberation Serif"/>
          <w:b w:val="false"/>
          <w:bCs w:val="false"/>
          <w:i w:val="false"/>
          <w:iCs w:val="false"/>
          <w:sz w:val="24"/>
          <w:szCs w:val="24"/>
          <w:lang w:eastAsia="x-none"/>
        </w:rPr>
        <w:t>о</w:t>
      </w:r>
      <w:r>
        <w:rPr>
          <w:rFonts w:eastAsia="Calibri" w:ascii="Liberation Serif" w:hAnsi="Liberation Serif"/>
          <w:b w:val="false"/>
          <w:bCs w:val="false"/>
          <w:i w:val="false"/>
          <w:iCs w:val="false"/>
          <w:sz w:val="24"/>
          <w:szCs w:val="24"/>
          <w:lang w:eastAsia="x-none"/>
        </w:rPr>
        <w:t xml:space="preserve">граждений </w:t>
      </w:r>
      <w:r>
        <w:rPr>
          <w:rFonts w:eastAsia="Calibri" w:ascii="Liberation Serif" w:hAnsi="Liberation Serif"/>
          <w:b w:val="false"/>
          <w:bCs w:val="false"/>
          <w:i w:val="false"/>
          <w:iCs w:val="false"/>
          <w:sz w:val="24"/>
          <w:szCs w:val="24"/>
          <w:lang w:eastAsia="x-none"/>
        </w:rPr>
        <w:t>для</w:t>
      </w:r>
      <w:r>
        <w:rPr>
          <w:rFonts w:eastAsia="Calibri" w:ascii="Liberation Serif" w:hAnsi="Liberation Serif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 xml:space="preserve"> объект</w:t>
      </w:r>
      <w:r>
        <w:rPr>
          <w:rFonts w:eastAsia="Calibri" w:ascii="Liberation Serif" w:hAnsi="Liberation Serif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>ов</w:t>
      </w:r>
      <w:r>
        <w:rPr>
          <w:rFonts w:eastAsia="Calibri" w:ascii="Liberation Serif" w:hAnsi="Liberation Serif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 xml:space="preserve"> ПС 220 кВ КС-3, ПС 110 кВ КС-4, ПС 220 кВ КС-5, ПС 110 кВ Алдан, </w:t>
      </w:r>
      <w:r>
        <w:rPr>
          <w:rFonts w:eastAsia="Calibri" w:ascii="Liberation Serif" w:hAnsi="Liberation Serif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>для нужд филиала «Южно-Якутские электрические сети».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0" w:right="57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Heading1"/>
        <w:keepLines/>
        <w:numPr>
          <w:ilvl w:val="0"/>
          <w:numId w:val="4"/>
        </w:numPr>
        <w:ind w:left="357" w:right="0" w:hanging="357"/>
        <w:rPr>
          <w:rFonts w:ascii="Liberation Serif" w:hAnsi="Liberation Serif"/>
        </w:rPr>
      </w:pPr>
      <w:bookmarkStart w:id="7" w:name="_Toc51339693"/>
      <w:bookmarkStart w:id="8" w:name="_Toc75446573"/>
      <w:bookmarkStart w:id="9" w:name="_Toc46743510"/>
      <w:bookmarkStart w:id="10" w:name="_Toc50125126"/>
      <w:bookmarkEnd w:id="9"/>
      <w:bookmarkEnd w:id="10"/>
      <w:r>
        <w:rPr>
          <w:rFonts w:ascii="Liberation Serif" w:hAnsi="Liberation Serif"/>
          <w:iCs/>
          <w:sz w:val="24"/>
          <w:szCs w:val="24"/>
        </w:rPr>
        <w:t>Требования к продукции</w:t>
      </w:r>
      <w:bookmarkEnd w:id="7"/>
      <w:bookmarkEnd w:id="8"/>
    </w:p>
    <w:p>
      <w:pPr>
        <w:pStyle w:val="Normal"/>
        <w:ind w:left="357" w:right="0" w:hanging="357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4"/>
        <w:keepNext w:val="true"/>
        <w:widowControl/>
        <w:numPr>
          <w:ilvl w:val="1"/>
          <w:numId w:val="4"/>
        </w:numPr>
        <w:suppressAutoHyphens w:val="true"/>
        <w:bidi w:val="0"/>
        <w:spacing w:before="0" w:after="0"/>
        <w:ind w:left="454" w:right="0" w:hanging="454"/>
        <w:jc w:val="left"/>
        <w:rPr>
          <w:rFonts w:ascii="Liberation Serif" w:hAnsi="Liberation Serif"/>
        </w:rPr>
      </w:pPr>
      <w:bookmarkStart w:id="11" w:name="_Toc75446574"/>
      <w:r>
        <w:rPr>
          <w:rFonts w:ascii="Liberation Serif" w:hAnsi="Liberation Serif"/>
        </w:rPr>
        <w:t xml:space="preserve">Требования к объемам и срокам </w:t>
      </w:r>
      <w:r>
        <w:rPr>
          <w:rFonts w:ascii="Liberation Serif" w:hAnsi="Liberation Serif"/>
          <w:lang w:val="ru-RU"/>
        </w:rPr>
        <w:t>поставки</w:t>
      </w:r>
      <w:bookmarkEnd w:id="11"/>
    </w:p>
    <w:p>
      <w:pPr>
        <w:pStyle w:val="Heading3"/>
        <w:ind w:left="1134" w:right="0" w:hanging="0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</w:r>
    </w:p>
    <w:p>
      <w:pPr>
        <w:pStyle w:val="Heading3"/>
        <w:rPr/>
      </w:pPr>
      <w:r>
        <w:rPr>
          <w:rFonts w:ascii="Liberation Serif" w:hAnsi="Liberation Serif"/>
          <w:lang w:val="ru-RU"/>
        </w:rPr>
        <w:t xml:space="preserve">2.1.1. </w:t>
      </w:r>
      <w:bookmarkStart w:id="12" w:name="_Toc75446575"/>
      <w:r>
        <w:rPr>
          <w:rFonts w:ascii="Liberation Serif" w:hAnsi="Liberation Serif"/>
          <w:lang w:val="ru-RU"/>
        </w:rPr>
        <w:t>Перечень и объем закупаемой продукции</w:t>
      </w:r>
      <w:bookmarkEnd w:id="12"/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Heading4"/>
        <w:keepLines/>
        <w:tabs>
          <w:tab w:val="clear" w:pos="0"/>
          <w:tab w:val="left" w:pos="849" w:leader="none"/>
          <w:tab w:val="left" w:pos="1300" w:leader="none"/>
        </w:tabs>
        <w:ind w:left="0" w:right="0" w:hanging="0"/>
        <w:rPr>
          <w:rFonts w:ascii="Liberation Serif" w:hAnsi="Liberation Serif"/>
        </w:rPr>
      </w:pPr>
      <w:bookmarkStart w:id="13" w:name="_Toc75446576"/>
      <w:bookmarkStart w:id="14" w:name="_Toc51339695"/>
      <w:r>
        <w:rPr>
          <w:rFonts w:ascii="Liberation Serif" w:hAnsi="Liberation Serif"/>
        </w:rPr>
        <w:t xml:space="preserve">Таблица </w:t>
      </w:r>
      <w:r>
        <w:rPr>
          <w:rFonts w:ascii="Liberation Serif" w:hAnsi="Liberation Serif"/>
          <w:lang w:val="ru-RU"/>
        </w:rPr>
        <w:t>1.1.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lang w:val="ru-RU"/>
        </w:rPr>
        <w:t xml:space="preserve">Перечень </w:t>
      </w:r>
      <w:bookmarkEnd w:id="14"/>
      <w:r>
        <w:rPr>
          <w:rFonts w:ascii="Liberation Serif" w:hAnsi="Liberation Serif"/>
          <w:lang w:val="ru-RU"/>
        </w:rPr>
        <w:t>и объем закупаемой продукции</w:t>
      </w:r>
      <w:bookmarkEnd w:id="13"/>
    </w:p>
    <w:tbl>
      <w:tblPr>
        <w:tblW w:w="1473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1970"/>
        <w:gridCol w:w="954"/>
        <w:gridCol w:w="1249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Ед. измер.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/>
            </w:pPr>
            <w:r>
              <w:rPr>
                <w:rFonts w:cs="Liberation Serif" w:ascii="Liberation Serif" w:hAnsi="Liberation Serif"/>
                <w:b/>
                <w:bCs/>
                <w:sz w:val="24"/>
                <w:szCs w:val="24"/>
              </w:rPr>
              <w:t>Филиал «</w:t>
            </w:r>
            <w:r>
              <w:rPr>
                <w:rFonts w:cs="Liberation Serif" w:ascii="Liberation Serif" w:hAnsi="Liberation Serif"/>
                <w:b/>
                <w:bCs/>
                <w:sz w:val="24"/>
                <w:szCs w:val="24"/>
              </w:rPr>
              <w:t>Южно-Якутские Электрические Сети</w:t>
            </w:r>
            <w:r>
              <w:rPr>
                <w:rFonts w:cs="Liberation Serif" w:ascii="Liberation Serif" w:hAnsi="Liberation Serif"/>
                <w:b/>
                <w:bCs/>
                <w:sz w:val="24"/>
                <w:szCs w:val="24"/>
              </w:rPr>
              <w:t>»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</w:p>
        </w:tc>
        <w:tc>
          <w:tcPr>
            <w:tcW w:w="1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 xml:space="preserve">Ограждение для ПС 110 кВ Алдан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1.1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Панель сетчатого ограждения, длина панели  не более 2,5 м, высота панели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,5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 размер ячейки 150х50 мм,  толщина прутков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4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мм.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секций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18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Панель сетчатого ограждения, длина панели  не более 2,5 м, высота панели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3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 размер ячейки 150х50 мм,  толщина прутков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4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мм.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секций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18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4 отверстия (2,03) прямоугольный фланец,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5,5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36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2,5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108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3,6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8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Калитка сетчатая для секции заграждения в комплекте с оцинкованными стойками, размеры 80х80х2 мм высота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2,5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 - 2 шт., створкой, элементами крепления, запорным устройством и оцинкованной сварной панелью, ширина калитки 1020 мм, высота калитки 2500 мм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комл.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Скоба под болт заборная 40*40*2 мм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700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Болт М6*130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700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Гайка М6 антивандальная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700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Ограждение для  ПС 110 кВ КС-4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2.1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Панель сетчатого ограждения, длина панели  не более 2,5 м, высота панели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,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5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 размер ячейки 150х50 мм,  толщина прутков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4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мм.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секций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14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Панель сетчатого ограждения, длина панели  не более 2,5 м, высота панели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,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3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 размер ячейки 150х50 мм,  толщина прутков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4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мм.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секций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14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4 отверстия (2,03) прямоугольный фланец,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4,8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28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2,5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84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3,6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8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Калитка сетчатая для секции заграждения в комплекте с оцинкованными стойками, размеры 80х80х2 мм высота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2,5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м - 2 шт., створкой, элементами крепления, запорным устройством и оцинкованной сварной панелью, ширина калитки 1020 мм, высота калитки 2500 мм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комл.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Скоба под болт заборная 40*40*2 мм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480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Болт М6*130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480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Гайка М6 антивандальная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480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Ограждение для ПС 220 кВ КС-3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3.1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Панель сетчатого ограждения, длина панели  не более 2,5 м, высота панели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2,7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 размер ячейки 150х50 мм,  толщина прутков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4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мм.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секций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Панель сетчатого ограждения, длина панели  не более 2,5 м, высота панели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3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 размер ячейки 150х50 мм,  толщина прутков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4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мм.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секций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4 отверстия (2,03) прямоугольный фланец,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5,7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2,5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90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3,6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Калитка сетчатая для секции заграждения в комплекте с оцинкованными стойками, размеры 80х80х2 мм высота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2,5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м - 2 шт., створкой, элементами крепления, запорным устройством и оцинкованной сварной панелью, ширина калитки 1020 мм, высота калитки 2500 мм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комл.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Скоба под болт заборная 40*40*2 мм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580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Болт М6*130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580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Гайка М6 антивандальная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580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Ограждение для ПС 220  кВ КС-5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4.1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Панель сетчатого ограждения, длина панели  не более 2,5 м, высота панели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,7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 размер ячейки 150х50 мм,  толщина прутков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4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мм.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секций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14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Панель сетчатого ограждения, длина панели  не более 2,5 м, высота панели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3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 размер ячейки 150х50 мм,  толщина прутков не менее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4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мм.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секций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14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4 отверстия (2,03) прямоугольный фланец,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5,7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28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2,5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84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Столб металлический квадратный для ограждений покрытие цинк-порошковая эмаль, толщина стенки 2,0 мм, размеры 80х80 мм, высота 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не более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3,6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 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8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Калитка сетчатая для секции заграждения в комплекте с оцинкованными стойками, размеры 80х80х2 мм высота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 xml:space="preserve">2,86 </w:t>
            </w: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м - 2 шт., створкой, элементами крепления, запорным устройством и оцинкованной сварной панелью, ширина калитки 1020 мм, высота калитки 2500 мм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комл.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Скоба под болт заборная 40*40*2 мм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570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Болт М6*130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570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</w:t>
            </w: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Гайка М6 антивандальная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570</w:t>
            </w:r>
          </w:p>
        </w:tc>
      </w:tr>
    </w:tbl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Liberation Serif" w:hAnsi="Liberation Serif"/>
        </w:rPr>
      </w:pPr>
      <w:r>
        <w:rPr>
          <w:rFonts w:ascii="Liberation Serif" w:hAnsi="Liberation Serif"/>
          <w:i/>
          <w:iCs/>
          <w:color w:val="000000"/>
        </w:rPr>
        <w:tab/>
        <w:t xml:space="preserve">Указанные в настоящем ТТ и приложениях ссылки на ТУ, марку (тип) продукции носят описательный, а не обязательный характер. </w:t>
      </w:r>
      <w:r>
        <w:rPr>
          <w:rFonts w:ascii="Liberation Serif" w:hAnsi="Liberation Serif"/>
          <w:b/>
          <w:bCs/>
          <w:i/>
          <w:iCs/>
          <w:color w:val="000000"/>
        </w:rPr>
        <w:t>В случае, если Участником предлагается эквивалентная продукция</w:t>
      </w:r>
      <w:r>
        <w:rPr>
          <w:rFonts w:ascii="Liberation Serif" w:hAnsi="Liberation Serif"/>
          <w:i/>
          <w:iCs/>
          <w:color w:val="000000"/>
        </w:rPr>
        <w:t xml:space="preserve">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эксплуатации.»</w:t>
      </w:r>
    </w:p>
    <w:p>
      <w:pPr>
        <w:pStyle w:val="Normal"/>
        <w:ind w:left="426" w:right="0" w:hanging="0"/>
        <w:rPr>
          <w:rFonts w:ascii="Liberation Serif" w:hAnsi="Liberation Serif"/>
          <w:iCs/>
          <w:color w:val="767171"/>
        </w:rPr>
      </w:pPr>
      <w:r>
        <w:rPr>
          <w:rFonts w:ascii="Liberation Serif" w:hAnsi="Liberation Serif"/>
          <w:iCs/>
          <w:color w:val="767171"/>
        </w:rPr>
      </w:r>
    </w:p>
    <w:p>
      <w:pPr>
        <w:pStyle w:val="Heading3"/>
        <w:tabs>
          <w:tab w:val="clear" w:pos="0"/>
          <w:tab w:val="left" w:pos="849" w:leader="none"/>
          <w:tab w:val="left" w:pos="1300" w:leader="none"/>
        </w:tabs>
        <w:ind w:left="0" w:right="0" w:hanging="0"/>
        <w:rPr>
          <w:rFonts w:ascii="Liberation Serif" w:hAnsi="Liberation Serif"/>
        </w:rPr>
      </w:pPr>
      <w:r>
        <w:rPr>
          <w:rFonts w:ascii="Liberation Serif" w:hAnsi="Liberation Serif"/>
          <w:lang w:val="ru-RU"/>
        </w:rPr>
        <w:t xml:space="preserve">2.1.2. </w:t>
      </w:r>
      <w:bookmarkStart w:id="15" w:name="_Toc75446578"/>
      <w:bookmarkStart w:id="16" w:name="_Toc51339696"/>
      <w:r>
        <w:rPr>
          <w:rFonts w:ascii="Liberation Serif" w:hAnsi="Liberation Serif"/>
          <w:lang w:val="ru-RU"/>
        </w:rPr>
        <w:t xml:space="preserve">Требования </w:t>
      </w:r>
      <w:bookmarkEnd w:id="16"/>
      <w:r>
        <w:rPr>
          <w:rFonts w:ascii="Liberation Serif" w:hAnsi="Liberation Serif"/>
          <w:lang w:val="ru-RU"/>
        </w:rPr>
        <w:t xml:space="preserve">к срокам поставки продукции </w:t>
      </w:r>
      <w:bookmarkEnd w:id="15"/>
    </w:p>
    <w:p>
      <w:pPr>
        <w:pStyle w:val="Heading1"/>
        <w:keepLines/>
        <w:tabs>
          <w:tab w:val="clear" w:pos="0"/>
          <w:tab w:val="left" w:pos="849" w:leader="none"/>
          <w:tab w:val="left" w:pos="1300" w:leader="none"/>
        </w:tabs>
        <w:ind w:left="0" w:right="0" w:hanging="0"/>
        <w:rPr>
          <w:rFonts w:ascii="Liberation Serif" w:hAnsi="Liberation Serif"/>
        </w:rPr>
      </w:pPr>
      <w:bookmarkStart w:id="17" w:name="_Toc75446579"/>
      <w:bookmarkStart w:id="18" w:name="_Toc51339697"/>
      <w:bookmarkStart w:id="19" w:name="_Toc50125127"/>
      <w:bookmarkStart w:id="20" w:name="_Toc50125126_Копия_1"/>
      <w:bookmarkEnd w:id="20"/>
      <w:r>
        <w:rPr>
          <w:rFonts w:ascii="Liberation Serif" w:hAnsi="Liberation Serif"/>
          <w:sz w:val="24"/>
          <w:szCs w:val="24"/>
        </w:rPr>
        <w:t xml:space="preserve">Таблица </w:t>
      </w:r>
      <w:r>
        <w:rPr>
          <w:rFonts w:ascii="Liberation Serif" w:hAnsi="Liberation Serif"/>
          <w:sz w:val="24"/>
          <w:szCs w:val="24"/>
          <w:lang w:val="ru-RU"/>
        </w:rPr>
        <w:t>2</w:t>
      </w:r>
      <w:r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  <w:lang w:val="ru-RU"/>
        </w:rPr>
        <w:t>1</w:t>
      </w:r>
      <w:r>
        <w:rPr>
          <w:rFonts w:ascii="Liberation Serif" w:hAnsi="Liberation Serif"/>
          <w:sz w:val="24"/>
          <w:szCs w:val="24"/>
        </w:rPr>
        <w:t xml:space="preserve"> </w:t>
      </w:r>
      <w:bookmarkStart w:id="21" w:name="_Hlk50465284"/>
      <w:r>
        <w:rPr>
          <w:rFonts w:ascii="Liberation Serif" w:hAnsi="Liberation Serif"/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rFonts w:ascii="Liberation Serif" w:hAnsi="Liberation Serif"/>
          <w:sz w:val="24"/>
          <w:szCs w:val="24"/>
          <w:lang w:val="ru-RU"/>
        </w:rPr>
        <w:t>поставки продукции</w:t>
      </w:r>
      <w:bookmarkEnd w:id="17"/>
      <w:r>
        <w:rPr>
          <w:rFonts w:ascii="Liberation Serif" w:hAnsi="Liberation Serif"/>
          <w:sz w:val="24"/>
          <w:szCs w:val="24"/>
          <w:lang w:val="ru-RU"/>
        </w:rPr>
        <w:t xml:space="preserve"> 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tbl>
      <w:tblPr>
        <w:tblW w:w="14740" w:type="dxa"/>
        <w:jc w:val="left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847"/>
        <w:gridCol w:w="8272"/>
        <w:gridCol w:w="2845"/>
        <w:gridCol w:w="2776"/>
      </w:tblGrid>
      <w:tr>
        <w:trPr>
          <w:trHeight w:val="565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565" w:hRule="atLeast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142" w:hanging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widowControl w:val="false"/>
              <w:rPr>
                <w:rFonts w:ascii="Liberation Serif" w:hAnsi="Liberation Serif"/>
              </w:rPr>
            </w:pPr>
            <w:r>
              <w:rPr>
                <w:rFonts w:cs="Liberation Serif" w:ascii="Liberation Serif" w:hAnsi="Liberation Serif"/>
                <w:iCs/>
                <w:color w:val="000000"/>
                <w:sz w:val="24"/>
                <w:szCs w:val="24"/>
              </w:rPr>
              <w:t>Ограждение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.1-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 Таблица 1.1 настоящих ТТ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</w:rPr>
              <w:t>С даты заключения договора.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В течение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30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 календарных дней</w:t>
            </w:r>
          </w:p>
        </w:tc>
      </w:tr>
    </w:tbl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</w:p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</w:p>
    <w:p>
      <w:pPr>
        <w:pStyle w:val="Heading4"/>
        <w:numPr>
          <w:ilvl w:val="1"/>
          <w:numId w:val="4"/>
        </w:numPr>
        <w:rPr>
          <w:rFonts w:ascii="Liberation Serif" w:hAnsi="Liberation Serif"/>
        </w:rPr>
      </w:pPr>
      <w:bookmarkStart w:id="22" w:name="_Toc75446581"/>
      <w:bookmarkStart w:id="23" w:name="_Toc46743511"/>
      <w:bookmarkStart w:id="24" w:name="_Toc46743510_Копия_1"/>
      <w:bookmarkEnd w:id="24"/>
      <w:r>
        <w:rPr>
          <w:rFonts w:ascii="Liberation Serif" w:hAnsi="Liberation Serif"/>
        </w:rPr>
        <w:t xml:space="preserve">Требования к </w:t>
      </w:r>
      <w:bookmarkEnd w:id="23"/>
      <w:r>
        <w:rPr>
          <w:rFonts w:ascii="Liberation Serif" w:hAnsi="Liberation Serif"/>
          <w:lang w:val="ru-RU"/>
        </w:rPr>
        <w:t>качеству продукции</w:t>
      </w:r>
      <w:bookmarkEnd w:id="22"/>
    </w:p>
    <w:p>
      <w:pPr>
        <w:pStyle w:val="Heading1"/>
        <w:keepLines/>
        <w:tabs>
          <w:tab w:val="clear" w:pos="0"/>
          <w:tab w:val="left" w:pos="849" w:leader="none"/>
          <w:tab w:val="left" w:pos="1300" w:leader="none"/>
        </w:tabs>
        <w:ind w:left="0" w:right="0" w:hanging="0"/>
        <w:rPr>
          <w:rFonts w:ascii="Liberation Serif" w:hAnsi="Liberation Serif"/>
        </w:rPr>
      </w:pPr>
      <w:bookmarkStart w:id="25" w:name="_Toc75446582"/>
      <w:r>
        <w:rPr>
          <w:rFonts w:ascii="Liberation Serif" w:hAnsi="Liberation Serif"/>
          <w:sz w:val="24"/>
          <w:szCs w:val="24"/>
        </w:rPr>
        <w:t>Таблица </w:t>
      </w:r>
      <w:r>
        <w:rPr>
          <w:rFonts w:ascii="Liberation Serif" w:hAnsi="Liberation Serif"/>
          <w:sz w:val="24"/>
          <w:szCs w:val="24"/>
          <w:lang w:val="ru-RU"/>
        </w:rPr>
        <w:t>3</w:t>
      </w:r>
      <w:r>
        <w:rPr>
          <w:rFonts w:ascii="Liberation Serif" w:hAnsi="Liberation Serif"/>
          <w:sz w:val="24"/>
          <w:szCs w:val="24"/>
        </w:rPr>
        <w:t xml:space="preserve">. Требования к </w:t>
      </w:r>
      <w:r>
        <w:rPr>
          <w:rFonts w:ascii="Liberation Serif" w:hAnsi="Liberation Serif"/>
          <w:sz w:val="24"/>
          <w:szCs w:val="24"/>
          <w:lang w:val="ru-RU"/>
        </w:rPr>
        <w:t>продукции</w:t>
      </w:r>
      <w:bookmarkEnd w:id="25"/>
    </w:p>
    <w:p>
      <w:pPr>
        <w:pStyle w:val="Normal"/>
        <w:tabs>
          <w:tab w:val="clear" w:pos="708"/>
          <w:tab w:val="left" w:pos="849" w:leader="none"/>
          <w:tab w:val="left" w:pos="1300" w:leader="none"/>
        </w:tabs>
        <w:ind w:left="0" w:right="0" w:hanging="0"/>
        <w:rPr/>
      </w:pPr>
      <w:r>
        <w:rPr/>
      </w:r>
    </w:p>
    <w:p>
      <w:pPr>
        <w:pStyle w:val="Normal"/>
        <w:tabs>
          <w:tab w:val="clear" w:pos="708"/>
          <w:tab w:val="left" w:pos="849" w:leader="none"/>
          <w:tab w:val="left" w:pos="1300" w:leader="none"/>
        </w:tabs>
        <w:ind w:left="0" w:right="0" w:hanging="0"/>
        <w:rPr/>
      </w:pPr>
      <w:r>
        <w:rPr/>
      </w:r>
    </w:p>
    <w:tbl>
      <w:tblPr>
        <w:tblW w:w="14740" w:type="dxa"/>
        <w:jc w:val="left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789"/>
        <w:gridCol w:w="3343"/>
        <w:gridCol w:w="4658"/>
        <w:gridCol w:w="2492"/>
        <w:gridCol w:w="1928"/>
        <w:gridCol w:w="1530"/>
      </w:tblGrid>
      <w:tr>
        <w:trPr>
          <w:cantSplit w:val="true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Требование заказчика</w:t>
            </w: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cantSplit w:val="true"/>
        </w:trPr>
        <w:tc>
          <w:tcPr>
            <w:tcW w:w="7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Предоставление подтверждающего документа на этапе закупки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</w:tr>
      <w:tr>
        <w:trPr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Требования к техническим и функциональным характеристикам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защитного о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граждения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(включая гарантируемые показатели)</w:t>
            </w:r>
          </w:p>
        </w:tc>
      </w:tr>
      <w:tr>
        <w:trPr>
          <w:trHeight w:val="96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Тип ограждения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Пространственная каркасно-сетчатая конструкция.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80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Ячейка сети (основная)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 xml:space="preserve">Не 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менее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50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 xml:space="preserve"> х 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50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 xml:space="preserve"> м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м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15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1.6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Секционность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sz w:val="24"/>
                <w:szCs w:val="24"/>
              </w:rPr>
              <w:t>Отдельные быстросъемные секции (рамы). Максимальная масса секции: 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не более 80 кг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87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Зазоры безопасности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sz w:val="24"/>
                <w:szCs w:val="24"/>
              </w:rPr>
              <w:t>Согласно ПУЭ для класса напряжения + запас 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не менее 30%</w:t>
            </w:r>
            <w:r>
              <w:rPr>
                <w:rFonts w:ascii="Liberation Serif" w:hAnsi="Liberation Serif"/>
                <w:sz w:val="24"/>
                <w:szCs w:val="24"/>
              </w:rPr>
              <w:t> на деформацию сети и ветер.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06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Требования к конструкции, изготовлению и материалам:</w:t>
            </w:r>
          </w:p>
        </w:tc>
      </w:tr>
      <w:tr>
        <w:trPr>
          <w:trHeight w:val="37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Сетка (фоновое заполнение)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sz w:val="24"/>
                <w:szCs w:val="24"/>
              </w:rPr>
              <w:t>Стальная плетеная/сварная, оцинкованная. Диаметр проволоки ≥ 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.0 мм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282" w:right="0" w:hanging="282"/>
              <w:contextualSpacing/>
              <w:jc w:val="center"/>
              <w:rPr/>
            </w:pPr>
            <w:r>
              <w:rPr>
                <w:rStyle w:val="Strong"/>
                <w:rFonts w:cs="Times New Roman" w:ascii="Liberation Serif" w:hAnsi="Liberation Serif"/>
                <w:b w:val="false"/>
                <w:bCs w:val="false"/>
                <w:sz w:val="24"/>
                <w:szCs w:val="24"/>
              </w:rPr>
              <w:t>Силовой каркас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ascii="Liberation Serif" w:hAnsi="Liberation Serif"/>
                <w:sz w:val="24"/>
                <w:szCs w:val="24"/>
              </w:rPr>
              <w:t>Стальной профиль (квадратная труба/двутавр). Марка стали 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С245 и выше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Защита от коррозии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Горячее цинкование 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(по типу гальфан)</w:t>
            </w:r>
            <w:r>
              <w:rPr>
                <w:rFonts w:ascii="Liberation Serif" w:hAnsi="Liberation Serif"/>
                <w:sz w:val="24"/>
                <w:szCs w:val="24"/>
                <w:shd w:fill="FFFF00" w:val="clear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(толщина слоя 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не менее 80 мкм</w:t>
            </w:r>
            <w:r>
              <w:rPr>
                <w:rFonts w:ascii="Liberation Serif" w:hAnsi="Liberation Serif"/>
                <w:sz w:val="24"/>
                <w:szCs w:val="24"/>
              </w:rPr>
              <w:t>). Допускается окраска по цинку (RAL 7024/6003).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lang w:val="en-US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lang w:val="en-US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Крепеж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sz w:val="24"/>
                <w:szCs w:val="24"/>
              </w:rPr>
              <w:t>Оцинкованный / нержавеющий. Класс прочности 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не ниже 8.8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90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Требования к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стойкости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ограждения:</w:t>
            </w:r>
          </w:p>
        </w:tc>
      </w:tr>
      <w:tr>
        <w:trPr>
          <w:trHeight w:val="172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3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Продавливание сетки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Узел крепления должен выдерживать ≥ 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200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 xml:space="preserve"> кг/м²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 без разрыва плетения.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3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3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Ветровая нагрузка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По СП 20.13330, но 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не ниже II района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 (≥ 0.30 кПа). С учетом гололеда.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43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3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Снеговая нагрузка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По СП 20.13330 для региона, но 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не менее 150 кг/м²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 горизонтальной проекции.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3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bCs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Требования к монтажу и адаптации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ограждения:</w:t>
            </w:r>
          </w:p>
        </w:tc>
      </w:tr>
      <w:tr>
        <w:trPr>
          <w:trHeight w:val="22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4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Заземление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Подключение к общему контуру подстанции 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 xml:space="preserve">не менее чем в 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 xml:space="preserve"> точк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е на секцию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4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 xml:space="preserve">Проезды </w:t>
            </w: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к оборудованию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Cs/>
                <w:sz w:val="24"/>
                <w:szCs w:val="24"/>
                <w:shd w:fill="auto" w:val="clear"/>
              </w:rPr>
              <w:t xml:space="preserve">Съемные секции 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 xml:space="preserve">не менее 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5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х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5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 xml:space="preserve"> м</w:t>
            </w:r>
            <w:r>
              <w:rPr>
                <w:rFonts w:ascii="Liberation Serif" w:hAnsi="Liberation Serif"/>
                <w:bCs/>
                <w:sz w:val="24"/>
                <w:szCs w:val="24"/>
                <w:shd w:fill="auto" w:val="clear"/>
              </w:rPr>
              <w:t> для замены трансформатора.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  <w:t>Требование к проходам и доступам (защитная сетчатая калитка):</w:t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Тип открывания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Р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аспашные. Открывание створок наружу.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Проем (ширина)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 xml:space="preserve">не 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более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1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,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1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 xml:space="preserve"> м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 для пешей калитки.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5.3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Высота полотна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Равна высоте основного ограждения (за вычетом клиренса не более 50 мм снизу).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5.4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Каркас створки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Замкнутая рама из стального профиля (труба квадратная/прямоугольная) с внутренними ребрами жесткости. Марка стали С245.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5.6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Заполнение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Сетка стальная плетеная/сварная, ЦПВС. Ячейка 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 xml:space="preserve">не 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 xml:space="preserve">менее 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1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50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х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>50</w:t>
            </w:r>
            <w:r>
              <w:rPr>
                <w:rStyle w:val="Strong"/>
                <w:rFonts w:ascii="Liberation Serif" w:hAnsi="Liberation Serif"/>
                <w:sz w:val="24"/>
                <w:szCs w:val="24"/>
                <w:shd w:fill="auto" w:val="clear"/>
              </w:rPr>
              <w:t xml:space="preserve"> мм.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 Крепление к раме болтовое или сварное.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5.7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Система запирания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Ригельная система на 3 точки (вверх, вниз, в центр). Ручной привод (штурвал/рычаг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).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5.8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Исполнение замка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Утопленная или накладная конструкция с защитным металлическим коробом (экраном), исключающим прямое попадание осколков в механизм секретности.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5.9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Дополнительная фиксация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Проушины для навесного замка + возможность опломбирования.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5.10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Петли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Усиленные, на подшипниках скольжения, со скрытым или противосъемным штифтом. Выдерживают нагрузку не менее 200 кг на створку.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5.1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Статическая нагрузка на отрыв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Створка в запертом состоянии должна выдерживать распределенную нагрузку ≥ 100 кг/м² без вскрытия запирающих механизмов.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5.1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Климатическое исполнение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УХЛ1. Сохранение работоспособности запорных механизмов при гололеде.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5.1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Материал каркаса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Сталь, горячее цинкование (≥ 80 мкм) или порошковая окраска по цинку.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</w:rPr>
            </w:pPr>
            <w:r>
              <w:rPr>
                <w:rFonts w:ascii="Liberation Serif" w:hAnsi="Liberation Serif"/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5.1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Метизы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Нержавеющая сталь A2/A4 или усиленный оцинкованный крепеж с графитовой смазкой в узлах трения.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5.1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Сварные швы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Сплошные, зачищенные, с последующей антикоррозийной обработкой (цинк-спрей или холодное цинкование) в зоне монтажной сварки.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377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5.1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Безопасность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Обязательная установка стопорных механизмов (фиксаторов) в положении «открыто». Ограничители поворота створок (упоры).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5.18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Ремонтопригодность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Конструкция должна позволять навесить временную сетчатую раму-заглушку на штатные проушины проема в случае деформации штатной створки (аварийный комплект ЗИП).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A6A6A6"/>
              </w:rPr>
            </w:pPr>
            <w:r>
              <w:rPr>
                <w:i/>
                <w:color w:val="A6A6A6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shd w:fill="auto" w:val="clear"/>
              </w:rPr>
            </w:r>
          </w:p>
        </w:tc>
      </w:tr>
      <w:tr>
        <w:trPr>
          <w:trHeight w:val="112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bCs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Требование к н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адежност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и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и эксплуатаци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и:</w:t>
            </w:r>
          </w:p>
        </w:tc>
      </w:tr>
      <w:tr>
        <w:trPr>
          <w:trHeight w:val="780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6.1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Срок службы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Не менее </w:t>
            </w:r>
            <w:r>
              <w:rPr>
                <w:rStyle w:val="Strong"/>
                <w:rFonts w:ascii="Liberation Serif" w:hAnsi="Liberation Serif"/>
                <w:sz w:val="24"/>
                <w:szCs w:val="24"/>
              </w:rPr>
              <w:t>25 лет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 без восстановительного ремонта.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Представить чертеж сетчат</w:t>
            </w:r>
            <w:r>
              <w:rPr>
                <w:rFonts w:ascii="Liberation Serif" w:hAnsi="Liberation Serif"/>
                <w:i/>
                <w:color w:val="A6A6A6"/>
                <w:sz w:val="24"/>
                <w:szCs w:val="24"/>
                <w:lang w:val="en-US"/>
              </w:rPr>
              <w:t xml:space="preserve">ого </w:t>
            </w: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ограждения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105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6.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Химическая стойкость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Инертность к трансформаторному маслу и промышленным кислотосодержащим осадкам.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080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6.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Ремонтопригодность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Замена поврежденного сегмента за ≤ 4 часа силами 2 человек,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без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автовышки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и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без разбора каркаса.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bCs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Heading4"/>
              <w:keepNext w:val="true"/>
              <w:widowControl w:val="false"/>
              <w:suppressAutoHyphens w:val="true"/>
              <w:bidi w:val="0"/>
              <w:spacing w:before="0" w:after="0"/>
              <w:ind w:left="567" w:right="113" w:hanging="567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Требование к 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омплектност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поставки:</w:t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7.1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Металлоконструкции каркаса и сетчатые панели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Комплектация «под ключ», исключающая закупку дополнительного крепежа на стороне Заказчика. Согласно спецификации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10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7.2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Крепежные и метизные изделия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Необходимость наличия ЗИП для оперативного восстановления. Запас +5%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58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7.4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Гибкие перемычки и элементы заземления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Обязательная поставка гибких связей для подключения к общему контуру заземления согласно ПУЭ. Для металлизации и подключения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58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7.5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Технический паспорт на изделие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Документация должна подтверждать соответствие заявленным ТТ и содержать инструкции.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2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8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</w:tr>
      <w:tr>
        <w:trPr>
          <w:trHeight w:val="206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8.1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Продукция должна быть новая*, ранее не используемая.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* - Под новым следует понимать оборудование, которое не было в употреблении, не приходило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b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b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2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8.2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 выпуска продукции (оборудования)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Оборудование должно быть не ранее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квартала 202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года, серийного выпуска.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iCs/>
                <w:kern w:val="2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kern w:val="2"/>
                <w:sz w:val="24"/>
                <w:szCs w:val="24"/>
              </w:rPr>
              <w:t>Указание года выпуска продукции (оборудования)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75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9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30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9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 поставки продукции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  <w:t xml:space="preserve">Место поставки :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Филиал АО «Дальневосточная распределительная сетевая компания» «Южно-Якутские электрические сети»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ИНН/КПП 2801108200/140202001, 678900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Республика Саха (Якутия), г. Алдан, ул. Мельниченко, 4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62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Способ доставки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Допускается: Доставка ж/д транспортом, автотранспортом.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62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Упаковка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0"/>
              </w:rPr>
            </w:pPr>
            <w:r>
              <w:rPr>
                <w:rFonts w:ascii="Liberation Serif" w:hAnsi="Liberation Serif"/>
                <w:sz w:val="24"/>
                <w:szCs w:val="20"/>
              </w:rPr>
              <w:t>Транспортные пакеты, исключающие истирание цинкового покрытия.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62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Маркировка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0"/>
              </w:rPr>
            </w:pPr>
            <w:r>
              <w:rPr>
                <w:rFonts w:ascii="Liberation Serif" w:hAnsi="Liberation Serif"/>
                <w:sz w:val="24"/>
                <w:szCs w:val="20"/>
              </w:rPr>
              <w:t>Бирка на каждой единице с номером чертежа и обозначением секции по монтажной схеме.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7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9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Транспортная маркировка грузов - по ГОСТ 14192-96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06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9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 сохраняемости, лет, не менее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65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10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hd w:fill="auto" w:val="clear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shd w:fill="auto" w:val="clear"/>
              </w:rPr>
              <w:t xml:space="preserve">Требования к комплектации  </w:t>
            </w:r>
            <w:r>
              <w:rPr>
                <w:rFonts w:ascii="Liberation Serif" w:hAnsi="Liberation Serif"/>
                <w:b/>
                <w:sz w:val="24"/>
                <w:szCs w:val="24"/>
                <w:shd w:fill="auto" w:val="clear"/>
              </w:rPr>
              <w:t>ограждения</w:t>
            </w:r>
            <w:r>
              <w:rPr>
                <w:rFonts w:ascii="Liberation Serif" w:hAnsi="Liberation Serif"/>
                <w:b/>
                <w:sz w:val="24"/>
                <w:szCs w:val="24"/>
                <w:shd w:fill="auto" w:val="clear"/>
              </w:rPr>
              <w:t>:</w:t>
            </w:r>
          </w:p>
        </w:tc>
      </w:tr>
      <w:tr>
        <w:trPr>
          <w:trHeight w:val="1365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10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center"/>
              <w:rPr>
                <w:rFonts w:ascii="Liberation Serif" w:hAnsi="Liberation Serif" w:eastAsia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Один комплект защитного сетчатого ограждения с защитной сетчатой калиткой на один силовой трансформатор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jc w:val="center"/>
              <w:rPr>
                <w:rFonts w:ascii="Liberation Serif" w:hAnsi="Liberation Serif" w:eastAsia="Calibri"/>
                <w:i/>
                <w:i/>
                <w:color w:val="A6A6A6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06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1</w:t>
            </w: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Требования к документам, поставляемым вместе с продукцией:</w:t>
            </w:r>
          </w:p>
        </w:tc>
      </w:tr>
      <w:tr>
        <w:trPr>
          <w:trHeight w:val="22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1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борочный чертеж </w:t>
            </w:r>
            <w:r>
              <w:rPr>
                <w:rFonts w:ascii="Liberation Serif" w:hAnsi="Liberation Serif"/>
                <w:sz w:val="24"/>
                <w:szCs w:val="24"/>
              </w:rPr>
              <w:t>ограждения</w:t>
            </w:r>
            <w:r>
              <w:rPr>
                <w:rFonts w:ascii="Liberation Serif" w:hAnsi="Liberation Serif"/>
                <w:sz w:val="24"/>
                <w:szCs w:val="24"/>
              </w:rPr>
              <w:t>, экз.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b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b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53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1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Ведомость ЗИП в комплектации производителя, экз.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8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1</w:t>
            </w: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документации:</w:t>
            </w:r>
          </w:p>
        </w:tc>
      </w:tr>
      <w:tr>
        <w:trPr>
          <w:trHeight w:val="206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2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 всем неоговоренном КТП и встраиваемое оборудование должны соответствовать требованиям ПУЭ ГОСТ 14695-80, ГОСТ 14693-90, ГОСТ 11920-85, ГОСТ 11677-85, ГОСТ 1516.3-96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53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1</w:t>
            </w: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Дополнительные требования:</w:t>
            </w:r>
          </w:p>
        </w:tc>
      </w:tr>
      <w:tr>
        <w:trPr>
          <w:trHeight w:val="153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3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Участие представителя завода изготовителя (поставщика) в проверке качества и комплектности поставляемой </w:t>
            </w:r>
            <w:r>
              <w:rPr>
                <w:rFonts w:ascii="Liberation Serif" w:hAnsi="Liberation Serif"/>
                <w:sz w:val="24"/>
                <w:szCs w:val="24"/>
              </w:rPr>
              <w:t>продукции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 с</w:t>
            </w: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ладах Заказчика.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случае выявления Заказчиком замечаний к поставленному оборудованию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</w:tbl>
    <w:p>
      <w:pPr>
        <w:pStyle w:val="Normal"/>
        <w:spacing w:before="0" w:after="60"/>
        <w:jc w:val="both"/>
        <w:rPr>
          <w:rFonts w:ascii="Liberation Serif" w:hAnsi="Liberation Serif"/>
        </w:rPr>
      </w:pPr>
      <w:r>
        <w:rPr>
          <w:rFonts w:ascii="Liberation Serif" w:hAnsi="Liberation Serif"/>
          <w:i/>
          <w:iCs/>
          <w:sz w:val="24"/>
          <w:szCs w:val="24"/>
        </w:rPr>
        <w:t>Примечание 2: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</w:t>
      </w:r>
    </w:p>
    <w:p>
      <w:pPr>
        <w:pStyle w:val="Normal"/>
        <w:ind w:left="0" w:right="0" w:hanging="0"/>
        <w:rPr/>
      </w:pPr>
      <w:r>
        <w:rPr>
          <w:rStyle w:val="Style"/>
          <w:rFonts w:ascii="Liberation Serif" w:hAnsi="Liberation Serif"/>
          <w:i/>
          <w:iCs/>
          <w:color w:val="000000"/>
          <w:sz w:val="24"/>
          <w:szCs w:val="24"/>
        </w:rPr>
        <w:t>*</w:t>
      </w:r>
      <w:r>
        <w:rPr>
          <w:rFonts w:ascii="Liberation Serif" w:hAnsi="Liberation Serif"/>
          <w:i/>
          <w:iCs/>
          <w:color w:val="000000"/>
          <w:sz w:val="24"/>
          <w:szCs w:val="24"/>
        </w:rPr>
        <w:t xml:space="preserve"> Способ подтверждения участником соответствия требованиям указан в таблице в отношении каждой позиции закупаемой продукции.</w:t>
      </w:r>
    </w:p>
    <w:p>
      <w:pPr>
        <w:pStyle w:val="Normal"/>
        <w:spacing w:before="0" w:after="60"/>
        <w:jc w:val="both"/>
        <w:rPr>
          <w:rFonts w:ascii="Liberation Serif" w:hAnsi="Liberation Serif"/>
          <w:i/>
          <w:i/>
          <w:iCs/>
          <w:sz w:val="24"/>
          <w:szCs w:val="24"/>
        </w:rPr>
      </w:pPr>
      <w:r>
        <w:rPr>
          <w:rFonts w:ascii="Liberation Serif" w:hAnsi="Liberation Serif"/>
          <w:i/>
          <w:iCs/>
          <w:sz w:val="24"/>
          <w:szCs w:val="24"/>
        </w:rPr>
      </w:r>
    </w:p>
    <w:p>
      <w:pPr>
        <w:pStyle w:val="Heading1"/>
        <w:tabs>
          <w:tab w:val="clear" w:pos="0"/>
          <w:tab w:val="left" w:pos="61" w:leader="none"/>
          <w:tab w:val="left" w:pos="113" w:leader="none"/>
          <w:tab w:val="left" w:pos="849" w:leader="none"/>
          <w:tab w:val="left" w:pos="1300" w:leader="none"/>
        </w:tabs>
        <w:ind w:left="0" w:right="0" w:hanging="0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  <w:lang w:val="ru-RU"/>
        </w:rPr>
        <w:t>3. В СОСТАВЕ ЗАЯВКИ НЕОБХОДИМО ПРЕДОСТАВИТЬ:</w:t>
      </w:r>
    </w:p>
    <w:p>
      <w:pPr>
        <w:pStyle w:val="Normal"/>
        <w:spacing w:lineRule="auto" w:line="276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</w:t>
      </w:r>
    </w:p>
    <w:p>
      <w:pPr>
        <w:pStyle w:val="Normal"/>
        <w:spacing w:lineRule="auto" w:line="276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3.1.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3</w:t>
      </w:r>
      <w:r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. 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spacing w:lineRule="auto" w:line="27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Heading1"/>
        <w:ind w:left="0" w:right="0" w:hanging="0"/>
        <w:rPr>
          <w:rFonts w:ascii="Liberation Serif" w:hAnsi="Liberation Serif"/>
        </w:rPr>
      </w:pPr>
      <w:r>
        <w:rPr>
          <w:rFonts w:ascii="Liberation Serif" w:hAnsi="Liberation Serif"/>
          <w:iCs/>
          <w:sz w:val="24"/>
          <w:szCs w:val="24"/>
        </w:rPr>
        <w:t>4. ТРЕБОВАНИЯ К ДОКУМЕНТАЦИИ ПО ЦЕНООБРАЗОВАНИЮ НА ЭТАПЕ ЗАКУПКИ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  <w:lang w:val="x-none" w:eastAsia="x-none"/>
        </w:rPr>
        <w:t>4.1. В обоснование стоимости своей заявки Участник предоставляет Коммерческое предложение по форме, приведенной в Документации о закупке.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  <w:lang w:val="x-none" w:eastAsia="x-none"/>
        </w:rPr>
        <w:t>4.2.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ListParagraph"/>
        <w:spacing w:lineRule="auto" w:line="240" w:before="0" w:after="0"/>
        <w:ind w:left="0" w:right="0" w:hanging="0"/>
        <w:contextualSpacing w:val="false"/>
        <w:jc w:val="both"/>
        <w:rPr>
          <w:rFonts w:ascii="Liberation Serif" w:hAnsi="Liberation Serif"/>
          <w:bCs/>
          <w:i/>
          <w:i/>
          <w:iCs/>
          <w:color w:val="000000"/>
        </w:rPr>
      </w:pPr>
      <w:r>
        <w:rPr>
          <w:rFonts w:ascii="Liberation Serif" w:hAnsi="Liberation Serif"/>
          <w:bCs/>
          <w:i/>
          <w:iCs/>
          <w:color w:val="000000"/>
        </w:rPr>
      </w:r>
    </w:p>
    <w:p>
      <w:pPr>
        <w:pStyle w:val="ListParagraph"/>
        <w:spacing w:lineRule="auto" w:line="240" w:before="0" w:after="0"/>
        <w:ind w:left="0" w:right="0" w:hanging="0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type w:val="nextPage"/>
      <w:pgSz w:orient="landscape" w:w="16838" w:h="11906"/>
      <w:pgMar w:left="1222" w:right="872" w:gutter="0" w:header="680" w:top="1134" w:footer="0" w:bottom="567"/>
      <w:pgNumType w:fmt="decimal"/>
      <w:formProt w:val="false"/>
      <w:textDirection w:val="lrTb"/>
      <w:docGrid w:type="default" w:linePitch="381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Garamond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1"/>
    <w:family w:val="auto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4"/>
      <w:numFmt w:val="decimal"/>
      <w:lvlText w:val="8.%2.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8.4.%3."/>
      <w:lvlJc w:val="left"/>
      <w:pPr>
        <w:tabs>
          <w:tab w:val="num" w:pos="851"/>
        </w:tabs>
        <w:ind w:left="851" w:hanging="851"/>
      </w:pPr>
      <w:rPr>
        <w:sz w:val="24"/>
        <w:i w:val="false"/>
        <w:b w:val="false"/>
        <w:szCs w:val="28"/>
        <w:rFonts w:ascii="Verdana" w:hAnsi="Verdana" w:cs="Verdana"/>
      </w:rPr>
    </w:lvl>
    <w:lvl w:ilvl="3">
      <w:start w:val="1"/>
      <w:numFmt w:val="decimal"/>
      <w:lvlText w:val="%1.%2.%3.%4."/>
      <w:lvlJc w:val="left"/>
      <w:pPr>
        <w:tabs>
          <w:tab w:val="num" w:pos="1844"/>
        </w:tabs>
        <w:ind w:left="1844" w:hanging="567"/>
      </w:pPr>
      <w:rPr/>
    </w:lvl>
    <w:lvl w:ilvl="4">
      <w:start w:val="1"/>
      <w:numFmt w:val="lowerLetter"/>
      <w:lvlText w:val="%5)"/>
      <w:lvlJc w:val="left"/>
      <w:pPr>
        <w:tabs>
          <w:tab w:val="num" w:pos="2448"/>
        </w:tabs>
        <w:ind w:left="244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0"/>
      </w:numPr>
      <w:ind w:left="0" w:right="0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numPr>
        <w:ilvl w:val="0"/>
        <w:numId w:val="0"/>
      </w:numPr>
      <w:ind w:left="0" w:right="0" w:hanging="0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widowControl/>
      <w:numPr>
        <w:ilvl w:val="0"/>
        <w:numId w:val="0"/>
      </w:numPr>
      <w:tabs>
        <w:tab w:val="clear" w:pos="708"/>
        <w:tab w:val="left" w:pos="0" w:leader="none"/>
        <w:tab w:val="left" w:pos="849" w:leader="none"/>
        <w:tab w:val="left" w:pos="1300" w:leader="none"/>
      </w:tabs>
      <w:suppressAutoHyphens w:val="true"/>
      <w:bidi w:val="0"/>
      <w:spacing w:before="0" w:after="0"/>
      <w:ind w:left="0" w:right="0" w:hanging="0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0" w:right="0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1">
    <w:name w:val="page number1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6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5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3"/>
    <w:qFormat/>
    <w:rPr>
      <w:sz w:val="26"/>
      <w:szCs w:val="26"/>
    </w:rPr>
  </w:style>
  <w:style w:type="character" w:styleId="31">
    <w:name w:val="УРОВЕНЬ_Абзац_тип3 Знак"/>
    <w:link w:val="37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>
    <w:name w:val="Пункт2 Знак"/>
    <w:link w:val="25"/>
    <w:qFormat/>
    <w:rPr>
      <w:b/>
      <w:sz w:val="28"/>
    </w:rPr>
  </w:style>
  <w:style w:type="character" w:styleId="12">
    <w:name w:val="УРОВЕНЬ_1. Знак"/>
    <w:link w:val="110"/>
    <w:qFormat/>
    <w:rPr>
      <w:rFonts w:eastAsia="Calibri"/>
      <w:caps/>
      <w:sz w:val="28"/>
      <w:szCs w:val="28"/>
      <w:lang w:eastAsia="en-US"/>
    </w:rPr>
  </w:style>
  <w:style w:type="character" w:styleId="13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Style14">
    <w:name w:val="Заголовок Знак"/>
    <w:qFormat/>
    <w:rPr>
      <w:b/>
      <w:bCs/>
      <w:sz w:val="24"/>
      <w:szCs w:val="24"/>
      <w:lang w:val="ru-RU" w:eastAsia="ru-RU" w:bidi="ar-SA"/>
    </w:rPr>
  </w:style>
  <w:style w:type="character" w:styleId="Pagenumber11">
    <w:name w:val="page number11"/>
    <w:basedOn w:val="DefaultParagraphFont"/>
    <w:qFormat/>
    <w:rPr/>
  </w:style>
  <w:style w:type="character" w:styleId="33">
    <w:name w:val="Основной текст 3 Знак"/>
    <w:qFormat/>
    <w:rPr>
      <w:sz w:val="16"/>
      <w:szCs w:val="16"/>
    </w:rPr>
  </w:style>
  <w:style w:type="character" w:styleId="Style15">
    <w:name w:val="Тема примечания Знак"/>
    <w:qFormat/>
    <w:rPr>
      <w:b/>
      <w:bCs/>
    </w:rPr>
  </w:style>
  <w:style w:type="character" w:styleId="FootnoteReference1">
    <w:name w:val="Footnote Reference1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Doctitleimportant">
    <w:name w:val="doc__title_important"/>
    <w:basedOn w:val="DefaultParagraphFont"/>
    <w:qFormat/>
    <w:rPr/>
  </w:style>
  <w:style w:type="character" w:styleId="EndnoteReference1">
    <w:name w:val="Endnote Reference1"/>
    <w:qFormat/>
    <w:rPr>
      <w:vertAlign w:val="superscript"/>
    </w:rPr>
  </w:style>
  <w:style w:type="character" w:styleId="Footnotereference11">
    <w:name w:val="footnote reference11"/>
    <w:qFormat/>
    <w:rPr>
      <w:vertAlign w:val="superscript"/>
    </w:rPr>
  </w:style>
  <w:style w:type="character" w:styleId="Viewb">
    <w:name w:val="view_b"/>
    <w:qFormat/>
    <w:rPr/>
  </w:style>
  <w:style w:type="character" w:styleId="Style16">
    <w:name w:val="Нижний колонтитул Знак"/>
    <w:qFormat/>
    <w:rPr/>
  </w:style>
  <w:style w:type="character" w:styleId="Strong2">
    <w:name w:val="Strong2"/>
    <w:qFormat/>
    <w:rPr>
      <w:b/>
      <w:bCs/>
    </w:rPr>
  </w:style>
  <w:style w:type="character" w:styleId="14">
    <w:name w:val="Пункт Знак1"/>
    <w:qFormat/>
    <w:rPr>
      <w:sz w:val="28"/>
      <w:lang w:val="ru-RU" w:bidi="ar-SA"/>
    </w:rPr>
  </w:style>
  <w:style w:type="character" w:styleId="Style17">
    <w:name w:val="Основной текст с отступом Знак"/>
    <w:qFormat/>
    <w:rPr>
      <w:lang w:val="ru-RU" w:bidi="ar-SA"/>
    </w:rPr>
  </w:style>
  <w:style w:type="character" w:styleId="Pagenumber">
    <w:name w:val="page number"/>
    <w:basedOn w:val="DefaultParagraphFont"/>
    <w:qFormat/>
    <w:rPr/>
  </w:style>
  <w:style w:type="character" w:styleId="S0">
    <w:name w:val="s0"/>
    <w:qFormat/>
    <w:rPr>
      <w:rFonts w:ascii="Times New Roman" w:hAnsi="Times New Roman" w:cs="Times New Roman"/>
      <w:b w:val="false"/>
      <w:bCs w:val="false"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My">
    <w:name w:val="my Знак"/>
    <w:qFormat/>
    <w:rPr>
      <w:b/>
      <w:sz w:val="28"/>
      <w:szCs w:val="28"/>
      <w:lang w:val="ru-RU" w:bidi="ar-SA"/>
    </w:rPr>
  </w:style>
  <w:style w:type="character" w:styleId="WW8Num34z0">
    <w:name w:val="WW8Num34z0"/>
    <w:qFormat/>
    <w:rPr/>
  </w:style>
  <w:style w:type="character" w:styleId="WW8Num33z0">
    <w:name w:val="WW8Num33z0"/>
    <w:qFormat/>
    <w:rPr>
      <w:b w:val="false"/>
      <w:i w:val="false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29z0">
    <w:name w:val="WW8Num29z0"/>
    <w:qFormat/>
    <w:rPr/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7z0">
    <w:name w:val="WW8Num27z0"/>
    <w:qFormat/>
    <w:rPr>
      <w:b w:val="false"/>
      <w:i w:val="false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5z1">
    <w:name w:val="WW8Num25z1"/>
    <w:qFormat/>
    <w:rPr>
      <w:b w:val="false"/>
      <w:sz w:val="24"/>
      <w:szCs w:val="24"/>
    </w:rPr>
  </w:style>
  <w:style w:type="character" w:styleId="WW8Num25z0">
    <w:name w:val="WW8Num25z0"/>
    <w:qFormat/>
    <w:rPr/>
  </w:style>
  <w:style w:type="character" w:styleId="WW8Num24z3">
    <w:name w:val="WW8Num24z3"/>
    <w:qFormat/>
    <w:rPr>
      <w:rFonts w:ascii="Symbol" w:hAnsi="Symbol" w:cs="Symbol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0">
    <w:name w:val="WW8Num24z0"/>
    <w:qFormat/>
    <w:rPr>
      <w:rFonts w:ascii="Times New Roman" w:hAnsi="Times New Roman" w:eastAsia="Times New Roman" w:cs="Times New Roman"/>
    </w:rPr>
  </w:style>
  <w:style w:type="character" w:styleId="WW8Num23z0">
    <w:name w:val="WW8Num23z0"/>
    <w:qFormat/>
    <w:rPr/>
  </w:style>
  <w:style w:type="character" w:styleId="WW8Num22z0">
    <w:name w:val="WW8Num22z0"/>
    <w:qFormat/>
    <w:rPr/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0z2">
    <w:name w:val="WW8Num20z2"/>
    <w:qFormat/>
    <w:rPr>
      <w:rFonts w:ascii="Verdana" w:hAnsi="Verdana" w:cs="Verdana"/>
      <w:b w:val="false"/>
      <w:i w:val="false"/>
      <w:sz w:val="24"/>
      <w:szCs w:val="28"/>
    </w:rPr>
  </w:style>
  <w:style w:type="character" w:styleId="WW8Num19z0">
    <w:name w:val="WW8Num19z0"/>
    <w:qFormat/>
    <w:rPr>
      <w:b w:val="false"/>
      <w:i w:val="false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6z1">
    <w:name w:val="WW8Num16z1"/>
    <w:qFormat/>
    <w:rPr/>
  </w:style>
  <w:style w:type="character" w:styleId="WW8Num16z0">
    <w:name w:val="WW8Num16z0"/>
    <w:qFormat/>
    <w:rPr>
      <w:b/>
      <w:i w:val="false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4z0">
    <w:name w:val="WW8Num14z0"/>
    <w:qFormat/>
    <w:rPr>
      <w:u w:val="none"/>
    </w:rPr>
  </w:style>
  <w:style w:type="character" w:styleId="WW8Num13z0">
    <w:name w:val="WW8Num13z0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2z1">
    <w:name w:val="WW8Num2z1"/>
    <w:qFormat/>
    <w:rPr>
      <w:b w:val="false"/>
    </w:rPr>
  </w:style>
  <w:style w:type="character" w:styleId="WW8Num10z0">
    <w:name w:val="WW8Num10z0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>
      <w:rFonts w:ascii="Verdana" w:hAnsi="Verdana" w:cs="Verdana"/>
      <w:b w:val="false"/>
      <w:i w:val="false"/>
      <w:sz w:val="24"/>
      <w:szCs w:val="28"/>
    </w:rPr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  <w:sz w:val="24"/>
      <w:szCs w:val="24"/>
      <w:shd w:fill="FFFF00" w:val="clear"/>
      <w:lang w:eastAsia="ru-RU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23">
    <w:name w:val="Знак примечания2"/>
    <w:qFormat/>
    <w:rPr>
      <w:sz w:val="16"/>
      <w:szCs w:val="16"/>
    </w:rPr>
  </w:style>
  <w:style w:type="character" w:styleId="Style18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jc w:val="center"/>
    </w:pPr>
    <w:rPr>
      <w:b/>
      <w:b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>
    <w:name w:val="index heading11"/>
    <w:basedOn w:val="Title"/>
    <w:qFormat/>
    <w:pPr/>
    <w:rPr/>
  </w:style>
  <w:style w:type="paragraph" w:styleId="Style2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2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23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/>
  </w:style>
  <w:style w:type="paragraph" w:styleId="15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>
    <w:name w:val="Название1"/>
    <w:basedOn w:val="Normal"/>
    <w:link w:val="Style1"/>
    <w:qFormat/>
    <w:pPr>
      <w:jc w:val="center"/>
    </w:pPr>
    <w:rPr>
      <w:lang w:val="x-none" w:eastAsia="x-none"/>
    </w:rPr>
  </w:style>
  <w:style w:type="paragraph" w:styleId="Style24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</w:rPr>
  </w:style>
  <w:style w:type="paragraph" w:styleId="Style25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lang w:val="x-none" w:eastAsia="x-none"/>
    </w:rPr>
  </w:style>
  <w:style w:type="paragraph" w:styleId="25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</w:rPr>
  </w:style>
  <w:style w:type="paragraph" w:styleId="Style26">
    <w:name w:val="Раздел регламента"/>
    <w:basedOn w:val="Normal"/>
    <w:qFormat/>
    <w:pPr/>
    <w:rPr/>
  </w:style>
  <w:style w:type="paragraph" w:styleId="Style27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/>
  </w:style>
  <w:style w:type="paragraph" w:styleId="Annotationsubject">
    <w:name w:val="annotation subject"/>
    <w:basedOn w:val="Annotationtext"/>
    <w:next w:val="Annotationtext"/>
    <w:qFormat/>
    <w:pPr>
      <w:spacing w:lineRule="auto" w:line="360"/>
      <w:ind w:left="0" w:right="0" w:firstLine="567"/>
      <w:jc w:val="both"/>
    </w:pPr>
    <w:rPr>
      <w:b/>
      <w:bCs/>
    </w:rPr>
  </w:style>
  <w:style w:type="paragraph" w:styleId="17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cs="Calibri"/>
    </w:rPr>
  </w:style>
  <w:style w:type="paragraph" w:styleId="26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8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1">
    <w:name w:val="caption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9">
    <w:name w:val="Знак"/>
    <w:basedOn w:val="Normal"/>
    <w:qFormat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35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/>
      <w:sz w:val="24"/>
    </w:rPr>
  </w:style>
  <w:style w:type="paragraph" w:styleId="ListBullet4">
    <w:name w:val="List Bullet 4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</w:rPr>
  </w:style>
  <w:style w:type="paragraph" w:styleId="27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/>
      <w:sz w:val="24"/>
    </w:rPr>
  </w:style>
  <w:style w:type="paragraph" w:styleId="Revision">
    <w:name w:val="Revision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</w:rPr>
  </w:style>
  <w:style w:type="paragraph" w:styleId="18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>
    <w:name w:val="Подподпункт"/>
    <w:basedOn w:val="Style25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4">
    <w:name w:val="УРОВЕНЬ_(а)"/>
    <w:basedOn w:val="ListParagraph"/>
    <w:qFormat/>
    <w:pPr>
      <w:numPr>
        <w:ilvl w:val="3"/>
        <w:numId w:val="5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5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>
    <w:name w:val="УРОВЕНЬ_Абзац_тип2"/>
    <w:basedOn w:val="ListParagraph"/>
    <w:qFormat/>
    <w:pPr>
      <w:numPr>
        <w:ilvl w:val="6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>
    <w:name w:val="УРОВЕНЬ_Абзац_тип3"/>
    <w:basedOn w:val="ListParagraph"/>
    <w:link w:val="31"/>
    <w:qFormat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>
    <w:name w:val="УРОВЕНЬ_Подпись"/>
    <w:basedOn w:val="ListParagraph"/>
    <w:qFormat/>
    <w:pPr>
      <w:keepNext w:val="true"/>
      <w:numPr>
        <w:ilvl w:val="5"/>
        <w:numId w:val="5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>
    <w:name w:val="Стиль Заголовок 1 + по ширине"/>
    <w:basedOn w:val="Heading1"/>
    <w:qFormat/>
    <w:pPr>
      <w:keepLines/>
      <w:tabs>
        <w:tab w:val="clear" w:pos="0"/>
        <w:tab w:val="clear" w:pos="849"/>
        <w:tab w:val="clear" w:pos="1300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/>
  </w:style>
  <w:style w:type="paragraph" w:styleId="29">
    <w:name w:val="Заголовок 2 КВВ"/>
    <w:basedOn w:val="Normal"/>
    <w:qFormat/>
    <w:pPr>
      <w:keepNext w:val="true"/>
      <w:numPr>
        <w:ilvl w:val="0"/>
        <w:numId w:val="6"/>
      </w:numPr>
      <w:spacing w:before="120" w:after="120"/>
      <w:jc w:val="both"/>
      <w:outlineLvl w:val="0"/>
    </w:pPr>
    <w:rPr>
      <w:b/>
      <w:kern w:val="2"/>
      <w:sz w:val="24"/>
      <w:lang w:eastAsia="x-none"/>
    </w:rPr>
  </w:style>
  <w:style w:type="paragraph" w:styleId="Style36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0" w:after="150"/>
    </w:pPr>
    <w:rPr>
      <w:sz w:val="24"/>
      <w:szCs w:val="24"/>
    </w:rPr>
  </w:style>
  <w:style w:type="paragraph" w:styleId="110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</w:rPr>
  </w:style>
  <w:style w:type="paragraph" w:styleId="Style37">
    <w:name w:val="Пункт б/н"/>
    <w:basedOn w:val="Normal"/>
    <w:qFormat/>
    <w:pPr>
      <w:tabs>
        <w:tab w:val="clear" w:pos="708"/>
        <w:tab w:val="left" w:pos="1134" w:leader="none"/>
      </w:tabs>
      <w:spacing w:lineRule="auto" w:line="360"/>
      <w:ind w:left="0" w:right="0" w:firstLine="567"/>
      <w:jc w:val="both"/>
    </w:pPr>
    <w:rPr/>
  </w:style>
  <w:style w:type="paragraph" w:styleId="Style38">
    <w:name w:val="Содержимое врезки"/>
    <w:basedOn w:val="Normal"/>
    <w:qFormat/>
    <w:pPr/>
    <w:rPr/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jc w:val="center"/>
    </w:pPr>
    <w:rPr>
      <w:b/>
      <w:bCs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111">
    <w:name w:val="index heading111"/>
    <w:basedOn w:val="Normal"/>
    <w:qFormat/>
    <w:pPr>
      <w:suppressLineNumbers/>
    </w:pPr>
    <w:rPr>
      <w:rFonts w:cs="Lucida Sans"/>
    </w:rPr>
  </w:style>
  <w:style w:type="paragraph" w:styleId="Style41">
    <w:name w:val="Таблицы (моноширинный)"/>
    <w:basedOn w:val="Normal"/>
    <w:qFormat/>
    <w:pPr>
      <w:jc w:val="both"/>
    </w:pPr>
    <w:rPr>
      <w:rFonts w:ascii="Courier New" w:hAnsi="Courier New" w:cs="Courier New"/>
    </w:rPr>
  </w:style>
  <w:style w:type="paragraph" w:styleId="Style42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 w:cs="Arial"/>
    </w:rPr>
  </w:style>
  <w:style w:type="paragraph" w:styleId="ConsNormal">
    <w:name w:val="Cons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left="0" w:right="19772" w:firstLine="720"/>
      <w:jc w:val="left"/>
    </w:pPr>
    <w:rPr>
      <w:rFonts w:ascii="Arial" w:hAnsi="Arial" w:eastAsia="WenQuanYi Zen Hei Sharp" w:cs="Lohit Devanagari"/>
      <w:color w:val="auto"/>
      <w:kern w:val="0"/>
      <w:sz w:val="32"/>
      <w:szCs w:val="24"/>
      <w:lang w:val="ru-RU" w:eastAsia="en-US" w:bidi="hi-IN"/>
    </w:rPr>
  </w:style>
  <w:style w:type="paragraph" w:styleId="Footnotetext1">
    <w:name w:val="footnote text1"/>
    <w:basedOn w:val="Normal"/>
    <w:qFormat/>
    <w:pPr/>
    <w:rPr/>
  </w:style>
  <w:style w:type="paragraph" w:styleId="ListBullet3">
    <w:name w:val="List Bullet 3"/>
    <w:basedOn w:val="Normal"/>
    <w:qFormat/>
    <w:pPr>
      <w:tabs>
        <w:tab w:val="clear" w:pos="708"/>
        <w:tab w:val="left" w:pos="1418" w:leader="none"/>
      </w:tabs>
      <w:spacing w:lineRule="auto" w:line="360" w:before="120" w:after="0"/>
      <w:ind w:left="0" w:right="0" w:firstLine="720"/>
      <w:jc w:val="both"/>
    </w:pPr>
    <w:rPr>
      <w:rFonts w:eastAsia="Calibri"/>
      <w:i/>
      <w:iCs/>
      <w:sz w:val="24"/>
      <w:szCs w:val="24"/>
    </w:rPr>
  </w:style>
  <w:style w:type="paragraph" w:styleId="-1">
    <w:name w:val="Контракт-пункт"/>
    <w:basedOn w:val="Normal"/>
    <w:qFormat/>
    <w:pPr>
      <w:tabs>
        <w:tab w:val="clear" w:pos="708"/>
        <w:tab w:val="left" w:pos="851" w:leader="none"/>
      </w:tabs>
      <w:spacing w:lineRule="auto" w:line="360"/>
      <w:ind w:left="851" w:right="0" w:hanging="851"/>
      <w:jc w:val="both"/>
    </w:pPr>
    <w:rPr>
      <w:rFonts w:eastAsia="Calibri"/>
      <w:sz w:val="28"/>
      <w:szCs w:val="28"/>
    </w:rPr>
  </w:style>
  <w:style w:type="paragraph" w:styleId="DocumentMap">
    <w:name w:val="Document Map"/>
    <w:basedOn w:val="Normal"/>
    <w:qFormat/>
    <w:pPr/>
    <w:rPr>
      <w:rFonts w:ascii="Tahoma" w:hAnsi="Tahoma" w:cs="Tahoma"/>
    </w:rPr>
  </w:style>
  <w:style w:type="paragraph" w:styleId="Style43">
    <w:name w:val="Пункт договора"/>
    <w:basedOn w:val="Normal"/>
    <w:qFormat/>
    <w:pPr>
      <w:jc w:val="both"/>
    </w:pPr>
    <w:rPr>
      <w:rFonts w:ascii="Arial" w:hAnsi="Arial" w:cs="Arial"/>
    </w:rPr>
  </w:style>
  <w:style w:type="paragraph" w:styleId="111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lang w:val="en-US" w:eastAsia="en-US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WenQuanYi Zen Hei Sharp" w:cs="Courier New"/>
      <w:color w:val="auto"/>
      <w:kern w:val="0"/>
      <w:sz w:val="24"/>
      <w:szCs w:val="24"/>
      <w:lang w:val="ru-RU" w:eastAsia="zh-CN" w:bidi="hi-IN"/>
    </w:rPr>
  </w:style>
  <w:style w:type="paragraph" w:styleId="211">
    <w:name w:val="Основной текст 21"/>
    <w:basedOn w:val="Normal"/>
    <w:qFormat/>
    <w:pPr/>
    <w:rPr>
      <w:sz w:val="22"/>
    </w:rPr>
  </w:style>
  <w:style w:type="paragraph" w:styleId="112">
    <w:name w:val="Обычный1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420" w:before="460" w:after="0"/>
      <w:ind w:left="0" w:right="0" w:firstLine="720"/>
      <w:jc w:val="left"/>
    </w:pPr>
    <w:rPr>
      <w:rFonts w:ascii="Arial" w:hAnsi="Arial" w:eastAsia="Arial" w:cs="Arial"/>
      <w:color w:val="auto"/>
      <w:kern w:val="0"/>
      <w:sz w:val="28"/>
      <w:szCs w:val="20"/>
      <w:lang w:val="ru-RU" w:eastAsia="zh-CN" w:bidi="ar-SA"/>
    </w:rPr>
  </w:style>
  <w:style w:type="paragraph" w:styleId="HEADERTEXT">
    <w:name w:val=".HEADERTEX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2B4279"/>
      <w:kern w:val="0"/>
      <w:sz w:val="24"/>
      <w:szCs w:val="24"/>
      <w:lang w:val="ru-RU" w:eastAsia="zh-CN" w:bidi="ar-SA"/>
    </w:rPr>
  </w:style>
  <w:style w:type="paragraph" w:styleId="ListNumber">
    <w:name w:val="List Number"/>
    <w:basedOn w:val="Normal"/>
    <w:qFormat/>
    <w:pPr>
      <w:spacing w:lineRule="auto" w:line="360" w:before="60" w:after="0"/>
      <w:jc w:val="both"/>
    </w:pPr>
    <w:rPr>
      <w:sz w:val="28"/>
      <w:szCs w:val="24"/>
    </w:rPr>
  </w:style>
  <w:style w:type="paragraph" w:styleId="Style44">
    <w:name w:val="Обычный+ без отступа"/>
    <w:basedOn w:val="Normal"/>
    <w:qFormat/>
    <w:pPr>
      <w:numPr>
        <w:ilvl w:val="0"/>
        <w:numId w:val="7"/>
      </w:numPr>
      <w:spacing w:lineRule="auto" w:line="360" w:before="120" w:after="0"/>
      <w:ind w:left="0" w:right="0" w:hanging="0"/>
      <w:jc w:val="both"/>
    </w:pPr>
    <w:rPr>
      <w:rFonts w:eastAsia="MS Mincho;ＭＳ 明朝"/>
      <w:sz w:val="28"/>
      <w:szCs w:val="28"/>
    </w:rPr>
  </w:style>
  <w:style w:type="paragraph" w:styleId="38">
    <w:name w:val="заголовок 3"/>
    <w:basedOn w:val="Normal"/>
    <w:next w:val="Normal"/>
    <w:qFormat/>
    <w:pPr>
      <w:keepNext w:val="true"/>
      <w:spacing w:lineRule="auto" w:line="360" w:before="120" w:after="0"/>
      <w:ind w:left="0" w:right="0" w:firstLine="720"/>
      <w:jc w:val="center"/>
    </w:pPr>
    <w:rPr>
      <w:szCs w:val="24"/>
    </w:rPr>
  </w:style>
  <w:style w:type="paragraph" w:styleId="113">
    <w:name w:val="Пункт_1"/>
    <w:basedOn w:val="Normal"/>
    <w:qFormat/>
    <w:pPr>
      <w:keepNext w:val="true"/>
      <w:tabs>
        <w:tab w:val="clear" w:pos="708"/>
        <w:tab w:val="left" w:pos="568" w:leader="none"/>
      </w:tabs>
      <w:spacing w:before="480" w:after="240"/>
      <w:ind w:left="567" w:right="0" w:hanging="567"/>
      <w:jc w:val="center"/>
    </w:pPr>
    <w:rPr>
      <w:rFonts w:ascii="Arial" w:hAnsi="Arial" w:cs="Arial"/>
      <w:b/>
      <w:sz w:val="32"/>
      <w:szCs w:val="28"/>
    </w:rPr>
  </w:style>
  <w:style w:type="paragraph" w:styleId="5ABCD">
    <w:name w:val="Пункт_5_ABCD"/>
    <w:basedOn w:val="Normal"/>
    <w:qFormat/>
    <w:pPr>
      <w:tabs>
        <w:tab w:val="clear" w:pos="708"/>
        <w:tab w:val="left" w:pos="1701" w:leader="none"/>
      </w:tabs>
      <w:spacing w:lineRule="auto" w:line="360"/>
      <w:ind w:left="1701" w:right="0" w:hanging="567"/>
      <w:jc w:val="both"/>
    </w:pPr>
    <w:rPr>
      <w:sz w:val="28"/>
    </w:rPr>
  </w:style>
  <w:style w:type="paragraph" w:styleId="41">
    <w:name w:val="Пункт_4"/>
    <w:basedOn w:val="39"/>
    <w:qFormat/>
    <w:pPr>
      <w:tabs>
        <w:tab w:val="clear" w:pos="1694"/>
        <w:tab w:val="left" w:pos="1134" w:leader="none"/>
      </w:tabs>
      <w:ind w:left="1134" w:right="0" w:hanging="1134"/>
    </w:pPr>
    <w:rPr/>
  </w:style>
  <w:style w:type="paragraph" w:styleId="39">
    <w:name w:val="Пункт_3"/>
    <w:basedOn w:val="210"/>
    <w:qFormat/>
    <w:pPr>
      <w:tabs>
        <w:tab w:val="clear" w:pos="1134"/>
        <w:tab w:val="left" w:pos="1694" w:leader="none"/>
      </w:tabs>
      <w:ind w:left="1694" w:right="0" w:hanging="0"/>
    </w:pPr>
    <w:rPr/>
  </w:style>
  <w:style w:type="paragraph" w:styleId="210">
    <w:name w:val="Пункт_2"/>
    <w:basedOn w:val="Normal"/>
    <w:qFormat/>
    <w:pPr>
      <w:tabs>
        <w:tab w:val="clear" w:pos="708"/>
        <w:tab w:val="left" w:pos="1134" w:leader="none"/>
      </w:tabs>
      <w:spacing w:lineRule="auto" w:line="360"/>
      <w:ind w:left="1134" w:right="0" w:hanging="1133"/>
      <w:jc w:val="both"/>
    </w:pPr>
    <w:rPr>
      <w:sz w:val="28"/>
    </w:rPr>
  </w:style>
  <w:style w:type="paragraph" w:styleId="PlainText">
    <w:name w:val="Plain Text"/>
    <w:basedOn w:val="Normal"/>
    <w:qFormat/>
    <w:pPr>
      <w:ind w:left="0" w:right="0" w:firstLine="709"/>
      <w:jc w:val="both"/>
    </w:pPr>
    <w:rPr>
      <w:rFonts w:cs="Courier New"/>
    </w:rPr>
  </w:style>
  <w:style w:type="paragraph" w:styleId="Normal1">
    <w:name w:val="Normal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My1">
    <w:name w:val="my"/>
    <w:basedOn w:val="Heading1"/>
    <w:qFormat/>
    <w:pPr>
      <w:keepLines/>
      <w:tabs>
        <w:tab w:val="clear" w:pos="0"/>
        <w:tab w:val="left" w:pos="849" w:leader="none"/>
        <w:tab w:val="left" w:pos="1300" w:leader="none"/>
      </w:tabs>
      <w:spacing w:before="360" w:after="120"/>
      <w:ind w:left="0" w:right="0" w:hanging="0"/>
      <w:jc w:val="center"/>
      <w:outlineLvl w:val="9"/>
    </w:pPr>
    <w:rPr>
      <w:kern w:val="2"/>
    </w:rPr>
  </w:style>
  <w:style w:type="paragraph" w:styleId="114">
    <w:name w:val="Пункт1"/>
    <w:basedOn w:val="Normal"/>
    <w:qFormat/>
    <w:pPr>
      <w:numPr>
        <w:ilvl w:val="0"/>
        <w:numId w:val="8"/>
      </w:numPr>
      <w:snapToGrid w:val="false"/>
      <w:spacing w:lineRule="auto" w:line="360" w:before="240" w:after="0"/>
      <w:jc w:val="center"/>
    </w:pPr>
    <w:rPr>
      <w:rFonts w:ascii="Arial" w:hAnsi="Arial" w:cs="Arial"/>
      <w:b/>
      <w:sz w:val="28"/>
      <w:szCs w:val="28"/>
    </w:rPr>
  </w:style>
  <w:style w:type="paragraph" w:styleId="Style45">
    <w:name w:val="Подподподпункт"/>
    <w:basedOn w:val="Normal"/>
    <w:qFormat/>
    <w:pPr>
      <w:tabs>
        <w:tab w:val="clear" w:pos="708"/>
        <w:tab w:val="left" w:pos="567" w:leader="none"/>
        <w:tab w:val="left" w:pos="1134" w:leader="none"/>
        <w:tab w:val="left" w:pos="1701" w:leader="none"/>
      </w:tabs>
      <w:snapToGrid w:val="false"/>
      <w:spacing w:lineRule="auto" w:line="360"/>
      <w:ind w:left="567" w:right="0" w:hanging="279"/>
      <w:jc w:val="both"/>
    </w:pPr>
    <w:rPr>
      <w:sz w:val="28"/>
    </w:rPr>
  </w:style>
  <w:style w:type="paragraph" w:styleId="Style46">
    <w:name w:val="Пункт Знак"/>
    <w:basedOn w:val="Normal"/>
    <w:qFormat/>
    <w:pPr>
      <w:tabs>
        <w:tab w:val="clear" w:pos="708"/>
        <w:tab w:val="left" w:pos="567" w:leader="none"/>
        <w:tab w:val="left" w:pos="851" w:leader="none"/>
        <w:tab w:val="left" w:pos="1134" w:leader="none"/>
      </w:tabs>
      <w:snapToGrid w:val="false"/>
      <w:spacing w:lineRule="auto" w:line="360"/>
      <w:ind w:left="567" w:right="0" w:hanging="279"/>
      <w:jc w:val="both"/>
    </w:pPr>
    <w:rPr>
      <w:sz w:val="28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numbering" w:styleId="Abc">
    <w:name w:val="Нумерованный abc"/>
    <w:qFormat/>
  </w:style>
  <w:style w:type="numbering" w:styleId="115">
    <w:name w:val="Стиль1"/>
    <w:qFormat/>
  </w:style>
  <w:style w:type="numbering" w:styleId="212">
    <w:name w:val="Стиль2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5747</TotalTime>
  <Application>AlterOffice/2025.3.1.0$Linux_X86_64 LibreOffice_project/431cd1b79110582f53535c95ed0a2449aadc8bf9</Application>
  <AppVersion>15.0000</AppVersion>
  <Pages>13</Pages>
  <Words>2345</Words>
  <Characters>15078</Characters>
  <CharactersWithSpaces>16997</CharactersWithSpaces>
  <Paragraphs>457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2025-07-14T05:31:00Z</dcterms:created>
  <dc:creator>Быстров Олег Геннадьевич</dc:creator>
  <dc:description/>
  <dc:language>ru-RU</dc:language>
  <cp:lastModifiedBy>rau_iv</cp:lastModifiedBy>
  <dcterms:modified xsi:type="dcterms:W3CDTF">2026-07-29T10:00:35Z</dcterms:modified>
  <cp:revision>147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1134298184</vt:r8>
  </property>
  <property fmtid="{D5CDD505-2E9C-101B-9397-08002B2CF9AE}" pid="3" name="_AuthorEmail">
    <vt:lpwstr>Sokolov-VV@amur.drsk.ru</vt:lpwstr>
  </property>
  <property fmtid="{D5CDD505-2E9C-101B-9397-08002B2CF9AE}" pid="4" name="_AuthorEmailDisplayName">
    <vt:lpwstr>Соколов В.В.</vt:lpwstr>
  </property>
  <property fmtid="{D5CDD505-2E9C-101B-9397-08002B2CF9AE}" pid="5" name="_EmailSubject">
    <vt:lpwstr>Отправка: 2023.09.20 ТТ и ОЛ на закупку 2КТПН 1600 и 1250 для Свободного (1), ТП 2х1250 2_13.2 Свободный (1), ТП 2х1600 2_14 Свободный (1)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