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bookmarkStart w:id="0" w:name="_Toc123106588"/>
      <w:bookmarkStart w:id="1" w:name="_Toc123106588"/>
      <w:bookmarkEnd w:id="1"/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bCs/>
          <w:caps/>
          <w:sz w:val="26"/>
          <w:szCs w:val="26"/>
        </w:rPr>
        <w:t>«ОКПД2 28.99.39.190 Поставка гидрологического оборудования (гидрометрические грузы)  для нужд АО «Ленгидропроект» »</w:t>
      </w:r>
      <w:r>
        <w:rPr>
          <w:rFonts w:eastAsia="Calibri"/>
          <w:b/>
          <w:caps/>
        </w:rPr>
        <w:t xml:space="preserve"> </w:t>
      </w:r>
    </w:p>
    <w:p>
      <w:pPr>
        <w:pStyle w:val="Normal"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АО «Ленгидропроект» (далее – Заказчик) сообщает о проведении анализа технико-коммерческих предложений потенциальных поставщиков </w:t>
      </w:r>
      <w:r>
        <w:rPr>
          <w:b w:val="false"/>
          <w:bCs w:val="false"/>
          <w:sz w:val="24"/>
          <w:szCs w:val="24"/>
        </w:rPr>
        <w:t>«ОКПД2 2</w:t>
      </w:r>
      <w:r>
        <w:rPr>
          <w:b w:val="false"/>
          <w:bCs w:val="false"/>
          <w:sz w:val="24"/>
          <w:szCs w:val="24"/>
        </w:rPr>
        <w:t>8.99.39.190</w:t>
      </w:r>
      <w:r>
        <w:rPr>
          <w:b w:val="false"/>
          <w:bCs w:val="false"/>
          <w:sz w:val="24"/>
          <w:szCs w:val="24"/>
        </w:rPr>
        <w:t xml:space="preserve"> Поставка гидрологического оборудования (гидрометрические грузы)  для нужд АО «Ленгидропроект»».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u w:val="single"/>
        </w:rPr>
      </w:pPr>
      <w:r>
        <w:rPr/>
        <w:t xml:space="preserve">Срок подачи технико-коммерческих предложений: до 10.00 </w:t>
      </w:r>
      <w:r>
        <w:rPr>
          <w:u w:val="single"/>
        </w:rPr>
        <w:t>05.08.2026г.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SeligerskaiaGIu@lhp.ru</w:t>
        </w:r>
      </w:hyperlink>
      <w:r>
        <w:rPr/>
        <w:t>, рабочий телефон: +7 (812) 346-92-21.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/>
      </w:pPr>
      <w:bookmarkStart w:id="2" w:name="_GoBack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2"/>
    </w:p>
    <w:p>
      <w:pPr>
        <w:pStyle w:val="Normal"/>
        <w:spacing w:before="60" w:after="60"/>
        <w:jc w:val="both"/>
        <w:rPr/>
      </w:pPr>
      <w:r>
        <w:rPr/>
      </w:r>
    </w:p>
    <w:p>
      <w:pPr>
        <w:pStyle w:val="Normal"/>
        <w:spacing w:before="60" w:after="60"/>
        <w:jc w:val="both"/>
        <w:rPr/>
      </w:pPr>
      <w:r>
        <w:rPr/>
      </w:r>
    </w:p>
    <w:p>
      <w:pPr>
        <w:pStyle w:val="Normal"/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для проведения мониторинга цен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eastAsia="Calibri"/>
          <w:b/>
          <w:bCs/>
          <w:cap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«ОКПД2 28.99.39.190 Поставка гидрологического оборудования (гидрометрические грузы) для нужд АО «Ленгидропроект»»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Nimbus Roman [UKWN]" w:hAnsi="Nimbus Roman [UKWN]"/>
          <w:sz w:val="26"/>
          <w:szCs w:val="26"/>
        </w:rPr>
      </w:pPr>
      <w:bookmarkStart w:id="3" w:name="_Toc123106592"/>
      <w:r>
        <w:rPr>
          <w:rFonts w:ascii="Nimbus Roman [UKWN]" w:hAnsi="Nimbus Roman [UKWN]"/>
          <w:color w:val="000000" w:themeColor="text1"/>
          <w:sz w:val="26"/>
          <w:szCs w:val="26"/>
        </w:rPr>
        <w:t>.</w:t>
      </w:r>
      <w:bookmarkEnd w:id="3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  <w:bookmarkStart w:id="4" w:name="_Toc123106588_Копия_1_Копия_1"/>
      <w:bookmarkStart w:id="5" w:name="_Toc123106588_Копия_1_Копия_1"/>
      <w:bookmarkEnd w:id="5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Nimbus Roman [UKWN]" w:hAnsi="Nimbus Roman [UKWN]"/>
          <w:sz w:val="28"/>
          <w:szCs w:val="28"/>
        </w:rPr>
      </w:pPr>
      <w:r>
        <w:rPr>
          <w:rFonts w:ascii="Nimbus Roman [UKWN]" w:hAnsi="Nimbus Roman [UKWN]"/>
          <w:sz w:val="28"/>
          <w:szCs w:val="28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8"/>
          <w:szCs w:val="28"/>
        </w:rPr>
      </w:pPr>
      <w:r>
        <w:rPr>
          <w:rFonts w:eastAsia="Calibri" w:ascii="Nimbus Roman [UKWN]" w:hAnsi="Nimbus Roman [UKWN]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Heading1"/>
        <w:jc w:val="center"/>
        <w:rPr>
          <w:sz w:val="24"/>
          <w:szCs w:val="24"/>
        </w:rPr>
      </w:pPr>
      <w:bookmarkStart w:id="6" w:name="_Toc75446566"/>
      <w:bookmarkStart w:id="7" w:name="_Toc51339692"/>
      <w:bookmarkEnd w:id="6"/>
      <w:bookmarkEnd w:id="7"/>
      <w:r>
        <w:rPr>
          <w:sz w:val="24"/>
          <w:szCs w:val="24"/>
        </w:rPr>
        <w:t xml:space="preserve">1. </w:t>
      </w:r>
      <w:bookmarkStart w:id="8" w:name="_Toc75446566_Копия_1"/>
      <w:bookmarkStart w:id="9" w:name="_Toc123106593_Копия_1"/>
      <w:bookmarkStart w:id="10" w:name="_Toc51339692_Копия_1"/>
      <w:r>
        <w:rPr>
          <w:sz w:val="24"/>
          <w:szCs w:val="24"/>
        </w:rPr>
        <w:t>Общие сведения</w:t>
      </w:r>
      <w:bookmarkEnd w:id="8"/>
      <w:bookmarkEnd w:id="9"/>
      <w:bookmarkEnd w:id="10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/>
      </w:pPr>
      <w:bookmarkStart w:id="11" w:name="_Toc123106594"/>
      <w:r>
        <w:rPr>
          <w:b/>
        </w:rPr>
        <w:t>1.1. Наименование закупаемой продукции (Товара).</w:t>
      </w:r>
      <w:bookmarkEnd w:id="11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/>
      </w:pPr>
      <w:r>
        <w:rPr>
          <w:b w:val="false"/>
          <w:bCs w:val="false"/>
          <w:sz w:val="24"/>
          <w:szCs w:val="24"/>
        </w:rPr>
        <w:t>ОКПД2 28.99.39.190 Поставка гидрологического оборудования (гидрометрические грузы)  для нужд АО «Ленгидропроект».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bookmarkStart w:id="12" w:name="_Toc123106596"/>
      <w:r>
        <w:rPr>
          <w:b/>
        </w:rPr>
        <w:t>1.2.</w:t>
      </w:r>
      <w:r>
        <w:rPr/>
        <w:t xml:space="preserve"> </w:t>
      </w:r>
      <w:r>
        <w:rPr>
          <w:b/>
        </w:rPr>
        <w:t>Цель использования закупаемой продукции</w:t>
      </w:r>
      <w:bookmarkEnd w:id="12"/>
    </w:p>
    <w:p>
      <w:pPr>
        <w:pStyle w:val="Normal"/>
        <w:jc w:val="both"/>
        <w:rPr/>
      </w:pPr>
      <w:r>
        <w:rPr>
          <w:rFonts w:eastAsia="" w:eastAsiaTheme="minorEastAsia"/>
        </w:rPr>
        <w:t>Для выполнения инженерно-гидрометеорологических работ</w:t>
      </w:r>
      <w:r>
        <w:rPr/>
        <w:t>.</w:t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center"/>
        <w:rPr/>
      </w:pPr>
      <w:r>
        <w:rPr>
          <w:b/>
        </w:rPr>
        <w:t xml:space="preserve">2. </w:t>
      </w:r>
      <w:bookmarkStart w:id="13" w:name="_Toc51921656"/>
      <w:bookmarkStart w:id="14" w:name="_Toc123106598"/>
      <w:bookmarkStart w:id="15" w:name="_Toc54279835"/>
      <w:bookmarkStart w:id="16" w:name="_Toc54785616"/>
      <w:r>
        <w:rPr>
          <w:b/>
        </w:rPr>
        <w:t>Требования к продукции</w:t>
      </w:r>
      <w:bookmarkEnd w:id="13"/>
      <w:bookmarkEnd w:id="14"/>
      <w:bookmarkEnd w:id="15"/>
      <w:bookmarkEnd w:id="16"/>
    </w:p>
    <w:p>
      <w:pPr>
        <w:pStyle w:val="Heading4"/>
        <w:numPr>
          <w:ilvl w:val="1"/>
        </w:numPr>
        <w:rPr/>
      </w:pPr>
      <w:bookmarkStart w:id="17" w:name="_Toc54785617"/>
      <w:r>
        <w:rPr>
          <w:lang w:val="ru-RU"/>
        </w:rPr>
        <w:t xml:space="preserve">2.1. </w:t>
      </w:r>
      <w:r>
        <w:rPr/>
        <w:t>Требования к объемам и срокам поставки</w:t>
      </w:r>
      <w:bookmarkEnd w:id="17"/>
      <w:r>
        <w:rPr>
          <w:lang w:val="ru-RU"/>
        </w:rPr>
        <w:t xml:space="preserve"> продукции</w:t>
      </w:r>
    </w:p>
    <w:p>
      <w:pPr>
        <w:pStyle w:val="Heading3"/>
        <w:rPr/>
      </w:pPr>
      <w:bookmarkStart w:id="18" w:name="_Toc123106599"/>
      <w:bookmarkStart w:id="19" w:name="_Toc54785618"/>
      <w:r>
        <w:rPr>
          <w:lang w:val="ru-RU"/>
        </w:rPr>
        <w:t xml:space="preserve">2.1.1. </w:t>
      </w:r>
      <w:r>
        <w:rPr/>
        <w:t>Перечень и объем закупаемой продукции</w:t>
      </w:r>
      <w:bookmarkEnd w:id="18"/>
      <w:bookmarkEnd w:id="19"/>
    </w:p>
    <w:p>
      <w:pPr>
        <w:pStyle w:val="Heading1"/>
        <w:rPr>
          <w:sz w:val="24"/>
          <w:szCs w:val="24"/>
        </w:rPr>
      </w:pPr>
      <w:bookmarkStart w:id="20" w:name="_Toc123106600"/>
      <w:bookmarkStart w:id="21" w:name="_Toc75446576"/>
      <w:bookmarkStart w:id="22" w:name="_Toc51339695"/>
      <w:r>
        <w:rPr>
          <w:sz w:val="24"/>
          <w:szCs w:val="24"/>
        </w:rPr>
        <w:t xml:space="preserve">Таблица 1.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20"/>
      <w:bookmarkEnd w:id="21"/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3163"/>
        <w:gridCol w:w="2502"/>
        <w:gridCol w:w="2022"/>
        <w:gridCol w:w="1530"/>
      </w:tblGrid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№</w:t>
            </w:r>
            <w:r>
              <w:rPr>
                <w:rFonts w:ascii="Nimbus Roman [UKWN]" w:hAnsi="Nimbus Roman [UKWN]"/>
                <w:b/>
                <w:bCs/>
                <w:sz w:val="22"/>
                <w:szCs w:val="22"/>
                <w:lang w:val="en-US" w:eastAsia="x-none"/>
              </w:rPr>
              <w:t xml:space="preserve"> </w:t>
            </w: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п/п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Наименование продукции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</w:rPr>
              <w:t>Тип,марка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Ед. изм.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Количество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</w:rPr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5</w:t>
            </w:r>
          </w:p>
        </w:tc>
      </w:tr>
      <w:tr>
        <w:trPr>
          <w:trHeight w:val="472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Груз гидрометрический 100 кг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ПИ-1-I или эквивалент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  <w:lang w:eastAsia="x-none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Груз гидрометрический 50 кг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  <w:lang w:eastAsia="x-none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ПИ-1-III или эквивалент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  <w:lang w:eastAsia="x-none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  <w:lang w:eastAsia="x-none"/>
              </w:rPr>
            </w:pPr>
            <w:r>
              <w:rPr>
                <w:rFonts w:ascii="Nimbus Roman [UKWN]" w:hAnsi="Nimbus Roman [UKWN]"/>
                <w:sz w:val="22"/>
                <w:szCs w:val="22"/>
                <w:lang w:eastAsia="x-none"/>
              </w:rPr>
              <w:t>1</w:t>
            </w:r>
          </w:p>
        </w:tc>
      </w:tr>
    </w:tbl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3"/>
        <w:rPr/>
      </w:pPr>
      <w:bookmarkStart w:id="23" w:name="_Toc75446578"/>
      <w:bookmarkStart w:id="24" w:name="_Toc123106601"/>
      <w:bookmarkStart w:id="25" w:name="_Toc51339696"/>
      <w:r>
        <w:rPr/>
        <w:t xml:space="preserve">2.1.2. Требования </w:t>
      </w:r>
      <w:bookmarkEnd w:id="25"/>
      <w:r>
        <w:rPr/>
        <w:t>к срокам поставки продукции</w:t>
      </w:r>
      <w:bookmarkEnd w:id="24"/>
      <w:r>
        <w:rPr/>
        <w:t xml:space="preserve"> </w:t>
      </w:r>
      <w:bookmarkEnd w:id="23"/>
    </w:p>
    <w:p>
      <w:pPr>
        <w:pStyle w:val="Heading1"/>
        <w:rPr>
          <w:sz w:val="24"/>
          <w:szCs w:val="24"/>
        </w:rPr>
      </w:pPr>
      <w:bookmarkStart w:id="26" w:name="_Toc51339697"/>
      <w:bookmarkStart w:id="27" w:name="_Toc75446579"/>
      <w:bookmarkStart w:id="28" w:name="_Toc50125127"/>
      <w:bookmarkStart w:id="29" w:name="_Toc12310660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 Требования к срокам поставки продукции</w:t>
      </w:r>
      <w:bookmarkEnd w:id="26"/>
      <w:bookmarkEnd w:id="27"/>
      <w:bookmarkEnd w:id="28"/>
      <w:bookmarkEnd w:id="29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4"/>
        <w:gridCol w:w="2669"/>
        <w:gridCol w:w="3110"/>
        <w:gridCol w:w="3258"/>
      </w:tblGrid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Наименование продукции / партии продукции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Требования к началу срока поставки продукции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/>
            </w:pPr>
            <w:r>
              <w:rPr/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/>
            </w:pPr>
            <w:r>
              <w:rPr/>
              <w:t>ОКПД2 28.99.39.190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/>
            </w:pPr>
            <w:r>
              <w:rPr/>
              <w:t>Груз гидрометрический 100 кг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даты, следующей за датой заключения Договора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течение 30 (тридцати) календарных дней 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/>
            </w:pPr>
            <w:r>
              <w:rPr/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/>
            </w:pPr>
            <w:r>
              <w:rPr/>
              <w:t>ОКПД2 28.99.39.190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/>
            </w:pPr>
            <w:r>
              <w:rPr/>
              <w:t>Груз гидрометрический 50 кг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даты, следующей за датой заключения Договора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течение 30 (тридцати) календарных дней 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1134" w:right="850" w:gutter="0" w:header="0" w:top="993" w:footer="0" w:bottom="99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/>
      </w:pPr>
      <w:r>
        <w:rPr>
          <w:lang w:val="ru-RU"/>
        </w:rPr>
        <w:t>2.2.</w:t>
      </w:r>
      <w:r>
        <w:rPr/>
        <w:t>Требования к качеству продукции</w:t>
      </w:r>
      <w:bookmarkStart w:id="30" w:name="_Toc75446582"/>
      <w:bookmarkStart w:id="31" w:name="_Toc123106603"/>
    </w:p>
    <w:p>
      <w:pPr>
        <w:pStyle w:val="Heading1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  <w:t xml:space="preserve">Таблица №3. Требования к </w:t>
      </w:r>
      <w:r>
        <w:rPr>
          <w:rFonts w:ascii="Nimbus Roman [UKWN]" w:hAnsi="Nimbus Roman [UKWN]"/>
          <w:sz w:val="26"/>
          <w:szCs w:val="26"/>
          <w:lang w:val="ru-RU"/>
        </w:rPr>
        <w:t>продукции</w:t>
      </w:r>
      <w:bookmarkEnd w:id="30"/>
      <w:bookmarkEnd w:id="31"/>
      <w:r>
        <w:rPr>
          <w:rFonts w:ascii="Nimbus Roman [UKWN]" w:hAnsi="Nimbus Roman [UKWN]"/>
          <w:sz w:val="26"/>
          <w:szCs w:val="26"/>
        </w:rPr>
        <w:t xml:space="preserve"> </w:t>
      </w:r>
    </w:p>
    <w:p>
      <w:pPr>
        <w:pStyle w:val="Normal"/>
        <w:jc w:val="both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  <w:lang w:eastAsia="x-none"/>
        </w:rPr>
        <w:t xml:space="preserve">Наименование продукции: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r>
        <w:rPr/>
        <w:t>1. ОКПД2 28.99.39.190 Груз гидрометрический ПИ-1-I или эквивалент*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>
          <w:sz w:val="24"/>
          <w:szCs w:val="24"/>
        </w:rPr>
      </w:pPr>
      <w:r>
        <w:rPr>
          <w:rFonts w:ascii="Nimbus Roman [UKWN]" w:hAnsi="Nimbus Roman [UKWN]"/>
          <w:bCs/>
          <w:sz w:val="24"/>
          <w:szCs w:val="24"/>
          <w:lang w:eastAsia="x-none"/>
        </w:rPr>
        <w:t>2. ОКПД2 28.99.39.190 Груз гидрометрический ПИ-1-III или эквивалент*</w:t>
      </w:r>
    </w:p>
    <w:p>
      <w:pPr>
        <w:pStyle w:val="Caption1111111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rFonts w:eastAsia="Times New Roman" w:cs="Times New Roman"/>
          <w:sz w:val="24"/>
          <w:szCs w:val="24"/>
        </w:rPr>
        <w:t xml:space="preserve">Указанные в настоящих технических требованиях ссылки на ТУ, марку (тип) продукции носят описательный, а не обязательный характер. </w:t>
      </w:r>
      <w:r>
        <w:rPr>
          <w:rFonts w:cs="Times New Roman"/>
          <w:sz w:val="24"/>
          <w:szCs w:val="24"/>
        </w:rPr>
        <w:br/>
      </w:r>
      <w:r>
        <w:rPr>
          <w:rFonts w:eastAsia="Times New Roman" w:cs="Times New Roman"/>
          <w:b/>
          <w:sz w:val="24"/>
          <w:szCs w:val="24"/>
        </w:rPr>
        <w:t>Если Участником предлагается эквивалентная продукция</w:t>
      </w:r>
      <w:r>
        <w:rPr>
          <w:rFonts w:eastAsia="Times New Roman" w:cs="Times New Roman"/>
          <w:sz w:val="24"/>
          <w:szCs w:val="24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</w:t>
      </w:r>
      <w:r>
        <w:rPr>
          <w:rFonts w:eastAsia="Times New Roman" w:cs="Times New Roman"/>
          <w:sz w:val="24"/>
          <w:szCs w:val="24"/>
          <w:u w:val="single"/>
        </w:rPr>
        <w:t>в объеме не менее установл</w:t>
      </w:r>
      <w:r>
        <w:rPr>
          <w:rFonts w:cs="Times New Roman"/>
          <w:sz w:val="24"/>
          <w:szCs w:val="24"/>
          <w:u w:val="single"/>
        </w:rPr>
        <w:t>енных в настоящем ТТ требований, обозначенных как «параметры эквивалентности</w:t>
      </w:r>
    </w:p>
    <w:p>
      <w:pPr>
        <w:pStyle w:val="Caption111111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Caption1111111111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tbl>
      <w:tblPr>
        <w:tblStyle w:val="a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1"/>
        <w:gridCol w:w="2072"/>
        <w:gridCol w:w="6003"/>
        <w:gridCol w:w="3153"/>
        <w:gridCol w:w="2683"/>
      </w:tblGrid>
      <w:tr>
        <w:trPr>
          <w:trHeight w:val="833" w:hRule="atLeast"/>
        </w:trPr>
        <w:tc>
          <w:tcPr>
            <w:tcW w:w="9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207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60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58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584" w:hRule="atLeast"/>
          <w:cantSplit w:val="true"/>
        </w:trPr>
        <w:tc>
          <w:tcPr>
            <w:tcW w:w="9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0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0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15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Согласие с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требованием/ указание характеристик</w:t>
            </w:r>
            <w:r>
              <w:rPr>
                <w:rStyle w:val="FootnoteReference"/>
                <w:b/>
                <w:bCs/>
                <w:kern w:val="0"/>
                <w:sz w:val="20"/>
                <w:szCs w:val="20"/>
                <w:lang w:val="ru-RU" w:bidi="ar-SA"/>
              </w:rPr>
              <w:footnoteReference w:id="2"/>
            </w:r>
          </w:p>
        </w:tc>
        <w:tc>
          <w:tcPr>
            <w:tcW w:w="26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Предоставление подтверждающего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документа или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иной способ подтверждения</w:t>
            </w:r>
          </w:p>
        </w:tc>
      </w:tr>
      <w:tr>
        <w:trPr/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60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315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6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  <w:r>
              <w:rPr>
                <w:b/>
                <w:kern w:val="0"/>
                <w:sz w:val="20"/>
                <w:szCs w:val="20"/>
                <w:vertAlign w:val="superscript"/>
                <w:lang w:val="ru-RU" w:bidi="ar-SA"/>
              </w:rPr>
              <w:t>1</w:t>
            </w:r>
          </w:p>
        </w:tc>
        <w:tc>
          <w:tcPr>
            <w:tcW w:w="3153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</w:tc>
      </w:tr>
      <w:tr>
        <w:trPr/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3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Груз гидрометрический ПИ-1-</w:t>
            </w:r>
            <w:r>
              <w:rPr>
                <w:b/>
                <w:bCs/>
                <w:kern w:val="0"/>
                <w:sz w:val="20"/>
                <w:szCs w:val="20"/>
                <w:lang w:val="en-US" w:bidi="ar-SA"/>
              </w:rPr>
              <w:t>I</w:t>
            </w:r>
            <w:r>
              <w:rPr>
                <w:rStyle w:val="Annotationreference"/>
                <w:b/>
                <w:bCs/>
                <w:kern w:val="0"/>
                <w:sz w:val="20"/>
                <w:szCs w:val="20"/>
                <w:lang w:val="ru-RU" w:bidi="ar-SA"/>
              </w:rPr>
              <w:t xml:space="preserve"> или эквивалент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2" w:hRule="atLeast"/>
        </w:trPr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1.1.1</w:t>
            </w:r>
          </w:p>
        </w:tc>
        <w:tc>
          <w:tcPr>
            <w:tcW w:w="207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6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Вес, кг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– 100  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1.1.2</w:t>
            </w:r>
          </w:p>
        </w:tc>
        <w:tc>
          <w:tcPr>
            <w:tcW w:w="207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Максимальное превышение веса от номинала  + 1 кг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1.1.3</w:t>
            </w:r>
          </w:p>
        </w:tc>
        <w:tc>
          <w:tcPr>
            <w:tcW w:w="207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Габариты</w:t>
            </w:r>
            <w:r>
              <w:rPr>
                <w:bCs/>
                <w:kern w:val="0"/>
                <w:sz w:val="20"/>
                <w:szCs w:val="20"/>
                <w:lang w:val="ru-RU" w:bidi="ar-SA"/>
              </w:rPr>
              <w:t xml:space="preserve"> (высота х длина), мм: от 235×2200  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609" w:hRule="atLeast"/>
        </w:trPr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1.2</w:t>
            </w:r>
          </w:p>
        </w:tc>
        <w:tc>
          <w:tcPr>
            <w:tcW w:w="807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Груз гидрометрический ПИ-1-</w:t>
            </w:r>
            <w:r>
              <w:rPr>
                <w:b/>
                <w:bCs/>
                <w:kern w:val="0"/>
                <w:sz w:val="20"/>
                <w:szCs w:val="20"/>
                <w:lang w:val="en-US" w:bidi="ar-SA"/>
              </w:rPr>
              <w:t>III</w:t>
            </w:r>
            <w:r>
              <w:rPr>
                <w:rStyle w:val="Annotationreference"/>
                <w:b/>
                <w:bCs/>
                <w:kern w:val="0"/>
                <w:sz w:val="20"/>
                <w:szCs w:val="20"/>
                <w:lang w:val="ru-RU" w:bidi="ar-SA"/>
              </w:rPr>
              <w:t xml:space="preserve"> или эквивалент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1.2.1</w:t>
            </w:r>
          </w:p>
        </w:tc>
        <w:tc>
          <w:tcPr>
            <w:tcW w:w="207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6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Вес, кг</w:t>
            </w:r>
            <w:r>
              <w:rPr>
                <w:kern w:val="0"/>
                <w:sz w:val="20"/>
                <w:szCs w:val="20"/>
                <w:shd w:fill="FFFFFF" w:val="clear"/>
                <w:lang w:val="ru-RU" w:bidi="ar-SA"/>
              </w:rPr>
              <w:t xml:space="preserve"> – 50 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  <w:highlight w:val="yellow"/>
              </w:rPr>
            </w:pPr>
            <w:r>
              <w:rPr>
                <w:i/>
                <w:iCs/>
                <w:sz w:val="20"/>
                <w:szCs w:val="20"/>
                <w:highlight w:val="yellow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  <w:highlight w:val="yellow"/>
              </w:rPr>
            </w:pPr>
            <w:r>
              <w:rPr>
                <w:i/>
                <w:iCs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1.2.2</w:t>
            </w:r>
          </w:p>
        </w:tc>
        <w:tc>
          <w:tcPr>
            <w:tcW w:w="207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Максимальное превышение веса от номинала  + 1 кг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51" w:hRule="atLeast"/>
        </w:trPr>
        <w:tc>
          <w:tcPr>
            <w:tcW w:w="9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1.2.3</w:t>
            </w:r>
          </w:p>
        </w:tc>
        <w:tc>
          <w:tcPr>
            <w:tcW w:w="207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Габариты</w:t>
            </w:r>
            <w:r>
              <w:rPr>
                <w:bCs/>
                <w:kern w:val="0"/>
                <w:sz w:val="20"/>
                <w:szCs w:val="20"/>
                <w:lang w:val="ru-RU" w:bidi="ar-SA"/>
              </w:rPr>
              <w:t xml:space="preserve"> (высота х длина), мм: от 235×1610  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2.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2.1. 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Cs/>
                <w:kern w:val="0"/>
                <w:sz w:val="20"/>
                <w:szCs w:val="20"/>
                <w:lang w:val="ru-RU" w:bidi="ar-SA"/>
              </w:rPr>
              <w:t>Требование к характеристикам стойкости к воздействующим климатическим факторам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Условия эксплуатации: температура воздуха, 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от -70 до +45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Относительная влажность воздуха, %:  от 30 до 98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717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3.1.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Место поставки и разгрузки продукции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Продукция должна быть доставлена Продавцом по адресу Покупателя: 197349, город Санкт-Петербург, пр. Испытателей, д. 22, литера А, склад Заказчика (1 этаж).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Часы работы склада Заказчика: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 понедельника по четверг с 9 ч 00 мин до 16 ч 00 мин, в пятницу с 9 ч 00 мин до 15 ч 00 мин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i/>
                <w:iCs/>
                <w:kern w:val="0"/>
                <w:sz w:val="20"/>
                <w:szCs w:val="20"/>
                <w:lang w:val="ru-RU" w:eastAsia="ru-RU" w:bidi="ar-SA"/>
              </w:rPr>
              <w:t xml:space="preserve">                 </w:t>
            </w:r>
            <w:r>
              <w:rPr>
                <w:rFonts w:eastAsia="Calibri" w:cs=""/>
                <w:i/>
                <w:iCs/>
                <w:kern w:val="0"/>
                <w:sz w:val="20"/>
                <w:szCs w:val="20"/>
                <w:lang w:val="ru-RU" w:eastAsia="ru-RU" w:bidi="ar-SA"/>
              </w:rPr>
              <w:t>_</w:t>
            </w:r>
          </w:p>
        </w:tc>
      </w:tr>
      <w:tr>
        <w:trPr>
          <w:trHeight w:val="656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4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. 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4.1.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Гарантийный срок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Не менее 24 месяцев. При этом, гарантийный срок не может быть менее срока, установленного предприятием изготовителем. Гарантийный срок начинает течь с даты подписания сторонами накладной ТОРГ 12/УПД.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Предложения по сроку гарантии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_</w:t>
            </w:r>
          </w:p>
        </w:tc>
      </w:tr>
      <w:tr>
        <w:trPr>
          <w:trHeight w:val="717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. 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5.1.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2" w:name="_Toc123106604_Копия_2"/>
            <w:r>
              <w:rPr>
                <w:kern w:val="0"/>
                <w:sz w:val="20"/>
                <w:szCs w:val="20"/>
                <w:lang w:val="ru-RU" w:bidi="ar-SA"/>
              </w:rPr>
              <w:t xml:space="preserve">а) </w:t>
            </w:r>
            <w:bookmarkStart w:id="33" w:name="_Toc123106606_Копия_2"/>
            <w:bookmarkEnd w:id="32"/>
            <w:r>
              <w:rPr>
                <w:kern w:val="0"/>
                <w:sz w:val="20"/>
                <w:szCs w:val="20"/>
                <w:lang w:val="ru-RU" w:bidi="ar-SA"/>
              </w:rPr>
              <w:t>оригинал счета;</w:t>
            </w:r>
            <w:bookmarkEnd w:id="33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4" w:name="_Toc123106607_Копия_2"/>
            <w:r>
              <w:rPr>
                <w:kern w:val="0"/>
                <w:sz w:val="20"/>
                <w:szCs w:val="20"/>
                <w:lang w:val="ru-RU" w:bidi="ar-SA"/>
              </w:rPr>
              <w:t>б) счёт-фактуру;</w:t>
            </w:r>
            <w:bookmarkEnd w:id="34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74" w:hanging="0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5" w:name="_Toc123106608_Копия_2"/>
            <w:r>
              <w:rPr>
                <w:kern w:val="0"/>
                <w:sz w:val="20"/>
                <w:szCs w:val="20"/>
                <w:lang w:val="ru-RU" w:bidi="ar-SA"/>
              </w:rPr>
              <w:t>в) товарную накладную (ТОРГ-12) /универсальный передаточный документ (УПД);</w:t>
            </w:r>
            <w:bookmarkEnd w:id="35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6" w:name="_Toc123106609_Копия_2"/>
            <w:r>
              <w:rPr>
                <w:kern w:val="0"/>
                <w:sz w:val="20"/>
                <w:szCs w:val="20"/>
                <w:lang w:val="ru-RU" w:bidi="ar-SA"/>
              </w:rPr>
              <w:t>г) руководство по эксплуатации/инструкция на русском языке;</w:t>
            </w:r>
            <w:bookmarkEnd w:id="36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7" w:name="_Toc123106610_Копия_2"/>
            <w:r>
              <w:rPr>
                <w:kern w:val="0"/>
                <w:sz w:val="20"/>
                <w:szCs w:val="20"/>
                <w:lang w:val="ru-RU" w:bidi="ar-SA"/>
              </w:rPr>
              <w:t>д) гарантийный талон;</w:t>
            </w:r>
            <w:bookmarkEnd w:id="37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38" w:name="_Toc123106611_Копия_2"/>
            <w:r>
              <w:rPr>
                <w:kern w:val="0"/>
                <w:sz w:val="20"/>
                <w:szCs w:val="20"/>
                <w:lang w:val="ru-RU" w:bidi="ar-SA"/>
              </w:rPr>
              <w:t>е) сертификат соответствия/декларация соответствия технический регламент таможенного союза (ТР ТС)</w:t>
            </w:r>
            <w:bookmarkEnd w:id="38"/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3153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_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5.2.</w:t>
            </w:r>
          </w:p>
        </w:tc>
        <w:tc>
          <w:tcPr>
            <w:tcW w:w="2072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Комплектация продукции 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Груз гидрометрический ПИ-1-</w:t>
            </w:r>
            <w:r>
              <w:rPr>
                <w:kern w:val="0"/>
                <w:sz w:val="20"/>
                <w:szCs w:val="20"/>
                <w:lang w:val="en-US" w:bidi="ar-SA"/>
              </w:rPr>
              <w:t>I</w:t>
            </w:r>
            <w:r>
              <w:rPr>
                <w:kern w:val="0"/>
                <w:sz w:val="20"/>
                <w:szCs w:val="20"/>
                <w:lang w:val="ru-RU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а) паспорт – 1 шт;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б) груз гидрометрический ПИ-1-</w:t>
            </w:r>
            <w:r>
              <w:rPr>
                <w:kern w:val="0"/>
                <w:sz w:val="20"/>
                <w:szCs w:val="20"/>
                <w:lang w:val="en-US" w:bidi="ar-SA"/>
              </w:rPr>
              <w:t xml:space="preserve">I 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–  1шт.;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в) изолента – 1 шт.;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г) карабин усиленный 100 х10 – 1 шт.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5.3</w:t>
            </w:r>
          </w:p>
        </w:tc>
        <w:tc>
          <w:tcPr>
            <w:tcW w:w="20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Груз гидрометрический ПИ-1-</w:t>
            </w:r>
            <w:r>
              <w:rPr>
                <w:kern w:val="0"/>
                <w:sz w:val="20"/>
                <w:szCs w:val="20"/>
                <w:lang w:val="en-US" w:bidi="ar-SA"/>
              </w:rPr>
              <w:t>III</w:t>
            </w:r>
            <w:r>
              <w:rPr>
                <w:kern w:val="0"/>
                <w:sz w:val="20"/>
                <w:szCs w:val="20"/>
                <w:lang w:val="ru-RU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а) паспорт – 1 шт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б) груз гидрометрический ПИ-1- </w:t>
            </w:r>
            <w:r>
              <w:rPr>
                <w:kern w:val="0"/>
                <w:sz w:val="20"/>
                <w:szCs w:val="20"/>
                <w:lang w:val="en-US" w:bidi="ar-SA"/>
              </w:rPr>
              <w:t>III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–  1шт.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в) изолента – 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г) карабин усиленный 100 х10 – 1 шт.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673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97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6.1.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ТУ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Headertext"/>
              <w:widowControl w:val="false"/>
              <w:suppressAutoHyphens w:val="true"/>
              <w:spacing w:before="280" w:after="280"/>
              <w:jc w:val="left"/>
              <w:rPr/>
            </w:pPr>
            <w:r>
              <w:rPr>
                <w:rStyle w:val="Strong"/>
                <w:b w:val="false"/>
                <w:bCs w:val="false"/>
                <w:i w:val="false"/>
                <w:caps w:val="false"/>
                <w:smallCaps w:val="false"/>
                <w:color w:val="404040"/>
                <w:spacing w:val="0"/>
                <w:kern w:val="0"/>
                <w:sz w:val="20"/>
                <w:szCs w:val="20"/>
                <w:shd w:fill="FFFFFF" w:val="clear"/>
                <w:lang w:val="ru-RU" w:bidi="ar-SA"/>
              </w:rPr>
              <w:t>ТУ 25-04-17-85-76 </w:t>
            </w:r>
          </w:p>
        </w:tc>
        <w:tc>
          <w:tcPr>
            <w:tcW w:w="3153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_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6.2.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Технический регламент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Упаковка должна соответствовать «ТР ТС 005/2011. Технический регламент Таможенного союза. О безопасности упаковки»</w:t>
            </w:r>
          </w:p>
        </w:tc>
        <w:tc>
          <w:tcPr>
            <w:tcW w:w="31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58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7.1.</w:t>
            </w:r>
          </w:p>
        </w:tc>
        <w:tc>
          <w:tcPr>
            <w:tcW w:w="2072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Иные требования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быть новым, не бывшим в эксплуатации, не восстановленным и не собранным из восстановленных компонентов</w:t>
            </w:r>
          </w:p>
        </w:tc>
        <w:tc>
          <w:tcPr>
            <w:tcW w:w="3153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7.2.</w:t>
            </w:r>
          </w:p>
        </w:tc>
        <w:tc>
          <w:tcPr>
            <w:tcW w:w="20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поставляться в упаковке фирмы-изготовителя,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3153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7.3.</w:t>
            </w:r>
          </w:p>
        </w:tc>
        <w:tc>
          <w:tcPr>
            <w:tcW w:w="20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иметь необходимые сертификаты, маркировки, наклейки в соответствии с законодательством Российской Федерации</w:t>
            </w:r>
          </w:p>
        </w:tc>
        <w:tc>
          <w:tcPr>
            <w:tcW w:w="3153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90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8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807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оплате продукции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855" w:hRule="atLeast"/>
        </w:trPr>
        <w:tc>
          <w:tcPr>
            <w:tcW w:w="94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    </w:t>
            </w:r>
            <w:r>
              <w:rPr>
                <w:kern w:val="0"/>
                <w:sz w:val="20"/>
                <w:szCs w:val="20"/>
                <w:lang w:val="ru-RU" w:bidi="ar-SA"/>
              </w:rPr>
              <w:t>8.1.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Cs/>
                <w:kern w:val="0"/>
                <w:sz w:val="20"/>
                <w:szCs w:val="20"/>
                <w:lang w:val="ru-RU" w:bidi="ar-SA"/>
              </w:rPr>
              <w:t>Условия оплаты</w:t>
            </w:r>
          </w:p>
        </w:tc>
        <w:tc>
          <w:tcPr>
            <w:tcW w:w="60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Расчет за поставленный Товар производится в течение 20 (двадцати) календарных дней /7 (семи) рабочих дней</w:t>
            </w:r>
            <w:r>
              <w:rPr>
                <w:kern w:val="0"/>
                <w:sz w:val="20"/>
                <w:szCs w:val="20"/>
                <w:vertAlign w:val="superscript"/>
                <w:lang w:val="ru-RU" w:bidi="ar-SA"/>
              </w:rPr>
              <w:t>2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 с даты подписания Сторонами товарной накладной ТОРГ-12/УПД, при условии получения Покупателем счета, выставленного Поставщиком.</w:t>
            </w:r>
          </w:p>
        </w:tc>
        <w:tc>
          <w:tcPr>
            <w:tcW w:w="31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68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_</w:t>
            </w:r>
          </w:p>
        </w:tc>
      </w:tr>
    </w:tbl>
    <w:p>
      <w:pPr>
        <w:pStyle w:val="Normal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FootnoteText"/>
        <w:widowControl w:val="false"/>
        <w:rPr>
          <w:rFonts w:ascii="Nimbus Roman [UKWN]" w:hAnsi="Nimbus Roman [UKWN]"/>
        </w:rPr>
      </w:pPr>
      <w:r>
        <w:rPr>
          <w:rFonts w:ascii="Nimbus Roman [UKWN]" w:hAnsi="Nimbus Roman [UKWN]"/>
          <w:vertAlign w:val="superscript"/>
        </w:rPr>
        <w:t xml:space="preserve"> </w:t>
      </w:r>
      <w:r>
        <w:rPr>
          <w:rFonts w:ascii="Nimbus Roman [UKWN]" w:hAnsi="Nimbus Roman [UKWN]"/>
          <w:vertAlign w:val="superscript"/>
        </w:rPr>
        <w:t xml:space="preserve">2 </w:t>
      </w:r>
      <w:r>
        <w:rPr>
          <w:rFonts w:ascii="Nimbus Roman [UKWN]" w:hAnsi="Nimbus Roman [UKWN]"/>
          <w:sz w:val="20"/>
          <w:szCs w:val="20"/>
        </w:rPr>
        <w:t>Применяется в случае, если Контрагент является субъектом МСП, для закупок, участниками которых могут быть только субъекты МСП, а также в случае, если по результатам закупки среди любых участников победителем закупки признан субъект МСП.</w:t>
      </w:r>
    </w:p>
    <w:p>
      <w:pPr>
        <w:pStyle w:val="FootnoteText"/>
        <w:widowControl w:val="false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FootnoteText"/>
        <w:widowControl w:val="false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FootnoteText"/>
        <w:widowControl w:val="false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Heading4"/>
        <w:numPr>
          <w:ilvl w:val="1"/>
        </w:numPr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993" w:right="993" w:gutter="0" w:header="0" w:top="1134" w:footer="0" w:bottom="850"/>
          <w:pgNumType w:fmt="decimal"/>
          <w:formProt w:val="false"/>
          <w:textDirection w:val="lrTb"/>
          <w:docGrid w:type="default" w:linePitch="360" w:charSpace="0"/>
        </w:sectPr>
        <w:pStyle w:val="Standard"/>
        <w:jc w:val="both"/>
        <w:rPr/>
      </w:pPr>
      <w:r>
        <w:rPr>
          <w:rFonts w:ascii="Nimbus Roman [UKWN]" w:hAnsi="Nimbus Roman [UKWN]"/>
          <w:sz w:val="20"/>
          <w:szCs w:val="20"/>
        </w:rPr>
        <w:tab/>
        <w:t xml:space="preserve">В составе заявки </w:t>
      </w:r>
      <w:r>
        <w:rPr>
          <w:rFonts w:ascii="Nimbus Roman [UKWN]" w:hAnsi="Nimbus Roman [UKWN]"/>
          <w:iCs/>
          <w:sz w:val="20"/>
          <w:szCs w:val="20"/>
          <w:lang w:eastAsia="x-none"/>
        </w:rPr>
        <w:t xml:space="preserve">на </w:t>
      </w:r>
      <w:r>
        <w:rPr>
          <w:rFonts w:ascii="Nimbus Roman [UKWN]" w:hAnsi="Nimbus Roman [UKWN]"/>
          <w:iCs/>
          <w:sz w:val="20"/>
          <w:szCs w:val="20"/>
          <w:lang w:val="x-none" w:eastAsia="x-none"/>
        </w:rPr>
        <w:t xml:space="preserve">мониторинг цен необходимо представить </w:t>
      </w:r>
      <w:r>
        <w:rPr>
          <w:rFonts w:ascii="Nimbus Roman [UKWN]" w:hAnsi="Nimbus Roman [UKWN]"/>
          <w:iCs/>
          <w:sz w:val="20"/>
          <w:szCs w:val="20"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Standard"/>
        <w:rPr>
          <w:rFonts w:ascii="Times New Roman" w:hAnsi="Times New Roman"/>
        </w:rPr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>к Техническим требованиям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  <w:t>На официальном бланке участника</w:t>
      </w:r>
    </w:p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17"/>
        <w:gridCol w:w="271"/>
      </w:tblGrid>
      <w:tr>
        <w:trPr/>
        <w:tc>
          <w:tcPr>
            <w:tcW w:w="9888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/>
            </w:pPr>
            <w:r>
              <w:rPr/>
              <w:t>Изучив Технические требования Заказчика в рамках настоящего мониторинга «</w:t>
            </w:r>
            <w:r>
              <w:rPr>
                <w:b w:val="false"/>
                <w:bCs w:val="false"/>
                <w:sz w:val="24"/>
                <w:szCs w:val="24"/>
              </w:rPr>
              <w:t>ОКПД2 28.99.39.190  Поставка гидрологического оборудования (гидрометрические грузы)  для нужд АО «Ленгидропроект»».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lang w:val="en-US"/>
              </w:rPr>
              <w:t>.</w:t>
            </w:r>
          </w:p>
        </w:tc>
      </w:tr>
      <w:tr>
        <w:trPr/>
        <w:tc>
          <w:tcPr>
            <w:tcW w:w="9617" w:type="dxa"/>
            <w:tcBorders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1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17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(юридический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1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17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(почтовый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1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 xml:space="preserve">согласен </w:t>
      </w:r>
      <w:r>
        <w:rPr>
          <w:kern w:val="2"/>
        </w:rPr>
        <w:t xml:space="preserve">со всеми условиями Технических требований, включая установленные (предложенные Заказчиком) сроки изготовления и поставки Товара, условия оплаты </w:t>
      </w:r>
      <w:r>
        <w:rPr/>
        <w:t>и сообщаю следующее:</w:t>
      </w:r>
    </w:p>
    <w:p>
      <w:pPr>
        <w:pStyle w:val="Normal"/>
        <w:spacing w:before="0" w:after="0"/>
        <w:contextualSpacing/>
        <w:jc w:val="both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9978" w:type="dxa"/>
        <w:jc w:val="left"/>
        <w:tblInd w:w="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47"/>
        <w:gridCol w:w="4045"/>
        <w:gridCol w:w="1111"/>
        <w:gridCol w:w="799"/>
        <w:gridCol w:w="1578"/>
        <w:gridCol w:w="1197"/>
      </w:tblGrid>
      <w:tr>
        <w:trPr>
          <w:trHeight w:val="1235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445" w:hRule="atLeast"/>
        </w:trPr>
        <w:tc>
          <w:tcPr>
            <w:tcW w:w="9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КПД2 28.99.39.190 Поставка гидрологического оборудования  (гидрометрические грузы) для нужд АО «Ленгидропроект».</w:t>
            </w:r>
          </w:p>
        </w:tc>
      </w:tr>
      <w:tr>
        <w:trPr>
          <w:trHeight w:val="404" w:hRule="atLeast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 гидрометрический 100 кг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1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 гидрометрический 50 кг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1" w:hRule="atLeast"/>
        </w:trPr>
        <w:tc>
          <w:tcPr>
            <w:tcW w:w="72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b/>
              </w:rPr>
              <w:t>Итого, без НДС, руб. коп.: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>
        <w:trPr/>
        <w:tc>
          <w:tcPr>
            <w:tcW w:w="9889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конец формы</w:t>
            </w:r>
          </w:p>
        </w:tc>
      </w:tr>
    </w:tbl>
    <w:p>
      <w:pPr>
        <w:pStyle w:val="Normal"/>
        <w:spacing w:before="0" w:after="60"/>
        <w:ind w:hanging="0"/>
        <w:jc w:val="both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67" w:right="850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[UKWN]">
    <w:charset w:val="01"/>
    <w:family w:val="roman"/>
    <w:pitch w:val="variable"/>
  </w:font>
  <w:font w:name="Helvetica Neue">
    <w:altName w:val="Helvetica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>
          <w:rFonts w:ascii="Nimbus Roman [UKWN]" w:hAnsi="Nimbus Roman [UKWN]"/>
        </w:rPr>
      </w:pPr>
      <w:r>
        <w:rPr>
          <w:rStyle w:val="Style12"/>
        </w:rPr>
        <w:footnoteRef/>
      </w:r>
      <w:r>
        <w:rPr/>
        <w:t xml:space="preserve"> </w:t>
      </w:r>
      <w:r>
        <w:rPr>
          <w:rFonts w:ascii="Nimbus Roman [UKWN]" w:hAnsi="Nimbus Roman [UKWN]"/>
        </w:rPr>
        <w:t>Характеристики должны быть указаны в единицах измерения, установленными Заказчиком (столбец 3 Таблицы 3) и выражаться в абсолютной (твердой) величине (без указания диапазона значений (слов: более, менее, от , до и т.д.), кроме случаев, если такие характеристики установлены в диапазоне производителем Товара)</w:t>
      </w:r>
    </w:p>
    <w:p>
      <w:pPr>
        <w:pStyle w:val="FootnoteText"/>
        <w:widowControl w:val="fals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3d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5d4d73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f2f9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b20c7e"/>
    <w:pPr>
      <w:keepNext w:val="true"/>
      <w:spacing w:before="120" w:after="60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5d4d73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ДТ. Текст"/>
    <w:uiPriority w:val="1"/>
    <w:qFormat/>
    <w:rsid w:val="009d3df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d3df3"/>
    <w:rPr>
      <w:sz w:val="16"/>
      <w:szCs w:val="16"/>
    </w:rPr>
  </w:style>
  <w:style w:type="character" w:styleId="Doctitleimportant1" w:customStyle="1">
    <w:name w:val="doc__title_important1"/>
    <w:basedOn w:val="DefaultParagraphFont"/>
    <w:qFormat/>
    <w:rsid w:val="009d3df3"/>
    <w:rPr>
      <w:vanish w:val="false"/>
      <w:color w:val="000000"/>
    </w:rPr>
  </w:style>
  <w:style w:type="character" w:styleId="Strong">
    <w:name w:val="Strong"/>
    <w:basedOn w:val="DefaultParagraphFont"/>
    <w:uiPriority w:val="22"/>
    <w:qFormat/>
    <w:rsid w:val="009d3df3"/>
    <w:rPr>
      <w:b/>
      <w:bCs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semiHidden/>
    <w:qFormat/>
    <w:rsid w:val="005f0cf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5f0cf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5f0cf1"/>
    <w:rPr>
      <w:rFonts w:ascii="Segoe UI" w:hAnsi="Segoe UI" w:eastAsia="Times New Roman" w:cs="Segoe UI"/>
      <w:sz w:val="18"/>
      <w:szCs w:val="18"/>
      <w:lang w:eastAsia="ru-RU"/>
    </w:rPr>
  </w:style>
  <w:style w:type="character" w:styleId="Style9" w:customStyle="1">
    <w:name w:val="комментарий"/>
    <w:qFormat/>
    <w:rsid w:val="00eb3799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qFormat/>
    <w:rsid w:val="005d4d73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b20c7e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5d4d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10" w:customStyle="1">
    <w:name w:val="Абзац списка Знак"/>
    <w:link w:val="ListParagraph"/>
    <w:uiPriority w:val="34"/>
    <w:qFormat/>
    <w:locked/>
    <w:rsid w:val="00962f0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461830"/>
    <w:rPr>
      <w:color w:val="0000FF"/>
      <w:u w:val="single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0c0a7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Символ сноски"/>
    <w:uiPriority w:val="99"/>
    <w:semiHidden/>
    <w:unhideWhenUsed/>
    <w:qFormat/>
    <w:rsid w:val="000c0a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c55ac5"/>
    <w:rPr/>
  </w:style>
  <w:style w:type="character" w:styleId="Hgkelc" w:customStyle="1">
    <w:name w:val="hgkelc"/>
    <w:basedOn w:val="DefaultParagraphFont"/>
    <w:qFormat/>
    <w:rsid w:val="006a52f9"/>
    <w:rPr/>
  </w:style>
  <w:style w:type="character" w:styleId="Ecattext" w:customStyle="1">
    <w:name w:val="ecattext"/>
    <w:basedOn w:val="DefaultParagraphFont"/>
    <w:qFormat/>
    <w:rsid w:val="00f608cf"/>
    <w:rPr/>
  </w:style>
  <w:style w:type="character" w:styleId="FollowedHyperlink">
    <w:name w:val="FollowedHyperlink"/>
    <w:basedOn w:val="DefaultParagraphFont"/>
    <w:uiPriority w:val="99"/>
    <w:semiHidden/>
    <w:unhideWhenUsed/>
    <w:rsid w:val="009e6f41"/>
    <w:rPr>
      <w:color w:val="954F72" w:themeColor="followedHyperlink"/>
      <w:u w:val="single"/>
    </w:rPr>
  </w:style>
  <w:style w:type="character" w:styleId="S2" w:customStyle="1">
    <w:name w:val="s2"/>
    <w:basedOn w:val="DefaultParagraphFont"/>
    <w:qFormat/>
    <w:rsid w:val="00030bdc"/>
    <w:rPr/>
  </w:style>
  <w:style w:type="character" w:styleId="2" w:customStyle="1">
    <w:name w:val="Заголовок 2 Знак"/>
    <w:basedOn w:val="DefaultParagraphFont"/>
    <w:uiPriority w:val="9"/>
    <w:semiHidden/>
    <w:qFormat/>
    <w:rsid w:val="009f2f9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 w:customStyle="1">
    <w:name w:val="line number3"/>
    <w:qFormat/>
    <w:rPr/>
  </w:style>
  <w:style w:type="character" w:styleId="Linenumber">
    <w:name w:val="line number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11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11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11" w:customStyle="1">
    <w:name w:val="index heading11111"/>
    <w:basedOn w:val="Title"/>
    <w:qFormat/>
    <w:pPr/>
    <w:rPr/>
  </w:style>
  <w:style w:type="paragraph" w:styleId="ListParagraph">
    <w:name w:val="List Paragraph"/>
    <w:basedOn w:val="Normal"/>
    <w:link w:val="Style10"/>
    <w:qFormat/>
    <w:pPr>
      <w:suppressAutoHyphens w:val="false"/>
      <w:spacing w:before="0" w:after="0"/>
      <w:ind w:left="720" w:hanging="0"/>
      <w:contextualSpacing/>
    </w:pPr>
    <w:rPr>
      <w:color w:val="000000"/>
    </w:rPr>
  </w:style>
  <w:style w:type="paragraph" w:styleId="Annotationtext">
    <w:name w:val="annotation text"/>
    <w:basedOn w:val="Normal"/>
    <w:link w:val="Style6"/>
    <w:uiPriority w:val="99"/>
    <w:semiHidden/>
    <w:unhideWhenUsed/>
    <w:qFormat/>
    <w:rsid w:val="005f0cf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5f0cf1"/>
    <w:pPr/>
    <w:rPr>
      <w:b/>
      <w:bCs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5f0cf1"/>
    <w:pPr/>
    <w:rPr>
      <w:rFonts w:ascii="Segoe UI" w:hAnsi="Segoe UI" w:cs="Segoe UI"/>
      <w:sz w:val="18"/>
      <w:szCs w:val="18"/>
    </w:rPr>
  </w:style>
  <w:style w:type="paragraph" w:styleId="21" w:customStyle="1">
    <w:name w:val="Заголовок 2 КВВ"/>
    <w:basedOn w:val="Normal"/>
    <w:qFormat/>
    <w:rsid w:val="005d4d73"/>
    <w:pPr>
      <w:keepNext w:val="true"/>
      <w:numPr>
        <w:ilvl w:val="0"/>
        <w:numId w:val="1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18" w:customStyle="1">
    <w:name w:val="Таблица шапка"/>
    <w:basedOn w:val="Normal"/>
    <w:qFormat/>
    <w:rsid w:val="00962f01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TOC1">
    <w:name w:val="TOC 1"/>
    <w:basedOn w:val="Normal"/>
    <w:next w:val="Normal"/>
    <w:autoRedefine/>
    <w:uiPriority w:val="39"/>
    <w:rsid w:val="00ed4e87"/>
    <w:pPr>
      <w:tabs>
        <w:tab w:val="clear" w:pos="708"/>
        <w:tab w:val="right" w:pos="9912" w:leader="dot"/>
      </w:tabs>
      <w:spacing w:before="120" w:after="0"/>
      <w:jc w:val="center"/>
    </w:pPr>
    <w:rPr>
      <w:rFonts w:ascii="Nimbus Roman [UKWN]" w:hAnsi="Nimbus Roman [UKWN]" w:cs="Calibri Light (Заголовки)"/>
    </w:rPr>
  </w:style>
  <w:style w:type="paragraph" w:styleId="TOC3">
    <w:name w:val="TOC 3"/>
    <w:basedOn w:val="Normal"/>
    <w:next w:val="Normal"/>
    <w:autoRedefine/>
    <w:uiPriority w:val="39"/>
    <w:rsid w:val="00461830"/>
    <w:pPr>
      <w:ind w:left="280" w:hanging="0"/>
    </w:pPr>
    <w:rPr>
      <w:rFonts w:cs="Calibri" w:cstheme="minorHAnsi"/>
    </w:rPr>
  </w:style>
  <w:style w:type="paragraph" w:styleId="TOC4">
    <w:name w:val="TOC 4"/>
    <w:basedOn w:val="Normal"/>
    <w:next w:val="Normal"/>
    <w:autoRedefine/>
    <w:uiPriority w:val="39"/>
    <w:rsid w:val="00461830"/>
    <w:pPr>
      <w:ind w:left="560" w:hanging="0"/>
    </w:pPr>
    <w:rPr>
      <w:rFonts w:cs="Calibri" w:cstheme="minorHAnsi"/>
      <w:sz w:val="20"/>
      <w:szCs w:val="20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0c0a75"/>
    <w:pPr/>
    <w:rPr>
      <w:sz w:val="20"/>
      <w:szCs w:val="20"/>
    </w:rPr>
  </w:style>
  <w:style w:type="paragraph" w:styleId="Style19" w:customStyle="1">
    <w:name w:val="Таблица"/>
    <w:basedOn w:val="Normal"/>
    <w:qFormat/>
    <w:rsid w:val="008d116c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c55ac5"/>
    <w:pPr>
      <w:spacing w:beforeAutospacing="1" w:afterAutospacing="1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d4e87"/>
    <w:pPr>
      <w:keepLines/>
      <w:spacing w:lineRule="auto" w:line="259" w:before="24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val="2E74B5" w:themeColor="accent1" w:themeShade="bf"/>
      <w:sz w:val="32"/>
      <w:szCs w:val="32"/>
      <w:lang w:val="ru-RU" w:eastAsia="ru-RU"/>
    </w:rPr>
  </w:style>
  <w:style w:type="paragraph" w:styleId="Default" w:customStyle="1">
    <w:name w:val="Default"/>
    <w:qFormat/>
    <w:rsid w:val="00d31a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uiPriority w:val="99"/>
    <w:semiHidden/>
    <w:qFormat/>
    <w:rsid w:val="00b2021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823101"/>
    <w:pPr>
      <w:spacing w:beforeAutospacing="1" w:afterAutospacing="1"/>
    </w:pPr>
    <w:rPr/>
  </w:style>
  <w:style w:type="paragraph" w:styleId="Headertext" w:customStyle="1">
    <w:name w:val="headertext"/>
    <w:basedOn w:val="Normal"/>
    <w:qFormat/>
    <w:rsid w:val="00823101"/>
    <w:pPr>
      <w:spacing w:beforeAutospacing="1" w:afterAutospacing="1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Contents1" w:customStyle="1">
    <w:name w:val="Contents 1"/>
    <w:basedOn w:val="Standard"/>
    <w:next w:val="Standard"/>
    <w:qFormat/>
    <w:pPr>
      <w:tabs>
        <w:tab w:val="clear" w:pos="708"/>
        <w:tab w:val="right" w:pos="9912" w:leader="dot"/>
      </w:tabs>
      <w:spacing w:before="120" w:after="0"/>
      <w:jc w:val="center"/>
    </w:pPr>
    <w:rPr>
      <w:rFonts w:cs="Calibri Light (Заголовки)"/>
      <w:b/>
      <w:bCs/>
      <w:sz w:val="22"/>
      <w:szCs w:val="22"/>
    </w:rPr>
  </w:style>
  <w:style w:type="paragraph" w:styleId="Caption1111111111">
    <w:name w:val="caption1111111111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29572843031" w:customStyle="1">
    <w:name w:val="29572843031"/>
    <w:qFormat/>
  </w:style>
  <w:style w:type="numbering" w:styleId="9826086631" w:customStyle="1">
    <w:name w:val="98260866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8d116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8D15-A588-4A2B-A660-169AF8B6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Application>AlterOffice/2025.3.0.0$Linux_X86_64 LibreOffice_project/4ba31b6a4271509a884f95065d0a726e9cb2bdbb</Application>
  <AppVersion>15.0000</AppVersion>
  <Pages>9</Pages>
  <Words>1340</Words>
  <Characters>8921</Characters>
  <CharactersWithSpaces>10077</CharactersWithSpaces>
  <Paragraphs>256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2026-06-10T07:18:00Z</dcterms:created>
  <dc:creator>Крестьянова Александра Николаевна</dc:creator>
  <dc:description/>
  <dc:language>ru-RU</dc:language>
  <cp:lastModifiedBy>seligerskaiagiu</cp:lastModifiedBy>
  <cp:lastPrinted>2026-04-21T10:15:00Z</cp:lastPrinted>
  <dcterms:modified xsi:type="dcterms:W3CDTF">2026-07-30T09:42:26Z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