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4536"/>
        <w:jc w:val="right"/>
        <w:rPr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</w:r>
      <w:bookmarkStart w:id="0" w:name="_Toc141696704"/>
      <w:bookmarkStart w:id="1" w:name="_Toc139856287"/>
      <w:bookmarkStart w:id="2" w:name="_Toc137554584"/>
      <w:bookmarkStart w:id="3" w:name="_Toc141696704"/>
      <w:bookmarkStart w:id="4" w:name="_Toc139856287"/>
      <w:bookmarkStart w:id="5" w:name="_Toc137554584"/>
      <w:bookmarkEnd w:id="3"/>
      <w:bookmarkEnd w:id="4"/>
      <w:bookmarkEnd w:id="5"/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  <w:bookmarkStart w:id="6" w:name="_Toc141696704_Копия_1"/>
      <w:bookmarkStart w:id="7" w:name="_Toc139856287_Копия_1"/>
      <w:bookmarkStart w:id="8" w:name="_Toc137554584_Копия_1"/>
      <w:bookmarkStart w:id="9" w:name="_Toc141696704_Копия_1"/>
      <w:bookmarkStart w:id="10" w:name="_Toc139856287_Копия_1"/>
      <w:bookmarkStart w:id="11" w:name="_Toc137554584_Копия_1"/>
      <w:bookmarkEnd w:id="9"/>
      <w:bookmarkEnd w:id="10"/>
      <w:bookmarkEnd w:id="11"/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</w:r>
    </w:p>
    <w:p>
      <w:pPr>
        <w:pStyle w:val="Normal"/>
        <w:keepNext w:val="true"/>
        <w:keepLines/>
        <w:ind w:firstLine="567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ОКПД 2 49.41.19: Услуги по перевозке легковых автомобилей для нужд Владивостокского представительства «АО ТК РусГидро»</w:t>
      </w:r>
    </w:p>
    <w:p>
      <w:pPr>
        <w:pStyle w:val="Normal"/>
        <w:keepNext w:val="true"/>
        <w:keepLines/>
        <w:ind w:firstLine="567"/>
        <w:jc w:val="center"/>
        <w:rPr>
          <w:color w:val="1F4E79"/>
          <w:sz w:val="24"/>
          <w:szCs w:val="24"/>
          <w:highlight w:val="yellow"/>
        </w:rPr>
      </w:pPr>
      <w:r>
        <w:rPr>
          <w:color w:val="1F4E79"/>
          <w:sz w:val="24"/>
          <w:szCs w:val="24"/>
          <w:highlight w:val="yellow"/>
        </w:rPr>
      </w:r>
    </w:p>
    <w:p>
      <w:pPr>
        <w:pStyle w:val="Normal"/>
        <w:rPr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                              </w:t>
      </w:r>
      <w:r>
        <w:rPr>
          <w:b/>
          <w:color w:val="000000" w:themeColor="text1"/>
          <w:sz w:val="24"/>
          <w:szCs w:val="24"/>
        </w:rPr>
        <w:t>Лот № 82</w:t>
      </w:r>
      <w:r>
        <w:rPr>
          <w:b/>
          <w:color w:val="000000" w:themeColor="text1"/>
          <w:sz w:val="24"/>
          <w:szCs w:val="24"/>
        </w:rPr>
        <w:t>34</w:t>
      </w:r>
      <w:r>
        <w:rPr>
          <w:b/>
          <w:color w:val="000000" w:themeColor="text1"/>
          <w:sz w:val="24"/>
          <w:szCs w:val="24"/>
        </w:rPr>
        <w:t>-ЭКСП ПРОД-2026-Влад ТК РусГидро АО</w:t>
      </w:r>
      <w:r>
        <w:br w:type="page"/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rPr>
              <w:rFonts w:eastAsia="新細明體" w:cs="Times New Roman" w:eastAsiaTheme="minorEastAsia"/>
              <w:b w:val="false"/>
              <w:bCs w:val="false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  <w:rFonts w:cs="Times New Roman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  <w:rFonts w:cs="Times New Roman"/>
            </w:rPr>
            <w:fldChar w:fldCharType="separate"/>
          </w:r>
          <w:hyperlink w:anchor="_Toc54643694">
            <w:r>
              <w:rPr>
                <w:webHidden/>
                <w:rStyle w:val="Style14"/>
                <w:rFonts w:cs="Times New Roman"/>
                <w:vanish w:val="false"/>
              </w:rPr>
              <w:t>1.</w:t>
            </w:r>
            <w:r>
              <w:rPr>
                <w:rStyle w:val="Style14"/>
                <w:rFonts w:eastAsia="新細明體" w:cs="Times New Roman" w:eastAsiaTheme="minorEastAsia"/>
                <w:b w:val="false"/>
                <w:bCs w:val="false"/>
              </w:rPr>
              <w:tab/>
            </w:r>
            <w:r>
              <w:rPr>
                <w:rStyle w:val="Style14"/>
                <w:rFonts w:cs="Times New Roman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eastAsia="新細明體" w:cs="Times New Roman" w:eastAsiaTheme="minorEastAsia"/>
              <w:sz w:val="24"/>
              <w:szCs w:val="24"/>
            </w:rPr>
          </w:pPr>
          <w:hyperlink w:anchor="_Toc54643695">
            <w:r>
              <w:rPr>
                <w:webHidden/>
                <w:rStyle w:val="Style14"/>
                <w:rFonts w:cs="Times New Roman"/>
                <w:iCs/>
                <w:vanish w:val="false"/>
                <w:sz w:val="24"/>
                <w:szCs w:val="24"/>
              </w:rPr>
              <w:t>1.1.</w:t>
            </w:r>
            <w:r>
              <w:rPr>
                <w:rStyle w:val="Style14"/>
                <w:rFonts w:eastAsia="新細明體" w:cs="Times New Roman" w:eastAsiaTheme="minorEastAsia"/>
                <w:sz w:val="24"/>
                <w:szCs w:val="24"/>
              </w:rPr>
              <w:tab/>
            </w:r>
            <w:r>
              <w:rPr>
                <w:rStyle w:val="Style14"/>
                <w:rFonts w:cs="Times New Roman"/>
                <w:sz w:val="24"/>
                <w:szCs w:val="24"/>
              </w:rPr>
              <w:t>Обозначения и сокращения</w:t>
            </w:r>
            <w:r>
              <w:rPr>
                <w:rStyle w:val="Style14"/>
                <w:rFonts w:cs="Times New Roman"/>
                <w:b/>
                <w:sz w:val="24"/>
                <w:szCs w:val="24"/>
              </w:rPr>
              <w:t>……………………………………………………………….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vanish w:val="false"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eastAsia="新細明體" w:cs="Times New Roman" w:eastAsiaTheme="minorEastAsia"/>
              <w:sz w:val="24"/>
              <w:szCs w:val="24"/>
            </w:rPr>
          </w:pPr>
          <w:hyperlink w:anchor="_Toc54643696">
            <w:r>
              <w:rPr>
                <w:webHidden/>
                <w:rStyle w:val="Style14"/>
                <w:rFonts w:cs="Times New Roman"/>
                <w:iCs/>
                <w:vanish w:val="false"/>
                <w:sz w:val="24"/>
                <w:szCs w:val="24"/>
              </w:rPr>
              <w:t>1.2.</w:t>
            </w:r>
            <w:r>
              <w:rPr>
                <w:rStyle w:val="Style14"/>
                <w:rFonts w:eastAsia="新細明體" w:cs="Times New Roman" w:eastAsiaTheme="minorEastAsia"/>
                <w:sz w:val="24"/>
                <w:szCs w:val="24"/>
              </w:rPr>
              <w:tab/>
            </w:r>
            <w:r>
              <w:rPr>
                <w:rStyle w:val="Style14"/>
                <w:rFonts w:cs="Times New Roman"/>
                <w:sz w:val="24"/>
                <w:szCs w:val="24"/>
              </w:rPr>
              <w:t>Наименование закупаемой продукции</w:t>
            </w:r>
            <w:r>
              <w:rPr>
                <w:rStyle w:val="Style14"/>
                <w:rFonts w:cs="Times New Roman"/>
                <w:b/>
                <w:sz w:val="24"/>
                <w:szCs w:val="24"/>
              </w:rPr>
              <w:t>…………………………………………………..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vanish w:val="false"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eastAsia="新細明體" w:cs="Times New Roman" w:eastAsiaTheme="minorEastAsia"/>
              <w:sz w:val="24"/>
              <w:szCs w:val="24"/>
            </w:rPr>
          </w:pPr>
          <w:hyperlink w:anchor="_Toc54643697">
            <w:r>
              <w:rPr>
                <w:webHidden/>
                <w:rStyle w:val="Style14"/>
                <w:rFonts w:cs="Times New Roman"/>
                <w:iCs/>
                <w:vanish w:val="false"/>
                <w:sz w:val="24"/>
                <w:szCs w:val="24"/>
              </w:rPr>
              <w:t>1.3.</w:t>
            </w:r>
            <w:r>
              <w:rPr>
                <w:rStyle w:val="Style14"/>
                <w:rFonts w:eastAsia="新細明體" w:cs="Times New Roman" w:eastAsiaTheme="minorEastAsia"/>
                <w:sz w:val="24"/>
                <w:szCs w:val="24"/>
              </w:rPr>
              <w:tab/>
            </w:r>
            <w:r>
              <w:rPr>
                <w:rStyle w:val="Style14"/>
                <w:rFonts w:cs="Times New Roman"/>
                <w:sz w:val="24"/>
                <w:szCs w:val="24"/>
              </w:rPr>
              <w:t>Цель оказания услуг</w:t>
            </w:r>
            <w:r>
              <w:rPr>
                <w:rStyle w:val="Style14"/>
                <w:rFonts w:cs="Times New Roman"/>
                <w:b/>
                <w:sz w:val="24"/>
                <w:szCs w:val="24"/>
              </w:rPr>
              <w:t>………………………………………………………………………</w:t>
            </w:r>
            <w:r>
              <w:rPr>
                <w:rStyle w:val="Style14"/>
                <w:rFonts w:cs="Times New Roman"/>
                <w:sz w:val="24"/>
                <w:szCs w:val="24"/>
              </w:rPr>
              <w:t>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vanish w:val="false"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911" w:leader="dot"/>
            </w:tabs>
            <w:rPr>
              <w:rFonts w:eastAsia="新細明體" w:cs="Times New Roman" w:eastAsiaTheme="minorEastAsia"/>
              <w:b w:val="false"/>
              <w:bCs w:val="false"/>
            </w:rPr>
          </w:pPr>
          <w:hyperlink w:anchor="_Toc5464369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rFonts w:cs="Times New Roman"/>
                <w:vanish w:val="false"/>
              </w:rPr>
              <w:t>Таблица 1. Перечень объектов заказчика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eastAsia="新細明體" w:cs="Times New Roman" w:eastAsiaTheme="minorEastAsia"/>
              <w:sz w:val="24"/>
              <w:szCs w:val="24"/>
            </w:rPr>
          </w:pPr>
          <w:hyperlink w:anchor="_Toc54643700">
            <w:r>
              <w:rPr>
                <w:webHidden/>
                <w:rStyle w:val="Style14"/>
                <w:rFonts w:cs="Times New Roman"/>
                <w:iCs/>
                <w:vanish w:val="false"/>
                <w:sz w:val="24"/>
                <w:szCs w:val="24"/>
              </w:rPr>
              <w:t>1.5.</w:t>
            </w:r>
            <w:r>
              <w:rPr>
                <w:rStyle w:val="Style14"/>
                <w:rFonts w:eastAsia="新細明體" w:cs="Times New Roman" w:eastAsiaTheme="minorEastAsia"/>
                <w:sz w:val="24"/>
                <w:szCs w:val="24"/>
              </w:rPr>
              <w:tab/>
            </w:r>
            <w:r>
              <w:rPr>
                <w:rStyle w:val="Style14"/>
                <w:rFonts w:cs="Times New Roman"/>
                <w:sz w:val="24"/>
                <w:szCs w:val="24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vanish w:val="false"/>
                <w:sz w:val="24"/>
                <w:szCs w:val="24"/>
              </w:rPr>
              <w:tab/>
              <w:t xml:space="preserve">       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eastAsia="新細明體" w:cs="Times New Roman" w:eastAsiaTheme="minorEastAsia"/>
              <w:sz w:val="24"/>
              <w:szCs w:val="24"/>
            </w:rPr>
          </w:pPr>
          <w:hyperlink w:anchor="_Toc54643701">
            <w:r>
              <w:rPr>
                <w:webHidden/>
                <w:rStyle w:val="Style14"/>
                <w:rFonts w:cs="Times New Roman"/>
                <w:iCs/>
                <w:vanish w:val="false"/>
                <w:sz w:val="24"/>
                <w:szCs w:val="24"/>
              </w:rPr>
              <w:t>1.6.</w:t>
            </w:r>
            <w:r>
              <w:rPr>
                <w:rStyle w:val="Style14"/>
                <w:rFonts w:eastAsia="新細明體" w:cs="Times New Roman" w:eastAsiaTheme="minorEastAsia"/>
                <w:sz w:val="24"/>
                <w:szCs w:val="24"/>
              </w:rPr>
              <w:tab/>
            </w:r>
            <w:r>
              <w:rPr>
                <w:rStyle w:val="Style14"/>
                <w:rFonts w:cs="Times New Roman"/>
                <w:sz w:val="24"/>
                <w:szCs w:val="24"/>
              </w:rPr>
              <w:t>Иные требования и сведения общего характера</w:t>
            </w:r>
            <w:r>
              <w:rPr>
                <w:rStyle w:val="Style14"/>
                <w:rFonts w:cs="Times New Roman"/>
                <w:vanish w:val="false"/>
                <w:sz w:val="24"/>
                <w:szCs w:val="24"/>
              </w:rPr>
              <w:tab/>
            </w:r>
          </w:hyperlink>
          <w:r>
            <w:rPr>
              <w:rFonts w:cs="Times New Roman"/>
              <w:sz w:val="24"/>
              <w:szCs w:val="24"/>
            </w:rPr>
            <w:t>3</w:t>
          </w:r>
        </w:p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rPr>
              <w:rFonts w:eastAsia="新細明體" w:cs="Times New Roman" w:eastAsiaTheme="minorEastAsia"/>
              <w:b w:val="false"/>
              <w:bCs w:val="false"/>
            </w:rPr>
          </w:pPr>
          <w:hyperlink w:anchor="_Toc54643702">
            <w:r>
              <w:rPr>
                <w:webHidden/>
                <w:rStyle w:val="Style14"/>
                <w:rFonts w:cs="Times New Roman"/>
                <w:vanish w:val="false"/>
              </w:rPr>
              <w:t>2.</w:t>
            </w:r>
            <w:r>
              <w:rPr>
                <w:rStyle w:val="Style14"/>
                <w:rFonts w:eastAsia="新細明體" w:cs="Times New Roman" w:eastAsiaTheme="minorEastAsia"/>
                <w:b w:val="false"/>
                <w:bCs w:val="false"/>
              </w:rPr>
              <w:tab/>
            </w:r>
            <w:r>
              <w:rPr>
                <w:rStyle w:val="Style14"/>
                <w:rFonts w:cs="Times New Roman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eastAsia="新細明體" w:cs="Times New Roman" w:eastAsiaTheme="minorEastAsia"/>
              <w:sz w:val="24"/>
              <w:szCs w:val="24"/>
            </w:rPr>
          </w:pPr>
          <w:hyperlink w:anchor="_Toc54643703">
            <w:r>
              <w:rPr>
                <w:webHidden/>
                <w:rStyle w:val="Style14"/>
                <w:rFonts w:cs="Times New Roman"/>
                <w:iCs/>
                <w:vanish w:val="false"/>
                <w:sz w:val="24"/>
                <w:szCs w:val="24"/>
              </w:rPr>
              <w:t>2.1.</w:t>
            </w:r>
            <w:r>
              <w:rPr>
                <w:rStyle w:val="Style14"/>
                <w:rFonts w:eastAsia="新細明體" w:cs="Times New Roman" w:eastAsiaTheme="minorEastAsia"/>
                <w:sz w:val="24"/>
                <w:szCs w:val="24"/>
              </w:rPr>
              <w:tab/>
            </w:r>
            <w:r>
              <w:rPr>
                <w:rStyle w:val="Style14"/>
                <w:rFonts w:cs="Times New Roman"/>
                <w:sz w:val="24"/>
                <w:szCs w:val="24"/>
              </w:rPr>
              <w:t>Требования к объемам и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vanish w:val="false"/>
                <w:sz w:val="24"/>
                <w:szCs w:val="2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9"/>
              <w:tab w:val="left" w:pos="1120" w:leader="none"/>
              <w:tab w:val="right" w:pos="9911" w:leader="dot"/>
            </w:tabs>
            <w:rPr>
              <w:rFonts w:eastAsia="新細明體" w:cs="Times New Roman" w:eastAsiaTheme="minorEastAsia"/>
              <w:sz w:val="24"/>
              <w:szCs w:val="24"/>
            </w:rPr>
          </w:pPr>
          <w:hyperlink w:anchor="_Toc54643704">
            <w:r>
              <w:rPr>
                <w:webHidden/>
                <w:rStyle w:val="Style14"/>
                <w:rFonts w:cs="Times New Roman"/>
                <w:vanish w:val="false"/>
                <w:sz w:val="24"/>
                <w:szCs w:val="24"/>
              </w:rPr>
              <w:t>2.1.1.</w:t>
            </w:r>
            <w:r>
              <w:rPr>
                <w:rStyle w:val="Style14"/>
                <w:rFonts w:eastAsia="新細明體" w:cs="Times New Roman" w:eastAsiaTheme="minorEastAsia"/>
                <w:sz w:val="24"/>
                <w:szCs w:val="24"/>
              </w:rPr>
              <w:tab/>
            </w:r>
            <w:r>
              <w:rPr>
                <w:rStyle w:val="Style14"/>
                <w:rFonts w:cs="Times New Roman"/>
                <w:sz w:val="24"/>
                <w:szCs w:val="24"/>
              </w:rPr>
              <w:t>Требования к перечню и объему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vanish w:val="false"/>
                <w:sz w:val="24"/>
                <w:szCs w:val="2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911" w:leader="dot"/>
            </w:tabs>
            <w:rPr>
              <w:rFonts w:eastAsia="新細明體" w:cs="Times New Roman" w:eastAsiaTheme="minorEastAsia"/>
              <w:b w:val="false"/>
              <w:bCs w:val="false"/>
            </w:rPr>
          </w:pPr>
          <w:hyperlink w:anchor="_Toc5464370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rFonts w:cs="Times New Roman"/>
                <w:vanish w:val="false"/>
              </w:rPr>
              <w:t>Таблица 2. Перечень и объем оказываемых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9"/>
              <w:tab w:val="left" w:pos="1120" w:leader="none"/>
              <w:tab w:val="right" w:pos="9911" w:leader="dot"/>
            </w:tabs>
            <w:rPr>
              <w:rFonts w:eastAsia="新細明體" w:cs="Times New Roman" w:eastAsiaTheme="minorEastAsia"/>
              <w:sz w:val="24"/>
              <w:szCs w:val="24"/>
            </w:rPr>
          </w:pPr>
          <w:hyperlink w:anchor="_Toc54643706">
            <w:r>
              <w:rPr>
                <w:webHidden/>
                <w:rStyle w:val="Style14"/>
                <w:rFonts w:cs="Times New Roman"/>
                <w:vanish w:val="false"/>
                <w:sz w:val="24"/>
                <w:szCs w:val="24"/>
              </w:rPr>
              <w:t>2.1.2.</w:t>
            </w:r>
            <w:r>
              <w:rPr>
                <w:rStyle w:val="Style14"/>
                <w:rFonts w:eastAsia="新細明體" w:cs="Times New Roman" w:eastAsiaTheme="minorEastAsia"/>
                <w:sz w:val="24"/>
                <w:szCs w:val="24"/>
              </w:rPr>
              <w:tab/>
            </w:r>
            <w:r>
              <w:rPr>
                <w:rStyle w:val="Style14"/>
                <w:rFonts w:cs="Times New Roman"/>
                <w:sz w:val="24"/>
                <w:szCs w:val="24"/>
              </w:rPr>
              <w:t>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vanish w:val="false"/>
                <w:sz w:val="24"/>
                <w:szCs w:val="2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911" w:leader="dot"/>
            </w:tabs>
            <w:rPr>
              <w:rFonts w:eastAsia="新細明體" w:cs="Times New Roman" w:eastAsiaTheme="minorEastAsia"/>
              <w:b w:val="false"/>
              <w:bCs w:val="false"/>
            </w:rPr>
          </w:pPr>
          <w:hyperlink w:anchor="_Toc5464370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rFonts w:cs="Times New Roman"/>
                <w:vanish w:val="false"/>
              </w:rPr>
              <w:t>Таблица 3. Требования к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eastAsia="新細明體" w:cs="Times New Roman" w:eastAsiaTheme="minorEastAsia"/>
              <w:sz w:val="24"/>
              <w:szCs w:val="24"/>
            </w:rPr>
          </w:pPr>
          <w:hyperlink w:anchor="_Toc54643708">
            <w:r>
              <w:rPr>
                <w:webHidden/>
                <w:rStyle w:val="Style14"/>
                <w:rFonts w:cs="Times New Roman"/>
                <w:iCs/>
                <w:vanish w:val="false"/>
                <w:sz w:val="24"/>
                <w:szCs w:val="24"/>
              </w:rPr>
              <w:t>2.2.</w:t>
            </w:r>
            <w:r>
              <w:rPr>
                <w:rStyle w:val="Style14"/>
                <w:rFonts w:eastAsia="新細明體" w:cs="Times New Roman" w:eastAsiaTheme="minorEastAsia"/>
                <w:sz w:val="24"/>
                <w:szCs w:val="24"/>
              </w:rPr>
              <w:tab/>
            </w:r>
            <w:r>
              <w:rPr>
                <w:rStyle w:val="Style14"/>
                <w:rFonts w:cs="Times New Roman"/>
                <w:sz w:val="24"/>
                <w:szCs w:val="24"/>
              </w:rPr>
              <w:t>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vanish w:val="false"/>
                <w:sz w:val="24"/>
                <w:szCs w:val="2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911" w:leader="dot"/>
            </w:tabs>
            <w:rPr>
              <w:rFonts w:eastAsia="新細明體" w:cs="Times New Roman" w:eastAsiaTheme="minorEastAsia"/>
              <w:b w:val="false"/>
              <w:bCs w:val="false"/>
            </w:rPr>
          </w:pPr>
          <w:hyperlink w:anchor="_Toc5464370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rFonts w:cs="Times New Roman"/>
                <w:vanish w:val="false"/>
              </w:rPr>
              <w:t>Таблица 4. Требования к качеству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rPr>
              <w:rFonts w:cs="Times New Roman"/>
            </w:rPr>
          </w:pPr>
          <w:hyperlink w:anchor="_Toc54643711">
            <w:r>
              <w:rPr>
                <w:webHidden/>
                <w:rStyle w:val="Style14"/>
                <w:rFonts w:cs="Times New Roman"/>
                <w:vanish w:val="false"/>
              </w:rPr>
              <w:t>3.</w:t>
            </w:r>
            <w:r>
              <w:rPr>
                <w:rStyle w:val="Style14"/>
                <w:rFonts w:eastAsia="新細明體" w:cs="Times New Roman" w:eastAsiaTheme="minorEastAsia"/>
                <w:b w:val="false"/>
                <w:bCs w:val="false"/>
              </w:rPr>
              <w:tab/>
            </w:r>
            <w:r>
              <w:rPr>
                <w:rStyle w:val="Style14"/>
                <w:rFonts w:cs="Times New Roman"/>
              </w:rPr>
              <w:t>Требования к документации по ценообразованию на этапе заключения (исполнения) договора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_Toc54643711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vanish w:val="false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vanish w:val="false"/>
              <w:rFonts w:cs="Times New Roman"/>
            </w:rPr>
            <w:fldChar w:fldCharType="end"/>
          </w:r>
        </w:p>
      </w:sdtContent>
    </w:sdt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TOC1"/>
        <w:tabs>
          <w:tab w:val="clear" w:pos="709"/>
          <w:tab w:val="right" w:pos="9911" w:leader="dot"/>
        </w:tabs>
        <w:rPr>
          <w:rFonts w:eastAsia="新細明體" w:cs="Times New Roman" w:eastAsiaTheme="minorEastAsia"/>
          <w:b w:val="false"/>
          <w:bCs w:val="false"/>
        </w:rPr>
      </w:pPr>
      <w:r>
        <w:rPr>
          <w:rFonts w:eastAsia="新細明體" w:cs="Times New Roman" w:eastAsiaTheme="minorEastAsia"/>
          <w:b w:val="false"/>
          <w:bCs w:val="false"/>
        </w:rPr>
      </w:r>
    </w:p>
    <w:p>
      <w:pPr>
        <w:pStyle w:val="Heading2"/>
        <w:numPr>
          <w:ilvl w:val="0"/>
          <w:numId w:val="0"/>
        </w:numPr>
        <w:ind w:left="0" w:hanging="0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0" w:hanging="0"/>
        <w:rPr>
          <w:caps/>
          <w:sz w:val="24"/>
          <w:szCs w:val="24"/>
        </w:rPr>
      </w:pPr>
      <w:bookmarkStart w:id="12" w:name="_Toc54643694"/>
      <w:r>
        <w:rPr>
          <w:sz w:val="24"/>
          <w:szCs w:val="24"/>
        </w:rPr>
        <w:t>Общие сведения</w:t>
      </w:r>
      <w:bookmarkEnd w:id="12"/>
    </w:p>
    <w:p>
      <w:pPr>
        <w:pStyle w:val="Heading4"/>
        <w:numPr>
          <w:ilvl w:val="1"/>
          <w:numId w:val="3"/>
        </w:numPr>
        <w:ind w:left="0" w:hanging="0"/>
        <w:rPr/>
      </w:pPr>
      <w:bookmarkStart w:id="13" w:name="_Toc54643695"/>
      <w:bookmarkStart w:id="14" w:name="_Toc46743505"/>
      <w:r>
        <w:rPr/>
        <w:t>Обозначения и сокращения</w:t>
      </w:r>
      <w:bookmarkEnd w:id="13"/>
      <w:bookmarkEnd w:id="14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Транспортное средство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Универсально передаточный документ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ind w:left="0" w:hanging="0"/>
        <w:rPr/>
      </w:pPr>
      <w:bookmarkStart w:id="15" w:name="_Toc54643696"/>
      <w:bookmarkStart w:id="16" w:name="_Toc46743506"/>
      <w:r>
        <w:rPr/>
        <w:t>Наименование закупаемой продукции</w:t>
      </w:r>
      <w:bookmarkEnd w:id="15"/>
      <w:bookmarkEnd w:id="16"/>
    </w:p>
    <w:p>
      <w:pPr>
        <w:pStyle w:val="Normal"/>
        <w:keepNext w:val="true"/>
        <w:keepLines/>
        <w:jc w:val="both"/>
        <w:rPr>
          <w:color w:val="171717" w:themeColor="background2" w:themeShade="1a"/>
          <w:sz w:val="24"/>
          <w:szCs w:val="24"/>
          <w:shd w:fill="FFFFFF" w:val="clear"/>
        </w:rPr>
      </w:pPr>
      <w:r>
        <w:rPr>
          <w:color w:val="171717" w:themeColor="background2" w:themeShade="1a"/>
          <w:sz w:val="24"/>
          <w:szCs w:val="24"/>
          <w:shd w:fill="FFFFFF" w:val="clear"/>
        </w:rPr>
        <w:t>ОКПД 2 49.41.19: Услуги по перевозке легковых автомобилей для нужд Владивостокского представительства «АО ТК РусГидро»</w:t>
      </w:r>
      <w:bookmarkStart w:id="17" w:name="_Toc54643697"/>
      <w:bookmarkStart w:id="18" w:name="_Toc46743507"/>
    </w:p>
    <w:p>
      <w:pPr>
        <w:pStyle w:val="Heading4"/>
        <w:numPr>
          <w:ilvl w:val="1"/>
          <w:numId w:val="3"/>
        </w:numPr>
        <w:ind w:left="0" w:hanging="0"/>
        <w:rPr>
          <w:i/>
          <w:i/>
          <w:shd w:fill="FFFF99" w:val="clear"/>
        </w:rPr>
      </w:pPr>
      <w:r>
        <w:rPr/>
        <w:t xml:space="preserve">Цель </w:t>
      </w:r>
      <w:bookmarkEnd w:id="18"/>
      <w:r>
        <w:rPr/>
        <w:t xml:space="preserve">оказания услуг </w:t>
      </w:r>
      <w:bookmarkEnd w:id="17"/>
    </w:p>
    <w:p>
      <w:pPr>
        <w:pStyle w:val="Normal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Осуществить передислокацию </w:t>
      </w:r>
      <w:r>
        <w:rPr>
          <w:rFonts w:eastAsia="Calibri"/>
          <w:sz w:val="24"/>
          <w:szCs w:val="24"/>
          <w:lang w:eastAsia="en-US"/>
        </w:rPr>
        <w:t>легковых автомобилей</w:t>
      </w:r>
      <w:r>
        <w:rPr>
          <w:color w:val="171717" w:themeColor="background2" w:themeShade="1a"/>
          <w:sz w:val="24"/>
          <w:szCs w:val="24"/>
          <w:shd w:fill="FFFFFF" w:val="clear"/>
        </w:rPr>
        <w:t xml:space="preserve"> </w:t>
      </w:r>
      <w:r>
        <w:rPr>
          <w:rFonts w:eastAsia="Calibri"/>
          <w:sz w:val="24"/>
          <w:szCs w:val="24"/>
          <w:lang w:eastAsia="en-US"/>
        </w:rPr>
        <w:t>для нужд Владивостокского представительства</w:t>
      </w:r>
      <w:r>
        <w:rPr>
          <w:sz w:val="24"/>
          <w:szCs w:val="24"/>
        </w:rPr>
        <w:t xml:space="preserve"> АО ТК «РусГидро».</w:t>
      </w:r>
    </w:p>
    <w:p>
      <w:pPr>
        <w:pStyle w:val="Normal"/>
        <w:jc w:val="both"/>
        <w:rPr>
          <w:rStyle w:val="Style8"/>
          <w:b w:val="false"/>
          <w:bCs/>
          <w:i w:val="false"/>
          <w:i w:val="false"/>
          <w:sz w:val="24"/>
          <w:szCs w:val="24"/>
        </w:rPr>
      </w:pPr>
      <w:r>
        <w:rPr>
          <w:b w:val="false"/>
          <w:bCs/>
          <w:i w:val="false"/>
          <w:sz w:val="24"/>
          <w:szCs w:val="24"/>
        </w:rPr>
      </w:r>
    </w:p>
    <w:p>
      <w:pPr>
        <w:pStyle w:val="Heading1"/>
        <w:numPr>
          <w:ilvl w:val="0"/>
          <w:numId w:val="0"/>
        </w:numPr>
        <w:ind w:left="0" w:hanging="0"/>
        <w:rPr>
          <w:rStyle w:val="Style8"/>
          <w:b/>
          <w:i w:val="false"/>
          <w:i w:val="false"/>
          <w:sz w:val="24"/>
          <w:szCs w:val="24"/>
          <w:shd w:fill="auto" w:val="clear"/>
          <w:lang w:val="ru-RU"/>
        </w:rPr>
      </w:pPr>
      <w:bookmarkStart w:id="19" w:name="_Toc54643699"/>
      <w:r>
        <w:rPr>
          <w:sz w:val="24"/>
          <w:szCs w:val="24"/>
        </w:rPr>
        <w:t>Таблица 1. Перечень объектов заказчика</w:t>
      </w:r>
      <w:bookmarkEnd w:id="19"/>
    </w:p>
    <w:tbl>
      <w:tblPr>
        <w:tblW w:w="1034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7"/>
        <w:gridCol w:w="1985"/>
        <w:gridCol w:w="2123"/>
        <w:gridCol w:w="4114"/>
        <w:gridCol w:w="1560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транспортных средств(в отношении которых оказываются услуги)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1023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171717" w:themeColor="background2" w:themeShade="1a"/>
                <w:sz w:val="24"/>
                <w:szCs w:val="24"/>
                <w:shd w:fill="FFFFFF" w:val="clear"/>
              </w:rPr>
            </w:pPr>
            <w:r>
              <w:rPr>
                <w:color w:val="171717" w:themeColor="background2" w:themeShade="1a"/>
                <w:sz w:val="24"/>
                <w:szCs w:val="24"/>
                <w:shd w:fill="FFFFFF" w:val="clear"/>
              </w:rPr>
              <w:t>Транспортное средство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г. Владивосток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rPr>
                <w:rFonts w:eastAsia="Calibri"/>
                <w:iCs/>
                <w:sz w:val="26"/>
                <w:szCs w:val="26"/>
                <w:lang w:val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val="en-US" w:eastAsia="en-US"/>
              </w:rPr>
              <w:t>Электромобиль Evolute i-pro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rPr>
                <w:rFonts w:eastAsia="Calibri"/>
                <w:iCs/>
                <w:sz w:val="26"/>
                <w:szCs w:val="26"/>
                <w:lang w:val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val="en-US" w:eastAsia="en-US"/>
              </w:rPr>
              <w:t>Габаритные размеры: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rPr>
                <w:rFonts w:eastAsia="Calibri"/>
                <w:iCs/>
                <w:sz w:val="26"/>
                <w:szCs w:val="26"/>
                <w:lang w:val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val="en-US" w:eastAsia="en-US"/>
              </w:rPr>
              <w:t>4680 x 1720 x 1530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rPr>
                <w:rFonts w:eastAsia="Calibri"/>
                <w:iCs/>
                <w:sz w:val="26"/>
                <w:szCs w:val="26"/>
                <w:lang w:val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val="en-US" w:eastAsia="en-US"/>
              </w:rPr>
              <w:t>Общая масса: 1969 кг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</w:t>
            </w:r>
          </w:p>
        </w:tc>
      </w:tr>
      <w:tr>
        <w:trPr>
          <w:trHeight w:val="1023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171717" w:themeColor="background2" w:themeShade="1a"/>
                <w:sz w:val="24"/>
                <w:szCs w:val="24"/>
                <w:shd w:fill="FFFFFF" w:val="clear"/>
              </w:rPr>
            </w:pPr>
            <w:r>
              <w:rPr>
                <w:color w:val="171717" w:themeColor="background2" w:themeShade="1a"/>
                <w:sz w:val="24"/>
                <w:szCs w:val="24"/>
                <w:shd w:fill="FFFFFF" w:val="clear"/>
              </w:rPr>
              <w:t>Транспортное средство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г. </w:t>
            </w:r>
            <w:r>
              <w:rPr>
                <w:iCs/>
                <w:sz w:val="24"/>
                <w:szCs w:val="24"/>
              </w:rPr>
              <w:t>Южно-Сахалинск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Электромобиль Evolute i-</w:t>
            </w:r>
            <w:r>
              <w:rPr>
                <w:iCs/>
                <w:sz w:val="24"/>
                <w:szCs w:val="24"/>
              </w:rPr>
              <w:t>joy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</w:t>
            </w:r>
            <w:r>
              <w:rPr>
                <w:iCs/>
                <w:sz w:val="24"/>
                <w:szCs w:val="24"/>
              </w:rPr>
              <w:t>абаритные размеры: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4385 x 1850 x 1650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Общая масса: </w:t>
            </w:r>
            <w:r>
              <w:rPr>
                <w:iCs/>
                <w:sz w:val="24"/>
                <w:szCs w:val="24"/>
              </w:rPr>
              <w:t>2065</w:t>
            </w:r>
            <w:r>
              <w:rPr>
                <w:iCs/>
                <w:sz w:val="24"/>
                <w:szCs w:val="24"/>
              </w:rPr>
              <w:t xml:space="preserve"> кг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</w:tr>
    </w:tbl>
    <w:p>
      <w:pPr>
        <w:pStyle w:val="Normal"/>
        <w:widowControl w:val="false"/>
        <w:tabs>
          <w:tab w:val="clear" w:pos="709"/>
          <w:tab w:val="left" w:pos="426" w:leader="none"/>
        </w:tabs>
        <w:jc w:val="both"/>
        <w:rPr>
          <w:rStyle w:val="Style8"/>
          <w:b w:val="false"/>
          <w:bCs/>
          <w:i w:val="false"/>
          <w:i w:val="false"/>
          <w:sz w:val="24"/>
          <w:szCs w:val="24"/>
        </w:rPr>
      </w:pPr>
      <w:r>
        <w:rPr>
          <w:b w:val="false"/>
          <w:bCs/>
          <w:i w:val="false"/>
          <w:sz w:val="24"/>
          <w:szCs w:val="24"/>
        </w:rPr>
      </w:r>
    </w:p>
    <w:p>
      <w:pPr>
        <w:pStyle w:val="Heading1"/>
        <w:numPr>
          <w:ilvl w:val="0"/>
          <w:numId w:val="3"/>
        </w:numPr>
        <w:ind w:left="0" w:hanging="0"/>
        <w:jc w:val="center"/>
        <w:rPr>
          <w:caps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Требования</w:t>
      </w:r>
      <w:r>
        <w:rPr>
          <w:sz w:val="24"/>
          <w:szCs w:val="24"/>
        </w:rPr>
        <w:t xml:space="preserve"> к продукции</w:t>
      </w:r>
    </w:p>
    <w:p>
      <w:pPr>
        <w:pStyle w:val="Heading4"/>
        <w:numPr>
          <w:ilvl w:val="1"/>
          <w:numId w:val="3"/>
        </w:numPr>
        <w:ind w:left="0" w:hanging="0"/>
        <w:rPr/>
      </w:pPr>
      <w:bookmarkStart w:id="20" w:name="_Toc54643703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20"/>
    </w:p>
    <w:p>
      <w:pPr>
        <w:pStyle w:val="Heading3"/>
        <w:numPr>
          <w:ilvl w:val="2"/>
          <w:numId w:val="3"/>
        </w:numPr>
        <w:ind w:left="0" w:hanging="0"/>
        <w:rPr/>
      </w:pPr>
      <w:bookmarkStart w:id="21" w:name="_Toc54643704"/>
      <w:r>
        <w:rPr/>
        <w:t>Требования к перечню и объему услуг</w:t>
      </w:r>
      <w:bookmarkEnd w:id="21"/>
    </w:p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</w:rPr>
      </w:pPr>
      <w:bookmarkStart w:id="22" w:name="_Toc54643705"/>
      <w:bookmarkStart w:id="23" w:name="_Toc51339695"/>
      <w:r>
        <w:rPr>
          <w:sz w:val="24"/>
          <w:szCs w:val="24"/>
        </w:rPr>
        <w:t xml:space="preserve">Таблица 2. Перечень </w:t>
      </w:r>
      <w:bookmarkEnd w:id="23"/>
      <w:r>
        <w:rPr>
          <w:sz w:val="24"/>
          <w:szCs w:val="24"/>
        </w:rPr>
        <w:t>и объем оказываемых услуг</w:t>
      </w:r>
      <w:bookmarkEnd w:id="22"/>
    </w:p>
    <w:tbl>
      <w:tblPr>
        <w:tblW w:w="102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0"/>
        <w:gridCol w:w="11"/>
        <w:gridCol w:w="6946"/>
        <w:gridCol w:w="1136"/>
        <w:gridCol w:w="1272"/>
      </w:tblGrid>
      <w:tr>
        <w:trPr/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02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i w:val="false"/>
                <w:i w:val="false"/>
                <w:iCs w:val="false"/>
              </w:rPr>
            </w:pPr>
            <w:r>
              <w:rPr>
                <w:b/>
                <w:i w:val="false"/>
                <w:iCs w:val="false"/>
                <w:sz w:val="24"/>
                <w:szCs w:val="24"/>
                <w:lang w:val="en-US"/>
              </w:rPr>
              <w:t>Электромобиль Evolute i-pro</w:t>
            </w:r>
          </w:p>
        </w:tc>
      </w:tr>
      <w:tr>
        <w:trPr/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ind w:left="37" w:right="27" w:hanging="0"/>
              <w:rPr/>
            </w:pPr>
            <w:r>
              <w:rPr/>
              <w:t>1.1.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Перевозка ТС по маршруту г. Владивосток – г. </w:t>
            </w:r>
            <w:r>
              <w:rPr>
                <w:bCs/>
                <w:sz w:val="24"/>
                <w:szCs w:val="24"/>
              </w:rPr>
              <w:t>Хабаровск</w:t>
            </w:r>
            <w:r>
              <w:rPr>
                <w:bCs/>
                <w:sz w:val="24"/>
                <w:szCs w:val="24"/>
              </w:rPr>
              <w:t xml:space="preserve">  с применением грузового седельного тягача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возможностью перевозки техники.</w:t>
            </w:r>
          </w:p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стяжек и ремней для крепления.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2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Электромобиль Evolute i-pro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1.2.</w:t>
            </w:r>
          </w:p>
        </w:tc>
        <w:tc>
          <w:tcPr>
            <w:tcW w:w="69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Перевозка ТС по маршруту г. Владивосток – г. </w:t>
            </w:r>
            <w:r>
              <w:rPr>
                <w:b w:val="false"/>
                <w:bCs w:val="false"/>
                <w:sz w:val="24"/>
                <w:szCs w:val="24"/>
              </w:rPr>
              <w:t>Благовещенск</w:t>
            </w:r>
            <w:r>
              <w:rPr>
                <w:b w:val="false"/>
                <w:bCs w:val="false"/>
                <w:sz w:val="24"/>
                <w:szCs w:val="24"/>
              </w:rPr>
              <w:t xml:space="preserve">  с применением грузового седельного тягача с возможностью перевозки техники.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Наличие стяжек и ремней для крепления.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/>
        <w:tc>
          <w:tcPr>
            <w:tcW w:w="1020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Электромобиль Evolute i-joy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69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Перевозка ТС по маршруту </w:t>
            </w:r>
            <w:r>
              <w:rPr>
                <w:b w:val="false"/>
                <w:bCs w:val="false"/>
                <w:sz w:val="24"/>
                <w:szCs w:val="24"/>
              </w:rPr>
              <w:t xml:space="preserve">г. Южно-Сахалинск - </w:t>
            </w:r>
            <w:r>
              <w:rPr>
                <w:b w:val="false"/>
                <w:bCs w:val="false"/>
                <w:sz w:val="24"/>
                <w:szCs w:val="24"/>
              </w:rPr>
              <w:t>г. Владивосток  с применением грузового седельного тягача с возможностью перевозки техники.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Наличие стяжек и ремней для крепления.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</w:tbl>
    <w:p>
      <w:pPr>
        <w:pStyle w:val="Normal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3"/>
        <w:numPr>
          <w:ilvl w:val="2"/>
          <w:numId w:val="3"/>
        </w:numPr>
        <w:ind w:left="0" w:hanging="0"/>
        <w:rPr/>
      </w:pPr>
      <w:bookmarkStart w:id="24" w:name="_Toc54643706"/>
      <w:bookmarkStart w:id="25" w:name="_Toc51339696"/>
      <w:r>
        <w:rPr/>
        <w:t xml:space="preserve">Требования </w:t>
      </w:r>
      <w:bookmarkEnd w:id="25"/>
      <w:r>
        <w:rPr/>
        <w:t>к срокам оказания услуг</w:t>
      </w:r>
      <w:bookmarkEnd w:id="24"/>
    </w:p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  <w:lang w:val="ru-RU"/>
        </w:rPr>
      </w:pPr>
      <w:bookmarkStart w:id="26" w:name="_Toc54643707"/>
      <w:bookmarkStart w:id="27" w:name="_Toc51339697"/>
      <w:bookmarkStart w:id="28" w:name="_Toc5012512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29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27"/>
      <w:bookmarkEnd w:id="28"/>
      <w:bookmarkEnd w:id="29"/>
      <w:r>
        <w:rPr>
          <w:sz w:val="24"/>
          <w:szCs w:val="24"/>
          <w:lang w:val="ru-RU"/>
        </w:rPr>
        <w:t>оказания услуг</w:t>
      </w:r>
      <w:bookmarkEnd w:id="26"/>
    </w:p>
    <w:tbl>
      <w:tblPr>
        <w:tblW w:w="1034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9"/>
        <w:gridCol w:w="3122"/>
        <w:gridCol w:w="2976"/>
        <w:gridCol w:w="3685"/>
      </w:tblGrid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/>
            </w:pPr>
            <w:r>
              <w:rPr/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 2 49.41.19: Услуги по перевозке легковых автомобилей для нужд Владивостокского представительства «АО ТК РусГидро»</w:t>
            </w:r>
          </w:p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3 (трех) рабочих дней со дня поступления заявки от Заказчика.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календарных дней с даты начала оказания услуг.</w:t>
            </w:r>
          </w:p>
        </w:tc>
      </w:tr>
    </w:tbl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4"/>
        <w:numPr>
          <w:ilvl w:val="0"/>
          <w:numId w:val="0"/>
        </w:numPr>
        <w:ind w:left="432" w:hanging="0"/>
        <w:rPr/>
      </w:pPr>
      <w:r>
        <w:rPr/>
      </w:r>
      <w:bookmarkStart w:id="30" w:name="_Toc54643709"/>
      <w:bookmarkStart w:id="31" w:name="_Toc51339698"/>
      <w:bookmarkStart w:id="32" w:name="_Toc50125131"/>
      <w:bookmarkStart w:id="33" w:name="_Toc54643708"/>
      <w:bookmarkStart w:id="34" w:name="_Toc54643709"/>
      <w:bookmarkStart w:id="35" w:name="_Toc51339698"/>
      <w:bookmarkStart w:id="36" w:name="_Toc50125131"/>
      <w:bookmarkStart w:id="37" w:name="_Toc54643708"/>
    </w:p>
    <w:p>
      <w:pPr>
        <w:pStyle w:val="Heading4"/>
        <w:numPr>
          <w:ilvl w:val="1"/>
          <w:numId w:val="3"/>
        </w:numPr>
        <w:ind w:left="0" w:hanging="0"/>
        <w:rPr/>
      </w:pPr>
      <w:bookmarkStart w:id="38" w:name="_Toc46743511"/>
      <w:r>
        <w:rPr/>
        <w:t xml:space="preserve">Требования к </w:t>
      </w:r>
      <w:bookmarkEnd w:id="38"/>
      <w:r>
        <w:rPr>
          <w:lang w:val="ru-RU"/>
        </w:rPr>
        <w:t>качеству услуг</w:t>
      </w:r>
      <w:bookmarkEnd w:id="37"/>
    </w:p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35"/>
      <w:bookmarkEnd w:id="36"/>
      <w:r>
        <w:rPr>
          <w:sz w:val="24"/>
          <w:szCs w:val="24"/>
          <w:lang w:val="ru-RU"/>
        </w:rPr>
        <w:t>качеству услуг</w:t>
      </w:r>
      <w:bookmarkEnd w:id="34"/>
      <w:r>
        <w:rPr>
          <w:sz w:val="24"/>
          <w:szCs w:val="24"/>
        </w:rPr>
        <w:t xml:space="preserve"> </w:t>
      </w:r>
    </w:p>
    <w:p>
      <w:pPr>
        <w:pStyle w:val="Normal"/>
        <w:keepNext w:val="true"/>
        <w:keepLines/>
        <w:jc w:val="both"/>
        <w:rPr>
          <w:color w:val="000000" w:themeColor="text1"/>
          <w:sz w:val="24"/>
          <w:szCs w:val="24"/>
        </w:rPr>
      </w:pPr>
      <w:r>
        <w:rPr>
          <w:bCs/>
          <w:sz w:val="24"/>
          <w:szCs w:val="24"/>
        </w:rPr>
        <w:t>Наименование услуг/этапа услуг (Таблица 2):</w:t>
      </w:r>
      <w:r>
        <w:rPr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ОКПД 2 49.41.19: Услуги по перевозке легковых автомобилей для нужд Владивостокского представительства «АО ТК РусГидро»</w:t>
      </w:r>
    </w:p>
    <w:p>
      <w:pPr>
        <w:pStyle w:val="Normal"/>
        <w:tabs>
          <w:tab w:val="clear" w:pos="709"/>
          <w:tab w:val="left" w:pos="6946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af"/>
        <w:tblW w:w="11057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6"/>
        <w:gridCol w:w="1843"/>
        <w:gridCol w:w="3546"/>
        <w:gridCol w:w="1559"/>
        <w:gridCol w:w="1843"/>
        <w:gridCol w:w="1559"/>
      </w:tblGrid>
      <w:tr>
        <w:trPr>
          <w:trHeight w:val="551" w:hRule="atLeast"/>
        </w:trPr>
        <w:tc>
          <w:tcPr>
            <w:tcW w:w="7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84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54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3402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8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559" w:type="dxa"/>
            <w:vMerge w:val="restart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>
          <w:trHeight w:val="626" w:hRule="atLeast"/>
        </w:trPr>
        <w:tc>
          <w:tcPr>
            <w:tcW w:w="7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84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54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559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39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39"/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5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en-US" w:eastAsia="ru-RU" w:bidi="ar-SA"/>
              </w:rPr>
              <w:t>4</w:t>
            </w:r>
          </w:p>
        </w:tc>
        <w:tc>
          <w:tcPr>
            <w:tcW w:w="18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en-US" w:eastAsia="ru-RU" w:bidi="ar-SA"/>
              </w:rPr>
              <w:t>5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en-US" w:eastAsia="ru-RU" w:bidi="ar-SA"/>
              </w:rPr>
              <w:t>6</w:t>
            </w:r>
          </w:p>
        </w:tc>
      </w:tr>
      <w:tr>
        <w:trPr/>
        <w:tc>
          <w:tcPr>
            <w:tcW w:w="70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0350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</w:tr>
      <w:tr>
        <w:trPr/>
        <w:tc>
          <w:tcPr>
            <w:tcW w:w="70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0350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</w:tr>
      <w:tr>
        <w:trPr/>
        <w:tc>
          <w:tcPr>
            <w:tcW w:w="70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930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Порядок оказания услуг</w:t>
            </w:r>
          </w:p>
        </w:tc>
        <w:tc>
          <w:tcPr>
            <w:tcW w:w="354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 предварительной заявке от Заказчика Исполнитель должен предоставить транспорт для перевозки в течение 3 (трёх) рабочих дней.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0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930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Условия оказания услуг</w:t>
            </w:r>
          </w:p>
        </w:tc>
        <w:tc>
          <w:tcPr>
            <w:tcW w:w="354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своевременно, в строго установленное в заявке Заказчиком время, предоставить технически исправные транспортные средства, укомплектованные в соответствии с требованиями ПДД РФ, без каких-либо затрат со стороны Заказчика,  в том числе сопутствующие: расходы по уплате штрафов стоимость горюче-смазочных материалов, расходы на дополнительное оборудование, содержание и техническое обслуживание автомобилей, расходы по оплате услуг водителей, расходы на проведение медицинского осмотра водителей и т.п.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1039" w:hRule="atLeast"/>
        </w:trPr>
        <w:tc>
          <w:tcPr>
            <w:tcW w:w="70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930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качеству оказания услуг</w:t>
            </w:r>
          </w:p>
        </w:tc>
        <w:tc>
          <w:tcPr>
            <w:tcW w:w="354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ar-SA" w:bidi="ar-SA"/>
              </w:rPr>
              <w:t>Качество услуг должно соответствовать действующим нормативным документам РФ, определяющим порядок перевозки грузов в соответствии с Гражданским кодексом РФ, Федеральным законом от 08.11.2007 № 259-ФЗ «Устав автомобильного транспорта и городского наземного электрического транспорта», Постановление Правительства РФ от 21.12.2020 N 2200 (ред. от 30.12.2022) "Об утверждении Правил перевозок грузов автомобильным транспортом и о внесении изменений в пункт 2.1.1 Правил дорожного движения Российской Федерации".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0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0350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</w:tr>
      <w:tr>
        <w:trPr/>
        <w:tc>
          <w:tcPr>
            <w:tcW w:w="70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930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Обеспечение целостности и сохранности груза с момента приема к отправке до вручения грузополучателю</w:t>
            </w:r>
          </w:p>
        </w:tc>
        <w:tc>
          <w:tcPr>
            <w:tcW w:w="3546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несёт полную материальную ответственность перед Заказчиком за сохранность, порчу, утрату груза во время всего периода перевозки, с момента передачи груза Исполнителю до момента передачи груза грузополучателю в месте доставки.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0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930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Страхование груза на период перевозки</w:t>
            </w:r>
          </w:p>
        </w:tc>
        <w:tc>
          <w:tcPr>
            <w:tcW w:w="3546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самостоятельно застраховать перевозимый груз от всех рисков на весь период перевозки с момента передачи груза Исполнителю до момента передачи груза грузополучателю в страховой компании с рейтингом не ниже уровня А (рейтинг агентства «Эксперт РА»), при этом выгодоприобретателем по страховым событиям должно являться – АО «Транспортная компания РусГидро». Выплаты должны осуществляться по заявленной стоимости в части поврежденного, утраченного груза. Перед началом исполнения Услуги, Исполнитель должен направить оригинал или нотариально заверенную копию страхового полиса в адрес Владивостокского представительства АО «Транспортная компания РусГидро» (690090, г. Владивосток, ул. Западная 29).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0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930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Погрузо-разгрузочные работы</w:t>
            </w:r>
          </w:p>
        </w:tc>
        <w:tc>
          <w:tcPr>
            <w:tcW w:w="3546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 заборе и доставке груза по адресу Заказчика, погрузка и выгрузка груза производятся силами Исполнителя, при необходимости осуществления межтерминальной перевозки, погрузка и выгрузка груза производятся силами и за счет Исполнителя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0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930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Сопроводительная документация</w:t>
            </w:r>
          </w:p>
        </w:tc>
        <w:tc>
          <w:tcPr>
            <w:tcW w:w="3546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обеспечить оформление разрешительной документации, транспортно-сопроводительных документов на перевозку спецтехники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0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0350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</w:tr>
      <w:tr>
        <w:trPr>
          <w:trHeight w:val="303" w:hRule="atLeast"/>
        </w:trPr>
        <w:tc>
          <w:tcPr>
            <w:tcW w:w="70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0350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</w:tr>
      <w:tr>
        <w:trPr>
          <w:trHeight w:val="428" w:hRule="atLeast"/>
        </w:trPr>
        <w:tc>
          <w:tcPr>
            <w:tcW w:w="7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2.1.1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Акт сдачи приемки оказанных услуг</w:t>
            </w:r>
          </w:p>
        </w:tc>
        <w:tc>
          <w:tcPr>
            <w:tcW w:w="35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передает Заказчику акт сдачи-приемки оказанных услуг в двух экземплярах.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428" w:hRule="atLeast"/>
        </w:trPr>
        <w:tc>
          <w:tcPr>
            <w:tcW w:w="7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2.1.2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Счет на оплату</w:t>
            </w:r>
          </w:p>
        </w:tc>
        <w:tc>
          <w:tcPr>
            <w:tcW w:w="35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Исполнитель передает Заказчику счет на оплату после оказания услуги. 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428" w:hRule="atLeast"/>
        </w:trPr>
        <w:tc>
          <w:tcPr>
            <w:tcW w:w="7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2.1.3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Счет-фактура или УПД (если контрагент является плательщиком НДС)</w:t>
            </w:r>
          </w:p>
        </w:tc>
        <w:tc>
          <w:tcPr>
            <w:tcW w:w="35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передает счет-фактуру или УПД (если Исполнитель является плательщиком НДС)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0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0350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</w:tr>
      <w:tr>
        <w:trPr/>
        <w:tc>
          <w:tcPr>
            <w:tcW w:w="7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3.1.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bookmarkStart w:id="40" w:name="_Toc125378712"/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Соблюдение при выполнении работ норм и правил нормативно-правовых актов, регулирующих перевозку грузов соответствующим видом транспорта</w:t>
            </w:r>
            <w:bookmarkEnd w:id="40"/>
          </w:p>
        </w:tc>
        <w:tc>
          <w:tcPr>
            <w:tcW w:w="3546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Услуги должны осуществляться в соответствии с нормативно-правовыми актами, регламентирующими правила перевозки грузов конкретным видом транспорта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 Федеральный закон от 08.11.2007 № 259-ФЗ «Устав автомобильного транспорта и городского наземного электрического транспорта»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 Постановление Правительства РФ от 21.12.2020 N 2200 «Об утверждении Правил перевозок грузов автомобильным транспортом и о внесении изменений в пункт 2.1.1 Правил дорожного движения Российской Федерации»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 Федеральный закон от 10.12.1995 N 196-ФЗ «О безопасности дорожного движения»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 Федеральный закон от 10.01.2003 № 18-ФЗ «Устав железнодорожного транспорта Российской Федерации»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- Приказ Министерства транспорта РФ от 18.12.2019 № 405 «Об утверждении правил перевозок железнодорожным транспортом грузов в контейнерах и порожних контейнеров»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 Приказ Министерства транспорта РФ от 26.06.2020 N 217 «Об утверждении Правил перевозок железнодорожным транспортом, содержащих порядок заключения договоров, устанавливающих особые условия перевозки грузов»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 «Кодекс внутреннего водного транспорта Российской Федерации» от 07.03.2001 N 24-ФЗ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 Приказ Росморфлота от 22.10.1996 N 39 «Об утверждении и введении в действие «Правил перевозки грузов в контейнерах морским транспортом»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 Приказ Минтруда России от 28.10.2020 N 753н «Об утверждении Правил по охране труда при погрузочно-разгрузочных работах и размещении грузов»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</w:tbl>
    <w:p>
      <w:pPr>
        <w:pStyle w:val="Heading4"/>
        <w:numPr>
          <w:ilvl w:val="0"/>
          <w:numId w:val="0"/>
        </w:numPr>
        <w:ind w:left="0" w:hanging="0"/>
        <w:rPr/>
      </w:pPr>
      <w:r>
        <w:rPr/>
      </w:r>
    </w:p>
    <w:p>
      <w:pPr>
        <w:pStyle w:val="Heading1"/>
        <w:numPr>
          <w:ilvl w:val="0"/>
          <w:numId w:val="3"/>
        </w:numPr>
        <w:ind w:left="0" w:hanging="0"/>
        <w:jc w:val="center"/>
        <w:rPr>
          <w:sz w:val="24"/>
          <w:szCs w:val="24"/>
        </w:rPr>
      </w:pPr>
      <w:bookmarkStart w:id="41" w:name="_Toc54643711"/>
      <w:bookmarkStart w:id="42" w:name="_Toc54281228"/>
      <w:r>
        <w:rPr>
          <w:sz w:val="24"/>
          <w:szCs w:val="24"/>
        </w:rPr>
        <w:t>Требования к документации по ценообразованию на этапе заключения (исполнения) договора</w:t>
      </w:r>
      <w:bookmarkEnd w:id="41"/>
      <w:bookmarkEnd w:id="42"/>
    </w:p>
    <w:p>
      <w:pPr>
        <w:pStyle w:val="Heading4"/>
        <w:numPr>
          <w:ilvl w:val="1"/>
          <w:numId w:val="3"/>
        </w:numPr>
        <w:ind w:left="0" w:firstLine="709"/>
        <w:jc w:val="both"/>
        <w:rPr>
          <w:b w:val="false"/>
        </w:rPr>
      </w:pPr>
      <w:r>
        <w:rPr>
          <w:b w:val="false"/>
        </w:rPr>
        <w:t>В стоимость услуги должны быть включены все затраты, необходимые для исполнения обязательств по Договору, в том числе: все налоги, сборы и пошлины, иные расходы.</w:t>
      </w:r>
    </w:p>
    <w:p>
      <w:pPr>
        <w:pStyle w:val="Normal"/>
        <w:ind w:left="-284" w:firstLine="644"/>
        <w:rPr>
          <w:lang w:val="x-none" w:eastAsia="x-none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994" w:footer="0" w:bottom="567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2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30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511a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b93dc7"/>
    <w:pPr>
      <w:keepNext w:val="true"/>
      <w:numPr>
        <w:ilvl w:val="2"/>
        <w:numId w:val="3"/>
      </w:numPr>
      <w:ind w:left="0" w:hanging="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b93dc7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FollowedHyperlink">
    <w:name w:val="FollowedHyperlink"/>
    <w:basedOn w:val="DefaultParagraphFont"/>
    <w:semiHidden/>
    <w:unhideWhenUsed/>
    <w:rsid w:val="001511a2"/>
    <w:rPr>
      <w:color w:val="954F72" w:themeColor="followedHyperlink"/>
      <w:u w:val="single"/>
    </w:rPr>
  </w:style>
  <w:style w:type="character" w:styleId="Style14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9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9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9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0d64da"/>
    <w:pPr>
      <w:tabs>
        <w:tab w:val="clear" w:pos="709"/>
        <w:tab w:val="left" w:pos="1120" w:leader="none"/>
        <w:tab w:val="right" w:pos="992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9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9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7D5E0-4386-4FC4-9C38-680A00C82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Application>AlterOffice/3.4.0.9$Linux_X86_64 LibreOffice_project/b8daf9e823b1a5463a2f48435ddc2e8696e7d4fc</Application>
  <AppVersion>15.0000</AppVersion>
  <Pages>8</Pages>
  <Words>1267</Words>
  <Characters>8338</Characters>
  <CharactersWithSpaces>9445</CharactersWithSpaces>
  <Paragraphs>211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2026-02-06T03:37:00Z</dcterms:created>
  <dc:creator>Быстров Олег Геннадьевич</dc:creator>
  <dc:description/>
  <dc:language>ru-RU</dc:language>
  <cp:lastModifiedBy>kovalchukvv@corp.gidroogk.com</cp:lastModifiedBy>
  <cp:lastPrinted>2024-11-28T23:49:00Z</cp:lastPrinted>
  <dcterms:modified xsi:type="dcterms:W3CDTF">2026-07-31T08:48:57Z</dcterms:modified>
  <cp:revision>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