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7.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footer5.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 № _______________</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Владивосток</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Акционерное общество «Транспортная компания – РусГидро» </w:t>
      </w:r>
      <w:r>
        <w:rPr>
          <w:sz w:val="24"/>
          <w:szCs w:val="24"/>
        </w:rPr>
        <w:t>(АО «ТК «РусГидро»»)</w:t>
      </w:r>
      <w:r>
        <w:rPr>
          <w:spacing w:val="2"/>
          <w:sz w:val="24"/>
          <w:szCs w:val="24"/>
        </w:rPr>
        <w:t xml:space="preserve">, (далее – </w:t>
      </w:r>
      <w:r>
        <w:rPr>
          <w:sz w:val="24"/>
          <w:szCs w:val="24"/>
        </w:rPr>
        <w:t>«Покупатель»), в лице _____________________________</w:t>
      </w:r>
      <w:r>
        <w:rPr>
          <w:b/>
          <w:sz w:val="24"/>
          <w:szCs w:val="24"/>
        </w:rPr>
        <w:t xml:space="preserve">, </w:t>
      </w:r>
      <w:r>
        <w:rPr>
          <w:spacing w:val="4"/>
          <w:sz w:val="24"/>
          <w:szCs w:val="24"/>
        </w:rPr>
        <w:t>на основании _____________________________,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 xml:space="preserve">_________________________________________ </w:t>
      </w:r>
      <w:r>
        <w:rPr>
          <w:spacing w:val="10"/>
          <w:sz w:val="24"/>
          <w:szCs w:val="24"/>
        </w:rPr>
        <w:t>(</w:t>
      </w:r>
      <w:r>
        <w:rPr>
          <w:sz w:val="24"/>
          <w:szCs w:val="24"/>
        </w:rPr>
        <w:t>далее – «Поставщик»), в лице _____________________________, действующего на основании ________________,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jc w:val="center"/>
        <w:rPr>
          <w:b/>
          <w:bCs/>
          <w:sz w:val="24"/>
          <w:szCs w:val="24"/>
        </w:rPr>
      </w:pPr>
      <w:r>
        <w:rPr>
          <w:b/>
          <w:bCs/>
          <w:sz w:val="24"/>
          <w:szCs w:val="24"/>
        </w:rPr>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sz w:val="24"/>
          <w:szCs w:val="24"/>
          <w:lang w:eastAsia="en-US"/>
        </w:rPr>
        <w:t>«Универсальный передаточный документ» (УПД) – п</w:t>
      </w:r>
      <w:r>
        <w:rPr>
          <w:sz w:val="24"/>
          <w:szCs w:val="24"/>
          <w:lang w:eastAsia="en-US"/>
        </w:rPr>
        <w:t>ервичный учетный документ, применяемый хозяйствующим субъектом в целях документирования фактов хозяйственной деятельности, соответствующий условиям ст. 9 Федерального закона от 06.12.2011г. № 402-ФЗ «О бухгалтерском учете».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tabs>
          <w:tab w:val="clear" w:pos="709"/>
          <w:tab w:val="left" w:pos="0" w:leader="none"/>
        </w:tabs>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shd w:val="clear" w:color="auto" w:fill="FFFFFF"/>
        <w:tabs>
          <w:tab w:val="clear" w:pos="709"/>
          <w:tab w:val="left" w:pos="284" w:leader="none"/>
        </w:tabs>
        <w:jc w:val="center"/>
        <w:rPr>
          <w:b/>
          <w:bCs/>
          <w:sz w:val="24"/>
          <w:szCs w:val="24"/>
        </w:rPr>
      </w:pPr>
      <w:r>
        <w:rPr>
          <w:b/>
          <w:bCs/>
          <w:sz w:val="24"/>
          <w:szCs w:val="24"/>
        </w:rPr>
      </w:r>
    </w:p>
    <w:p>
      <w:pPr>
        <w:pStyle w:val="Normal"/>
        <w:numPr>
          <w:ilvl w:val="1"/>
          <w:numId w:val="2"/>
        </w:numPr>
        <w:shd w:val="clear" w:color="auto" w:fill="FFFFFF"/>
        <w:tabs>
          <w:tab w:val="clear" w:pos="709"/>
          <w:tab w:val="left" w:pos="1134" w:leader="none"/>
        </w:tabs>
        <w:ind w:left="0" w:firstLine="709"/>
        <w:jc w:val="both"/>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Cs/>
          <w:sz w:val="24"/>
          <w:szCs w:val="24"/>
          <w:lang w:eastAsia="en-US"/>
        </w:rPr>
        <w:t>шатры (павильоны) каркасные</w:t>
      </w:r>
      <w:r>
        <w:rPr>
          <w:rFonts w:eastAsia="Calibri"/>
          <w:bCs/>
          <w:sz w:val="24"/>
          <w:szCs w:val="22"/>
          <w:lang w:eastAsia="en-US"/>
        </w:rPr>
        <w:t xml:space="preserve"> в г. Владивосток Приморского края,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pPr>
      <w:r>
        <w:rPr>
          <w:bCs/>
          <w:sz w:val="24"/>
          <w:szCs w:val="24"/>
        </w:rPr>
        <w:t>Поставка Товара по Договору осуществляется для нужд Владивостокского представительства.</w:t>
      </w:r>
    </w:p>
    <w:p>
      <w:pPr>
        <w:pStyle w:val="Normal"/>
        <w:numPr>
          <w:ilvl w:val="1"/>
          <w:numId w:val="2"/>
        </w:numPr>
        <w:shd w:val="clear" w:color="auto" w:fill="FFFFFF"/>
        <w:tabs>
          <w:tab w:val="clear" w:pos="709"/>
          <w:tab w:val="left" w:pos="0" w:leader="none"/>
          <w:tab w:val="left" w:pos="1134" w:leader="none"/>
          <w:tab w:val="left" w:pos="1855" w:leader="none"/>
        </w:tabs>
        <w:ind w:left="0" w:firstLine="709"/>
        <w:jc w:val="both"/>
        <w:rPr/>
      </w:pPr>
      <w:r>
        <w:rPr>
          <w:bCs/>
          <w:sz w:val="24"/>
          <w:szCs w:val="24"/>
        </w:rPr>
        <w:t xml:space="preserve">Место поставки Товара: </w:t>
      </w:r>
    </w:p>
    <w:p>
      <w:pPr>
        <w:pStyle w:val="Normal"/>
        <w:shd w:val="clear" w:color="auto" w:fill="FFFFFF"/>
        <w:tabs>
          <w:tab w:val="clear" w:pos="709"/>
          <w:tab w:val="left" w:pos="0" w:leader="none"/>
          <w:tab w:val="left" w:pos="1134" w:leader="none"/>
          <w:tab w:val="left" w:pos="1855" w:leader="none"/>
        </w:tabs>
        <w:jc w:val="both"/>
        <w:rPr/>
      </w:pPr>
      <w:r>
        <w:rPr>
          <w:bCs/>
          <w:sz w:val="24"/>
          <w:szCs w:val="24"/>
        </w:rPr>
        <w:t xml:space="preserve">             </w:t>
      </w:r>
      <w:r>
        <w:rPr>
          <w:bCs/>
          <w:sz w:val="24"/>
          <w:szCs w:val="24"/>
        </w:rPr>
        <w:t>- Владивостокский ТУ, Приморский край, г. Владивосток, ул. Западная 29.</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Начало – с даты (момента) подписания Договора.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Окончание – «</w:t>
      </w:r>
      <w:r>
        <w:rPr>
          <w:bCs/>
          <w:sz w:val="24"/>
          <w:szCs w:val="24"/>
        </w:rPr>
        <w:t>31</w:t>
      </w:r>
      <w:r>
        <w:rPr>
          <w:bCs/>
          <w:sz w:val="24"/>
          <w:szCs w:val="24"/>
        </w:rPr>
        <w:t xml:space="preserve">» </w:t>
      </w:r>
      <w:r>
        <w:rPr>
          <w:bCs/>
          <w:sz w:val="24"/>
          <w:szCs w:val="24"/>
        </w:rPr>
        <w:t>декабря</w:t>
      </w:r>
      <w:r>
        <w:rPr>
          <w:bCs/>
          <w:sz w:val="24"/>
          <w:szCs w:val="24"/>
        </w:rPr>
        <w:t xml:space="preserve"> 2026 г.</w:t>
      </w:r>
    </w:p>
    <w:p>
      <w:pPr>
        <w:pStyle w:val="Normal"/>
        <w:jc w:val="both"/>
        <w:rPr/>
      </w:pPr>
      <w:r>
        <w:rPr>
          <w:bCs/>
          <w:sz w:val="24"/>
          <w:szCs w:val="24"/>
        </w:rPr>
        <w:t xml:space="preserve">Сроки поставки Товара (партий Товара) в течение 3 (трех) рабочих дней с момента (даты) поступления денежных средств (аванса) на расчетный счет Поставщика. </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shd w:val="clear" w:color="auto" w:fill="FFFFFF"/>
        <w:tabs>
          <w:tab w:val="clear" w:pos="709"/>
          <w:tab w:val="left" w:pos="284" w:leader="none"/>
        </w:tabs>
        <w:jc w:val="center"/>
        <w:rPr>
          <w:b/>
          <w:bCs/>
          <w:sz w:val="24"/>
          <w:szCs w:val="24"/>
        </w:rPr>
      </w:pPr>
      <w:r>
        <w:rPr>
          <w:b/>
          <w:bCs/>
          <w:sz w:val="24"/>
          <w:szCs w:val="24"/>
        </w:rPr>
      </w:r>
    </w:p>
    <w:p>
      <w:pPr>
        <w:pStyle w:val="Normal"/>
        <w:numPr>
          <w:ilvl w:val="1"/>
          <w:numId w:val="2"/>
        </w:numPr>
        <w:shd w:val="clear" w:color="auto" w:fill="FFFFFF"/>
        <w:tabs>
          <w:tab w:val="clear" w:pos="709"/>
          <w:tab w:val="left" w:pos="0" w:leader="none"/>
          <w:tab w:val="left" w:pos="1134" w:leader="none"/>
        </w:tabs>
        <w:ind w:left="0" w:firstLine="709"/>
        <w:jc w:val="both"/>
        <w:rPr/>
      </w:pPr>
      <w:r>
        <w:rPr>
          <w:bCs/>
          <w:color w:val="000000"/>
          <w:sz w:val="24"/>
          <w:szCs w:val="24"/>
        </w:rPr>
        <w:t>Цена Договора в соответствии со Спецификацией (Приложение № 1 к Договору) является твердой и составляет _______________ (_____________________) рублей ___ копеек, в том числе НДС __________________.</w:t>
      </w:r>
    </w:p>
    <w:p>
      <w:pPr>
        <w:pStyle w:val="Normal"/>
        <w:numPr>
          <w:ilvl w:val="1"/>
          <w:numId w:val="2"/>
        </w:numPr>
        <w:shd w:val="clear" w:color="auto" w:fill="FFFFFF"/>
        <w:tabs>
          <w:tab w:val="clear" w:pos="709"/>
          <w:tab w:val="left" w:pos="0" w:leader="none"/>
          <w:tab w:val="left" w:pos="1134" w:leader="none"/>
        </w:tabs>
        <w:ind w:left="0" w:firstLine="709"/>
        <w:jc w:val="both"/>
        <w:rPr/>
      </w:pPr>
      <w:r>
        <w:rPr>
          <w:bCs/>
          <w:color w:val="000000"/>
          <w:sz w:val="24"/>
          <w:szCs w:val="24"/>
        </w:rPr>
        <w:t>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Общая стоимость Товара,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pPr>
      <w:r>
        <w:rPr>
          <w:bCs/>
          <w:sz w:val="24"/>
          <w:szCs w:val="24"/>
        </w:rPr>
        <w:t>производство и / или приобретение Товара;</w:t>
      </w:r>
    </w:p>
    <w:p>
      <w:pPr>
        <w:pStyle w:val="ListParagraph"/>
        <w:numPr>
          <w:ilvl w:val="2"/>
          <w:numId w:val="10"/>
        </w:numPr>
        <w:shd w:val="clear" w:color="auto" w:fill="FFFFFF"/>
        <w:tabs>
          <w:tab w:val="clear" w:pos="709"/>
          <w:tab w:val="left" w:pos="1418" w:leader="none"/>
        </w:tabs>
        <w:ind w:left="0" w:firstLine="709"/>
        <w:jc w:val="both"/>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shd w:val="clear" w:color="auto" w:fill="FFFFFF"/>
        <w:tabs>
          <w:tab w:val="clear" w:pos="709"/>
          <w:tab w:val="left" w:pos="1418" w:leader="none"/>
        </w:tabs>
        <w:ind w:firstLine="709"/>
        <w:jc w:val="both"/>
        <w:rPr/>
      </w:pPr>
      <w:r>
        <w:rPr>
          <w:bCs/>
          <w:sz w:val="24"/>
          <w:szCs w:val="24"/>
        </w:rPr>
        <w:t>2.2.3. подлежащие уплате налоги, сборы и пошлины (в том числе по таможенному оформлению Товара, если применимо);</w:t>
      </w:r>
    </w:p>
    <w:p>
      <w:pPr>
        <w:pStyle w:val="Normal"/>
        <w:shd w:val="clear" w:color="auto" w:fill="FFFFFF"/>
        <w:tabs>
          <w:tab w:val="clear" w:pos="709"/>
          <w:tab w:val="left" w:pos="1418" w:leader="none"/>
        </w:tabs>
        <w:ind w:firstLine="709"/>
        <w:jc w:val="both"/>
        <w:rPr/>
      </w:pPr>
      <w:r>
        <w:rPr>
          <w:bCs/>
          <w:sz w:val="24"/>
          <w:szCs w:val="24"/>
        </w:rPr>
        <w:t xml:space="preserve">2.2.4. заработную плату, накладные и командировочные расходы, перемещение и размещение персонала Поставщика; </w:t>
      </w:r>
    </w:p>
    <w:p>
      <w:pPr>
        <w:pStyle w:val="Normal"/>
        <w:shd w:val="clear" w:color="auto" w:fill="FFFFFF"/>
        <w:tabs>
          <w:tab w:val="clear" w:pos="709"/>
          <w:tab w:val="left" w:pos="1418" w:leader="none"/>
        </w:tabs>
        <w:ind w:firstLine="709"/>
        <w:jc w:val="both"/>
        <w:rPr/>
      </w:pPr>
      <w:r>
        <w:rPr>
          <w:bCs/>
          <w:sz w:val="24"/>
          <w:szCs w:val="24"/>
        </w:rPr>
        <w:t xml:space="preserve">2.2.5. 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pPr>
      <w:r>
        <w:rPr>
          <w:sz w:val="24"/>
          <w:szCs w:val="24"/>
        </w:rPr>
        <w:t>Авансовый платеж в размере 100 (Сто) процентов от стоимости соответствующей партии Товара выплачиваются Поставщику в течение 30 (тридцати) календарных дней с даты получения Покупателем счета, выставленного Поставщиком.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bookmarkStart w:id="0" w:name="_Ref373242894"/>
      <w:bookmarkEnd w:id="0"/>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1134" w:leader="none"/>
        </w:tabs>
        <w:ind w:left="0" w:firstLine="709"/>
        <w:jc w:val="both"/>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shd w:val="clear" w:color="auto" w:fill="FFFFFF"/>
        <w:tabs>
          <w:tab w:val="clear" w:pos="709"/>
          <w:tab w:val="left" w:pos="1134" w:leader="none"/>
        </w:tabs>
        <w:ind w:firstLine="709"/>
        <w:jc w:val="both"/>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Normal"/>
        <w:shd w:val="clear" w:color="auto" w:fill="FFFFFF"/>
        <w:tabs>
          <w:tab w:val="clear" w:pos="709"/>
          <w:tab w:val="left" w:pos="284" w:leader="none"/>
        </w:tabs>
        <w:jc w:val="center"/>
        <w:rPr>
          <w:b/>
          <w:bCs/>
          <w:sz w:val="24"/>
          <w:szCs w:val="24"/>
        </w:rPr>
      </w:pPr>
      <w:r>
        <w:rPr>
          <w:b/>
          <w:bCs/>
          <w:sz w:val="24"/>
          <w:szCs w:val="24"/>
        </w:rPr>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pPr>
      <w:r>
        <w:rPr>
          <w:sz w:val="24"/>
          <w:szCs w:val="24"/>
        </w:rPr>
        <w:t>Покупатель направляет Поставщику Заявку по электронной почте на адрес: ____________.</w:t>
      </w:r>
    </w:p>
    <w:p>
      <w:pPr>
        <w:pStyle w:val="ListParagraph"/>
        <w:widowControl/>
        <w:numPr>
          <w:ilvl w:val="2"/>
          <w:numId w:val="2"/>
        </w:numPr>
        <w:tabs>
          <w:tab w:val="clear" w:pos="709"/>
          <w:tab w:val="left" w:pos="993" w:leader="none"/>
          <w:tab w:val="left" w:pos="1418" w:leader="none"/>
        </w:tabs>
        <w:ind w:left="0" w:firstLine="709"/>
        <w:jc w:val="both"/>
        <w:rPr/>
      </w:pPr>
      <w:r>
        <w:rPr>
          <w:sz w:val="24"/>
          <w:szCs w:val="24"/>
        </w:rPr>
        <w:t>Поставщик в течение 1 (одного) рабочего дня с даты получения Заявки подтверждает поставку Товара (партии Товара), указанного Покупателем в Заявке, по электронной почте на адрес:</w:t>
      </w:r>
      <w:r>
        <w:rPr>
          <w:color w:val="000000"/>
          <w:sz w:val="24"/>
          <w:szCs w:val="24"/>
        </w:rPr>
        <w:t xml:space="preserve"> _________________, </w:t>
      </w:r>
      <w:r>
        <w:rPr>
          <w:sz w:val="24"/>
          <w:szCs w:val="24"/>
        </w:rPr>
        <w:t xml:space="preserve">автоматическое уведомление о получении/прочтении сообщения с Заявкой Покупателя, полученное на электронный адрес Покупателя, является надлежащим уведомлением Поставщиком о получении Заявки. Заявка является обязательной для исполнения Поставщиком. </w:t>
      </w:r>
    </w:p>
    <w:p>
      <w:pPr>
        <w:pStyle w:val="ListParagraph"/>
        <w:widowControl/>
        <w:numPr>
          <w:ilvl w:val="2"/>
          <w:numId w:val="2"/>
        </w:numPr>
        <w:tabs>
          <w:tab w:val="clear" w:pos="709"/>
          <w:tab w:val="left" w:pos="993" w:leader="none"/>
          <w:tab w:val="left" w:pos="1418" w:leader="none"/>
        </w:tabs>
        <w:ind w:left="0" w:firstLine="709"/>
        <w:jc w:val="both"/>
        <w:rPr/>
      </w:pPr>
      <w:r>
        <w:rPr>
          <w:sz w:val="24"/>
          <w:szCs w:val="24"/>
        </w:rPr>
        <w:t>Покупатель не позднее 7 (семи) рабочих 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pPr>
      <w:r>
        <w:rPr>
          <w:sz w:val="24"/>
          <w:szCs w:val="24"/>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pPr>
      <w:r>
        <w:rPr>
          <w:sz w:val="24"/>
          <w:szCs w:val="24"/>
        </w:rPr>
        <w:t xml:space="preserve">3.1.5.1. Направить новую Заявку в порядке, установленном пунктом 3.1.1 Договора; </w:t>
      </w:r>
    </w:p>
    <w:p>
      <w:pPr>
        <w:pStyle w:val="Normal"/>
        <w:tabs>
          <w:tab w:val="clear" w:pos="709"/>
          <w:tab w:val="left" w:pos="1134" w:leader="none"/>
        </w:tabs>
        <w:ind w:firstLine="709"/>
        <w:jc w:val="both"/>
        <w:rPr/>
      </w:pPr>
      <w:r>
        <w:rPr>
          <w:sz w:val="24"/>
          <w:szCs w:val="24"/>
        </w:rPr>
        <w:t>3.1.5.2. Расторгнуть Договор в порядке, установленном пунктом 12.2 Договора.</w:t>
      </w:r>
    </w:p>
    <w:p>
      <w:pPr>
        <w:pStyle w:val="ListParagraph"/>
        <w:widowControl/>
        <w:numPr>
          <w:ilvl w:val="1"/>
          <w:numId w:val="2"/>
        </w:numPr>
        <w:shd w:val="clear" w:color="auto" w:fill="FFFFFF"/>
        <w:tabs>
          <w:tab w:val="clear" w:pos="709"/>
          <w:tab w:val="left" w:pos="1134" w:leader="none"/>
        </w:tabs>
        <w:ind w:left="0" w:firstLine="709"/>
        <w:jc w:val="both"/>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pPr>
      <w:r>
        <w:rPr>
          <w:bCs/>
          <w:sz w:val="24"/>
          <w:szCs w:val="24"/>
        </w:rPr>
        <w:t xml:space="preserve">Поставщик не вправе производить </w:t>
      </w:r>
      <w:r>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pPr>
      <w:r>
        <w:rPr>
          <w:sz w:val="24"/>
          <w:szCs w:val="24"/>
        </w:rPr>
        <w:t>сертификат качества;</w:t>
      </w:r>
    </w:p>
    <w:p>
      <w:pPr>
        <w:pStyle w:val="Normal"/>
        <w:numPr>
          <w:ilvl w:val="0"/>
          <w:numId w:val="4"/>
        </w:numPr>
        <w:tabs>
          <w:tab w:val="clear" w:pos="709"/>
          <w:tab w:val="left" w:pos="1418" w:leader="none"/>
        </w:tabs>
        <w:ind w:left="0" w:firstLine="709"/>
        <w:jc w:val="both"/>
        <w:rPr/>
      </w:pPr>
      <w:r>
        <w:rPr>
          <w:sz w:val="24"/>
          <w:szCs w:val="24"/>
        </w:rPr>
        <w:t>упаковочный лист;</w:t>
      </w:r>
    </w:p>
    <w:p>
      <w:pPr>
        <w:pStyle w:val="Normal"/>
        <w:numPr>
          <w:ilvl w:val="0"/>
          <w:numId w:val="3"/>
        </w:numPr>
        <w:tabs>
          <w:tab w:val="clear" w:pos="709"/>
          <w:tab w:val="left" w:pos="1418" w:leader="none"/>
        </w:tabs>
        <w:ind w:left="0" w:firstLine="709"/>
        <w:jc w:val="both"/>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w:t>
      </w:r>
    </w:p>
    <w:p>
      <w:pPr>
        <w:pStyle w:val="Normal"/>
        <w:numPr>
          <w:ilvl w:val="0"/>
          <w:numId w:val="3"/>
        </w:numPr>
        <w:shd w:val="clear" w:color="auto" w:fill="FFFFFF"/>
        <w:tabs>
          <w:tab w:val="clear" w:pos="709"/>
          <w:tab w:val="left" w:pos="1418" w:leader="none"/>
        </w:tabs>
        <w:ind w:left="0" w:firstLine="709"/>
        <w:jc w:val="both"/>
        <w:rPr/>
      </w:pPr>
      <w:r>
        <w:rPr>
          <w:sz w:val="24"/>
          <w:szCs w:val="24"/>
        </w:rPr>
        <w:t>накладная ТОРГ-12;</w:t>
      </w:r>
    </w:p>
    <w:p>
      <w:pPr>
        <w:pStyle w:val="Normal"/>
        <w:numPr>
          <w:ilvl w:val="0"/>
          <w:numId w:val="3"/>
        </w:numPr>
        <w:shd w:val="clear" w:color="auto" w:fill="FFFFFF"/>
        <w:tabs>
          <w:tab w:val="clear" w:pos="709"/>
          <w:tab w:val="left" w:pos="1418" w:leader="none"/>
        </w:tabs>
        <w:ind w:left="0" w:firstLine="709"/>
        <w:jc w:val="both"/>
        <w:rPr/>
      </w:pPr>
      <w:r>
        <w:rPr>
          <w:sz w:val="24"/>
          <w:szCs w:val="24"/>
        </w:rPr>
        <w:t>УПД.</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Погрузка, доставка, </w:t>
      </w:r>
      <w:r>
        <w:rPr>
          <w:sz w:val="24"/>
          <w:szCs w:val="24"/>
        </w:rPr>
        <w:t xml:space="preserve">разгрузка и перемещение Товара (в том числе </w:t>
        <w:br/>
        <w:t>по территории Покупателя)</w:t>
      </w:r>
      <w:r>
        <w:rPr>
          <w:bCs/>
          <w:sz w:val="24"/>
          <w:szCs w:val="24"/>
        </w:rPr>
        <w:t xml:space="preserve"> осуществляется Поставщиком. Стоимость погрузки, доставки, разгрузки </w:t>
      </w:r>
      <w:r>
        <w:rPr>
          <w:sz w:val="24"/>
          <w:szCs w:val="24"/>
        </w:rPr>
        <w:t>и перемещения Товара</w:t>
      </w:r>
      <w:r>
        <w:rPr>
          <w:bCs/>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pPr>
      <w:bookmarkStart w:id="2" w:name="_Ref361396594"/>
      <w:r>
        <w:rPr>
          <w:sz w:val="24"/>
          <w:szCs w:val="24"/>
        </w:rPr>
        <w:t>Датой поставки партии Товара является дата подписания Сторонами накладной ТОРГ-12/УПД.</w:t>
      </w:r>
      <w:bookmarkEnd w:id="2"/>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3.5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pPr>
      <w:r>
        <w:rPr>
          <w:sz w:val="24"/>
          <w:szCs w:val="24"/>
        </w:rPr>
        <w:t>Приемка партии Товара со вскрытием тары и упаковки производится Покупателем в присутствии представителя Поставщика в течение 10 (десяти) рабочих дней с даты подписания Покупателем транспортных документов. В случае отсутствия замечаний Покупатель подписывает накладную ТОРГ-12/УПД.</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shd w:val="clear" w:color="auto" w:fill="FFFFFF"/>
        <w:tabs>
          <w:tab w:val="clear" w:pos="709"/>
          <w:tab w:val="left" w:pos="284" w:leader="none"/>
        </w:tabs>
        <w:ind w:left="0" w:hanging="0"/>
        <w:jc w:val="center"/>
        <w:rPr>
          <w:b/>
          <w:sz w:val="24"/>
          <w:szCs w:val="24"/>
        </w:rPr>
      </w:pPr>
      <w:r>
        <w:rPr>
          <w:b/>
          <w:sz w:val="24"/>
          <w:szCs w:val="24"/>
        </w:rPr>
      </w:r>
    </w:p>
    <w:p>
      <w:pPr>
        <w:pStyle w:val="ListParagraph"/>
        <w:numPr>
          <w:ilvl w:val="1"/>
          <w:numId w:val="2"/>
        </w:numPr>
        <w:tabs>
          <w:tab w:val="left" w:pos="709" w:leader="none"/>
          <w:tab w:val="left" w:pos="1134" w:leader="none"/>
        </w:tabs>
        <w:ind w:left="0" w:firstLine="709"/>
        <w:jc w:val="both"/>
        <w:rPr/>
      </w:pPr>
      <w:r>
        <w:rPr>
          <w:sz w:val="24"/>
          <w:szCs w:val="24"/>
        </w:rPr>
        <w:t xml:space="preserve">Гарантийный срок на Товар, поставленный по Договору, равен гарантийному сроку производителя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pPr>
      <w:r>
        <w:rPr>
          <w:sz w:val="24"/>
          <w:szCs w:val="24"/>
        </w:rPr>
        <w:t xml:space="preserve">В течение Гарантийного срока Поставщик гарантирует соответствие качества Товара требованиям Договора,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Товара на новый. </w:t>
      </w:r>
    </w:p>
    <w:p>
      <w:pPr>
        <w:pStyle w:val="Normal"/>
        <w:shd w:val="clear" w:color="auto" w:fill="FFFFFF"/>
        <w:ind w:firstLine="709"/>
        <w:jc w:val="both"/>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34" w:leader="none"/>
        </w:tabs>
        <w:ind w:firstLine="709"/>
        <w:jc w:val="both"/>
        <w:rPr>
          <w:sz w:val="24"/>
          <w:szCs w:val="24"/>
        </w:rPr>
      </w:pPr>
      <w:r>
        <w:rPr>
          <w:sz w:val="24"/>
          <w:szCs w:val="24"/>
        </w:rPr>
      </w:r>
    </w:p>
    <w:p>
      <w:pPr>
        <w:pStyle w:val="Normal"/>
        <w:shd w:val="clear" w:color="auto" w:fill="FFFFFF"/>
        <w:tabs>
          <w:tab w:val="clear" w:pos="709"/>
          <w:tab w:val="left" w:pos="1134"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Normal"/>
        <w:shd w:val="clear" w:color="auto" w:fill="FFFFFF"/>
        <w:tabs>
          <w:tab w:val="clear" w:pos="709"/>
          <w:tab w:val="left" w:pos="284" w:leader="none"/>
        </w:tabs>
        <w:jc w:val="center"/>
        <w:rPr>
          <w:b/>
          <w:bCs/>
          <w:sz w:val="24"/>
          <w:szCs w:val="24"/>
        </w:rPr>
      </w:pPr>
      <w:r>
        <w:rPr>
          <w:b/>
          <w:bCs/>
          <w:sz w:val="24"/>
          <w:szCs w:val="24"/>
        </w:rPr>
      </w:r>
    </w:p>
    <w:p>
      <w:pPr>
        <w:pStyle w:val="ListParagraph"/>
        <w:numPr>
          <w:ilvl w:val="1"/>
          <w:numId w:val="2"/>
        </w:numPr>
        <w:tabs>
          <w:tab w:val="clear" w:pos="709"/>
          <w:tab w:val="left" w:pos="1134" w:leader="none"/>
        </w:tabs>
        <w:ind w:left="0" w:firstLine="709"/>
        <w:jc w:val="both"/>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134" w:leader="none"/>
        </w:tabs>
        <w:ind w:left="0" w:firstLine="709"/>
        <w:jc w:val="both"/>
        <w:rPr/>
      </w:pPr>
      <w:r>
        <w:rPr>
          <w:bCs/>
          <w:sz w:val="24"/>
          <w:szCs w:val="24"/>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pPr>
      <w:r>
        <w:rPr>
          <w:bCs/>
          <w:sz w:val="24"/>
          <w:szCs w:val="24"/>
        </w:rPr>
        <w:t xml:space="preserve">В случае нарушения Покупателем сроков оплаты, установленных разделом 2 Договора (за исключением срока выплаты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widowControl/>
        <w:numPr>
          <w:ilvl w:val="1"/>
          <w:numId w:val="2"/>
        </w:numPr>
        <w:tabs>
          <w:tab w:val="clear" w:pos="709"/>
          <w:tab w:val="left" w:pos="1276" w:leader="none"/>
        </w:tabs>
        <w:ind w:left="0" w:firstLine="709"/>
        <w:jc w:val="both"/>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pPr>
      <w:r>
        <w:rPr>
          <w:bCs/>
          <w:sz w:val="24"/>
          <w:szCs w:val="24"/>
        </w:rPr>
        <w:t xml:space="preserve">Неустойки в размере </w:t>
      </w:r>
      <w:r>
        <w:rPr>
          <w:rFonts w:eastAsia="Calibri"/>
          <w:bCs/>
          <w:sz w:val="24"/>
          <w:szCs w:val="24"/>
        </w:rPr>
        <w:t xml:space="preserve">0,1 (ноль целых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 - в случае, когда нарушение привело или неизбежно приведет к изменению срока поставки Товара в целом по Договору или сроков поставки последующих Партий Товара;</w:t>
      </w:r>
    </w:p>
    <w:p>
      <w:pPr>
        <w:pStyle w:val="ListParagraph"/>
        <w:widowControl/>
        <w:numPr>
          <w:ilvl w:val="2"/>
          <w:numId w:val="2"/>
        </w:numPr>
        <w:tabs>
          <w:tab w:val="clear" w:pos="709"/>
          <w:tab w:val="left" w:pos="1276" w:leader="none"/>
        </w:tabs>
        <w:ind w:left="0" w:firstLine="709"/>
        <w:jc w:val="both"/>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134" w:leader="none"/>
        </w:tabs>
        <w:ind w:left="0" w:firstLine="709"/>
        <w:jc w:val="both"/>
        <w:rPr/>
      </w:pPr>
      <w:r>
        <w:rPr>
          <w:bCs/>
          <w:sz w:val="24"/>
          <w:szCs w:val="24"/>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 w:val="left" w:pos="284" w:leader="none"/>
        </w:tabs>
        <w:ind w:left="0" w:hanging="0"/>
        <w:jc w:val="center"/>
        <w:rPr/>
      </w:pPr>
      <w:r>
        <w:rPr>
          <w:b/>
          <w:bCs/>
          <w:sz w:val="24"/>
          <w:szCs w:val="24"/>
        </w:rPr>
        <w:t>Конфиденциальность</w:t>
      </w:r>
    </w:p>
    <w:p>
      <w:pPr>
        <w:pStyle w:val="ListParagraph"/>
        <w:widowControl/>
        <w:shd w:val="clear" w:color="auto" w:fill="FFFFFF"/>
        <w:tabs>
          <w:tab w:val="clear" w:pos="709"/>
          <w:tab w:val="left" w:pos="0" w:leader="none"/>
          <w:tab w:val="left" w:pos="284" w:leader="none"/>
        </w:tabs>
        <w:ind w:left="0" w:hanging="0"/>
        <w:jc w:val="center"/>
        <w:rPr>
          <w:b/>
          <w:bCs/>
          <w:sz w:val="24"/>
          <w:szCs w:val="24"/>
        </w:rPr>
      </w:pPr>
      <w:r>
        <w:rPr>
          <w:b/>
          <w:bCs/>
          <w:sz w:val="24"/>
          <w:szCs w:val="24"/>
        </w:rPr>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pPr>
      <w:r>
        <w:rPr>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pPr>
      <w:bookmarkStart w:id="7"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7"/>
    </w:p>
    <w:p>
      <w:pPr>
        <w:pStyle w:val="ListParagraph"/>
        <w:widowControl/>
        <w:numPr>
          <w:ilvl w:val="2"/>
          <w:numId w:val="2"/>
        </w:numPr>
        <w:shd w:val="clear" w:color="auto" w:fill="FFFFFF"/>
        <w:tabs>
          <w:tab w:val="clear" w:pos="709"/>
          <w:tab w:val="left" w:pos="0" w:leader="none"/>
          <w:tab w:val="left" w:pos="1701" w:leader="none"/>
        </w:tabs>
        <w:ind w:left="0" w:firstLine="709"/>
        <w:jc w:val="both"/>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bookmarkStart w:id="8"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 w:val="left" w:pos="0" w:leader="none"/>
          <w:tab w:val="left" w:pos="1134" w:leader="none"/>
        </w:tabs>
        <w:ind w:left="0" w:firstLine="709"/>
        <w:jc w:val="both"/>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tabs>
          <w:tab w:val="clear" w:pos="709"/>
          <w:tab w:val="left" w:pos="0" w:leader="none"/>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pPr>
      <w:r>
        <w:rPr>
          <w:b/>
          <w:bCs/>
          <w:sz w:val="24"/>
          <w:szCs w:val="24"/>
        </w:rPr>
        <w:t>Разрешение споров</w:t>
      </w:r>
    </w:p>
    <w:p>
      <w:pPr>
        <w:pStyle w:val="ListParagraph"/>
        <w:widowControl/>
        <w:shd w:val="clear" w:color="auto" w:fill="FFFFFF"/>
        <w:tabs>
          <w:tab w:val="clear" w:pos="709"/>
          <w:tab w:val="left" w:pos="426" w:leader="none"/>
        </w:tabs>
        <w:ind w:left="0" w:hanging="0"/>
        <w:jc w:val="center"/>
        <w:rPr>
          <w:b/>
          <w:bCs/>
          <w:sz w:val="24"/>
          <w:szCs w:val="24"/>
        </w:rPr>
      </w:pPr>
      <w:r>
        <w:rPr>
          <w:b/>
          <w:bCs/>
          <w:sz w:val="24"/>
          <w:szCs w:val="24"/>
        </w:rPr>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ListParagraph"/>
        <w:widowControl/>
        <w:numPr>
          <w:ilvl w:val="0"/>
          <w:numId w:val="2"/>
        </w:numPr>
        <w:shd w:val="clear" w:color="auto" w:fill="FFFFFF"/>
        <w:tabs>
          <w:tab w:val="clear" w:pos="709"/>
          <w:tab w:val="left" w:pos="426" w:leader="none"/>
        </w:tabs>
        <w:ind w:left="0" w:hanging="0"/>
        <w:jc w:val="center"/>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widowControl/>
        <w:numPr>
          <w:ilvl w:val="0"/>
          <w:numId w:val="2"/>
        </w:numPr>
        <w:shd w:val="clear" w:color="auto" w:fill="FFFFFF"/>
        <w:tabs>
          <w:tab w:val="clear" w:pos="709"/>
          <w:tab w:val="left" w:pos="426" w:leader="none"/>
        </w:tabs>
        <w:ind w:left="0" w:hanging="0"/>
        <w:jc w:val="center"/>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widowControl/>
        <w:numPr>
          <w:ilvl w:val="0"/>
          <w:numId w:val="2"/>
        </w:numPr>
        <w:shd w:val="clear" w:color="auto" w:fill="FFFFFF"/>
        <w:tabs>
          <w:tab w:val="clear" w:pos="709"/>
          <w:tab w:val="left" w:pos="426" w:leader="none"/>
        </w:tabs>
        <w:spacing w:lineRule="auto" w:line="259" w:before="0" w:after="0"/>
        <w:ind w:left="0" w:hanging="0"/>
        <w:contextualSpacing/>
        <w:jc w:val="center"/>
        <w:rPr/>
      </w:pPr>
      <w:r>
        <w:rPr>
          <w:b/>
          <w:bCs/>
          <w:sz w:val="24"/>
          <w:szCs w:val="24"/>
        </w:rPr>
        <w:t>Особые положения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ListParagraph"/>
        <w:widowControl/>
        <w:numPr>
          <w:ilvl w:val="0"/>
          <w:numId w:val="2"/>
        </w:numPr>
        <w:shd w:val="clear" w:color="auto" w:fill="FFFFFF"/>
        <w:tabs>
          <w:tab w:val="clear" w:pos="709"/>
          <w:tab w:val="left" w:pos="426" w:leader="none"/>
          <w:tab w:val="left" w:pos="567" w:leader="none"/>
        </w:tabs>
        <w:ind w:left="0" w:hanging="0"/>
        <w:jc w:val="center"/>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left" w:pos="0" w:leader="none"/>
          <w:tab w:val="left" w:pos="709" w:leader="none"/>
        </w:tabs>
        <w:ind w:left="0" w:firstLine="709"/>
        <w:jc w:val="both"/>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left" w:pos="0" w:leader="none"/>
          <w:tab w:val="left" w:pos="709" w:leader="none"/>
        </w:tabs>
        <w:ind w:left="0" w:firstLine="709"/>
        <w:jc w:val="both"/>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left" w:pos="0" w:leader="none"/>
          <w:tab w:val="left" w:pos="709" w:leader="none"/>
        </w:tabs>
        <w:ind w:left="0" w:firstLine="709"/>
        <w:jc w:val="both"/>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left" w:pos="0" w:leader="none"/>
          <w:tab w:val="left" w:pos="709" w:leader="none"/>
        </w:tabs>
        <w:ind w:left="0" w:firstLine="709"/>
        <w:jc w:val="both"/>
        <w:rPr/>
      </w:pPr>
      <w:r>
        <w:rPr>
          <w:sz w:val="24"/>
          <w:szCs w:val="24"/>
        </w:rPr>
        <w:t>Поставщик 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pPr>
      <w:r>
        <w:rPr>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pPr>
      <w:r>
        <w:rPr>
          <w:sz w:val="24"/>
          <w:szCs w:val="24"/>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0" w:leader="none"/>
          <w:tab w:val="left" w:pos="1418" w:leader="none"/>
        </w:tabs>
        <w:ind w:left="0" w:firstLine="709"/>
        <w:jc w:val="both"/>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2"/>
        </w:numPr>
        <w:shd w:val="clear" w:color="auto" w:fill="FFFFFF"/>
        <w:tabs>
          <w:tab w:val="clear" w:pos="709"/>
          <w:tab w:val="left" w:pos="426" w:leader="none"/>
        </w:tabs>
        <w:ind w:left="0" w:hanging="0"/>
        <w:jc w:val="center"/>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9"/>
          <w:tab w:val="left" w:pos="0" w:leader="none"/>
          <w:tab w:val="left" w:pos="1418" w:leader="none"/>
        </w:tabs>
        <w:ind w:left="0" w:right="23" w:firstLine="709"/>
        <w:jc w:val="both"/>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6"/>
        </w:numPr>
        <w:tabs>
          <w:tab w:val="clear" w:pos="709"/>
          <w:tab w:val="left" w:pos="0" w:leader="none"/>
          <w:tab w:val="left" w:pos="1418" w:leader="none"/>
        </w:tabs>
        <w:ind w:left="0" w:right="23" w:firstLine="709"/>
        <w:jc w:val="both"/>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9"/>
          <w:tab w:val="left" w:pos="0" w:leader="none"/>
          <w:tab w:val="left" w:pos="1418" w:leader="none"/>
        </w:tabs>
        <w:ind w:left="0" w:right="23" w:firstLine="709"/>
        <w:jc w:val="both"/>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9"/>
          <w:tab w:val="left" w:pos="0" w:leader="none"/>
          <w:tab w:val="left" w:pos="1418" w:leader="none"/>
        </w:tabs>
        <w:ind w:left="0" w:right="23" w:firstLine="709"/>
        <w:jc w:val="both"/>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9"/>
          <w:tab w:val="left" w:pos="0" w:leader="none"/>
          <w:tab w:val="left" w:pos="1418" w:leader="none"/>
        </w:tabs>
        <w:ind w:left="0" w:right="23" w:firstLine="709"/>
        <w:jc w:val="both"/>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numPr>
          <w:ilvl w:val="0"/>
          <w:numId w:val="2"/>
        </w:numPr>
        <w:shd w:val="clear" w:color="auto" w:fill="FFFFFF"/>
        <w:tabs>
          <w:tab w:val="clear" w:pos="709"/>
          <w:tab w:val="left" w:pos="426" w:leader="none"/>
        </w:tabs>
        <w:ind w:left="0" w:hanging="0"/>
        <w:jc w:val="center"/>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pPr>
      <w:r>
        <w:rPr>
          <w:sz w:val="24"/>
          <w:szCs w:val="24"/>
        </w:rPr>
        <w:t xml:space="preserve">Договор вступает в силу с даты его подписания Сторонами и действует по 31.12.2024 года, а в части неисполненых обязательств до полного исполнения ими принятых на себя обязательств. </w:t>
      </w:r>
    </w:p>
    <w:p>
      <w:pPr>
        <w:pStyle w:val="Normal"/>
        <w:widowControl/>
        <w:numPr>
          <w:ilvl w:val="1"/>
          <w:numId w:val="2"/>
        </w:numPr>
        <w:snapToGrid w:val="false"/>
        <w:ind w:left="0" w:firstLine="709"/>
        <w:jc w:val="both"/>
        <w:rPr/>
      </w:pPr>
      <w:bookmarkStart w:id="9" w:name="_GoBack"/>
      <w:bookmarkEnd w:id="9"/>
      <w:r>
        <w:rPr>
          <w:sz w:val="24"/>
          <w:szCs w:val="24"/>
        </w:rPr>
        <w:t xml:space="preserve">Договор заключается в электронной форме с использованием программно-аппаратных средств </w:t>
      </w:r>
      <w:r>
        <w:rPr>
          <w:i/>
          <w:sz w:val="24"/>
          <w:szCs w:val="24"/>
        </w:rPr>
        <w:t>электронной площадки</w:t>
      </w:r>
      <w:r>
        <w:rPr>
          <w:sz w:val="24"/>
          <w:szCs w:val="24"/>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jc w:val="both"/>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В случае наличия любых расхождений между содержанием Договора 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bookmarkStart w:id="10"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9"/>
          <w:tab w:val="left" w:pos="0" w:leader="none"/>
          <w:tab w:val="left" w:pos="1418" w:leader="none"/>
        </w:tabs>
        <w:ind w:left="0" w:firstLine="709"/>
        <w:jc w:val="both"/>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sz w:val="24"/>
          <w:szCs w:val="24"/>
        </w:rPr>
        <w:t>Во всем остальном, что не урегулировано Договором, Стороны руководствуются законодательством Российской Федерации.</w:t>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s>
        <w:ind w:firstLine="709"/>
        <w:jc w:val="both"/>
        <w:rPr/>
      </w:pPr>
      <w:r>
        <w:rPr>
          <w:rFonts w:eastAsia="Calibri"/>
          <w:sz w:val="24"/>
          <w:szCs w:val="24"/>
          <w:lang w:eastAsia="en-US"/>
        </w:rPr>
        <w:t>Приложение № 2 — Заявка на поставку Товара.</w:t>
      </w:r>
    </w:p>
    <w:p>
      <w:pPr>
        <w:pStyle w:val="Normal"/>
        <w:widowControl/>
        <w:shd w:val="clear" w:color="auto" w:fill="FFFFFF"/>
        <w:tabs>
          <w:tab w:val="clear" w:pos="709"/>
          <w:tab w:val="left" w:pos="0" w:leader="none"/>
          <w:tab w:val="left" w:pos="2694" w:leader="none"/>
        </w:tabs>
        <w:ind w:firstLine="709"/>
        <w:jc w:val="both"/>
        <w:rPr/>
      </w:pPr>
      <w:bookmarkStart w:id="11" w:name="sub_1"/>
      <w:r>
        <w:rPr>
          <w:rFonts w:eastAsia="Calibri"/>
          <w:sz w:val="24"/>
          <w:szCs w:val="24"/>
          <w:lang w:eastAsia="en-US"/>
        </w:rPr>
        <w:t xml:space="preserve">Приложение № 3 – </w:t>
      </w:r>
      <w:bookmarkEnd w:id="11"/>
      <w:r>
        <w:rPr>
          <w:bCs/>
          <w:sz w:val="24"/>
          <w:szCs w:val="24"/>
        </w:rPr>
        <w:t>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ListParagraph"/>
        <w:widowControl/>
        <w:numPr>
          <w:ilvl w:val="0"/>
          <w:numId w:val="2"/>
        </w:numPr>
        <w:shd w:val="clear" w:color="auto" w:fill="FFFFFF"/>
        <w:tabs>
          <w:tab w:val="clear" w:pos="709"/>
          <w:tab w:val="left" w:pos="426" w:leader="none"/>
        </w:tabs>
        <w:ind w:left="0" w:hanging="0"/>
        <w:jc w:val="center"/>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43" w:type="dxa"/>
        <w:jc w:val="left"/>
        <w:tblInd w:w="154" w:type="dxa"/>
        <w:tblLayout w:type="fixed"/>
        <w:tblCellMar>
          <w:top w:w="0" w:type="dxa"/>
          <w:left w:w="108" w:type="dxa"/>
          <w:bottom w:w="0" w:type="dxa"/>
          <w:right w:w="108" w:type="dxa"/>
        </w:tblCellMar>
        <w:tblLook w:val="01e0" w:noHBand="0" w:noVBand="0" w:firstColumn="1" w:lastRow="1" w:lastColumn="1" w:firstRow="1"/>
      </w:tblPr>
      <w:tblGrid>
        <w:gridCol w:w="4881"/>
        <w:gridCol w:w="4961"/>
      </w:tblGrid>
      <w:tr>
        <w:trPr/>
        <w:tc>
          <w:tcPr>
            <w:tcW w:w="4881" w:type="dxa"/>
            <w:tcBorders/>
          </w:tcPr>
          <w:p>
            <w:pPr>
              <w:pStyle w:val="Normal"/>
              <w:widowControl w:val="false"/>
              <w:rPr/>
            </w:pPr>
            <w:r>
              <w:rPr>
                <w:sz w:val="24"/>
                <w:szCs w:val="24"/>
              </w:rPr>
              <w:t>ПОКУПАТЕЛЬ:</w:t>
            </w:r>
          </w:p>
        </w:tc>
        <w:tc>
          <w:tcPr>
            <w:tcW w:w="4961" w:type="dxa"/>
            <w:tcBorders/>
          </w:tcPr>
          <w:p>
            <w:pPr>
              <w:pStyle w:val="Normal"/>
              <w:widowControl w:val="false"/>
              <w:rPr/>
            </w:pPr>
            <w:r>
              <w:rPr>
                <w:sz w:val="24"/>
                <w:szCs w:val="24"/>
              </w:rPr>
              <w:t>ПОСТАВЩИК:</w:t>
            </w:r>
          </w:p>
        </w:tc>
      </w:tr>
      <w:tr>
        <w:trPr/>
        <w:tc>
          <w:tcPr>
            <w:tcW w:w="4881" w:type="dxa"/>
            <w:tcBorders/>
          </w:tcPr>
          <w:p>
            <w:pPr>
              <w:pStyle w:val="Normal"/>
              <w:widowControl w:val="false"/>
              <w:suppressLineNumbers/>
              <w:tabs>
                <w:tab w:val="clear" w:pos="709"/>
                <w:tab w:val="left" w:pos="4287" w:leader="none"/>
              </w:tabs>
              <w:spacing w:before="0" w:after="0"/>
              <w:ind w:right="104" w:hanging="0"/>
              <w:contextualSpacing/>
              <w:rPr/>
            </w:pPr>
            <w:r>
              <w:rPr>
                <w:b/>
                <w:sz w:val="24"/>
                <w:szCs w:val="24"/>
              </w:rPr>
              <w:t>Акционерное общество «Транспортная компания РусГидро»</w:t>
            </w:r>
          </w:p>
          <w:p>
            <w:pPr>
              <w:pStyle w:val="Normal"/>
              <w:widowControl w:val="false"/>
              <w:suppressLineNumbers/>
              <w:tabs>
                <w:tab w:val="clear" w:pos="709"/>
                <w:tab w:val="left" w:pos="4287" w:leader="none"/>
              </w:tabs>
              <w:spacing w:before="0" w:after="0"/>
              <w:ind w:left="34" w:right="104" w:hanging="34"/>
              <w:contextualSpacing/>
              <w:rPr/>
            </w:pPr>
            <w:r>
              <w:rPr>
                <w:b/>
                <w:sz w:val="24"/>
                <w:szCs w:val="24"/>
              </w:rPr>
              <w:t>(АО «ТК РусГидро»)</w:t>
            </w:r>
          </w:p>
          <w:p>
            <w:pPr>
              <w:pStyle w:val="Normal"/>
              <w:widowControl w:val="false"/>
              <w:suppressLineNumbers/>
              <w:tabs>
                <w:tab w:val="clear" w:pos="709"/>
                <w:tab w:val="left" w:pos="4287" w:leader="none"/>
              </w:tabs>
              <w:spacing w:before="0" w:after="0"/>
              <w:ind w:left="34" w:right="104" w:hanging="34"/>
              <w:contextualSpacing/>
              <w:rPr/>
            </w:pPr>
            <w:r>
              <w:rPr>
                <w:sz w:val="24"/>
                <w:szCs w:val="24"/>
              </w:rPr>
              <w:t>Юридический адрес:</w:t>
            </w:r>
            <w:r>
              <w:rPr>
                <w:b/>
                <w:sz w:val="24"/>
                <w:szCs w:val="24"/>
              </w:rPr>
              <w:t xml:space="preserve"> </w:t>
            </w:r>
            <w:r>
              <w:rPr>
                <w:sz w:val="24"/>
                <w:szCs w:val="24"/>
              </w:rPr>
              <w:t xml:space="preserve">655619, Республика Хакасия, г. Саяногорск, рп. Черемушки, </w:t>
            </w:r>
            <w:r>
              <w:rPr>
                <w:sz w:val="24"/>
                <w:szCs w:val="24"/>
              </w:rPr>
              <w:t>стр</w:t>
            </w:r>
            <w:r>
              <w:rPr>
                <w:sz w:val="24"/>
                <w:szCs w:val="24"/>
              </w:rPr>
              <w:t>. 101.</w:t>
            </w:r>
          </w:p>
          <w:p>
            <w:pPr>
              <w:pStyle w:val="Normal"/>
              <w:widowControl w:val="false"/>
              <w:rPr/>
            </w:pPr>
            <w:r>
              <w:rPr>
                <w:b/>
                <w:sz w:val="24"/>
                <w:szCs w:val="24"/>
              </w:rPr>
              <w:t>Владивостокское представительство АО «ТК РусГидро»</w:t>
            </w:r>
          </w:p>
          <w:p>
            <w:pPr>
              <w:pStyle w:val="Normal"/>
              <w:widowControl w:val="false"/>
              <w:rPr/>
            </w:pPr>
            <w:r>
              <w:rPr>
                <w:sz w:val="24"/>
                <w:szCs w:val="24"/>
              </w:rPr>
              <w:t>Адрес место нахождения: 690091, Приморский край, г. Владивосток, ул. Западная, дом 29.</w:t>
            </w:r>
          </w:p>
          <w:p>
            <w:pPr>
              <w:pStyle w:val="Normal"/>
              <w:widowControl w:val="false"/>
              <w:rPr/>
            </w:pPr>
            <w:r>
              <w:rPr>
                <w:sz w:val="24"/>
                <w:szCs w:val="24"/>
              </w:rPr>
              <w:t>Почтовый адрес: 690091, Приморский край, г. Владивосток, ул. Западная, дом 29.</w:t>
            </w:r>
          </w:p>
          <w:p>
            <w:pPr>
              <w:pStyle w:val="Normal"/>
              <w:widowControl w:val="false"/>
              <w:rPr/>
            </w:pPr>
            <w:r>
              <w:rPr>
                <w:sz w:val="24"/>
                <w:szCs w:val="24"/>
              </w:rPr>
              <w:t>ИНН: 1902018248; КПП: 254044001;</w:t>
            </w:r>
          </w:p>
          <w:p>
            <w:pPr>
              <w:pStyle w:val="Normal"/>
              <w:widowControl w:val="false"/>
              <w:rPr/>
            </w:pPr>
            <w:r>
              <w:rPr>
                <w:sz w:val="24"/>
                <w:szCs w:val="24"/>
              </w:rPr>
              <w:t>ОГРН: 1031900676356</w:t>
            </w:r>
          </w:p>
          <w:p>
            <w:pPr>
              <w:pStyle w:val="Normal"/>
              <w:widowControl w:val="false"/>
              <w:rPr/>
            </w:pPr>
            <w:r>
              <w:rPr>
                <w:sz w:val="24"/>
                <w:szCs w:val="24"/>
              </w:rPr>
              <w:t>Р/счет: № 40702810270000000696;</w:t>
            </w:r>
          </w:p>
          <w:p>
            <w:pPr>
              <w:pStyle w:val="Normal"/>
              <w:widowControl w:val="false"/>
              <w:rPr/>
            </w:pPr>
            <w:r>
              <w:rPr>
                <w:sz w:val="24"/>
                <w:szCs w:val="24"/>
              </w:rPr>
              <w:t>Банк: Дальневосточный филиал</w:t>
            </w:r>
          </w:p>
          <w:p>
            <w:pPr>
              <w:pStyle w:val="Normal"/>
              <w:widowControl w:val="false"/>
              <w:rPr/>
            </w:pPr>
            <w:r>
              <w:rPr>
                <w:sz w:val="24"/>
                <w:szCs w:val="24"/>
              </w:rPr>
              <w:t>ПАО «Сбербанк России» г. Хабаровск;</w:t>
            </w:r>
          </w:p>
          <w:p>
            <w:pPr>
              <w:pStyle w:val="Normal"/>
              <w:widowControl w:val="false"/>
              <w:suppressLineNumbers/>
              <w:spacing w:before="0" w:after="0"/>
              <w:contextualSpacing/>
              <w:rPr/>
            </w:pPr>
            <w:r>
              <w:rPr>
                <w:sz w:val="24"/>
                <w:szCs w:val="24"/>
              </w:rPr>
              <w:t>К/счет: 30101810600000000608</w:t>
            </w:r>
          </w:p>
          <w:p>
            <w:pPr>
              <w:pStyle w:val="Normal"/>
              <w:widowControl w:val="false"/>
              <w:suppressLineNumbers/>
              <w:spacing w:before="0" w:after="0"/>
              <w:contextualSpacing/>
              <w:rPr>
                <w:sz w:val="24"/>
                <w:szCs w:val="24"/>
              </w:rPr>
            </w:pPr>
            <w:r>
              <w:rPr>
                <w:sz w:val="24"/>
                <w:szCs w:val="24"/>
              </w:rPr>
            </w:r>
          </w:p>
          <w:tbl>
            <w:tblPr>
              <w:tblW w:w="9923" w:type="dxa"/>
              <w:jc w:val="left"/>
              <w:tblInd w:w="1" w:type="dxa"/>
              <w:tblLayout w:type="fixed"/>
              <w:tblCellMar>
                <w:top w:w="0" w:type="dxa"/>
                <w:left w:w="108" w:type="dxa"/>
                <w:bottom w:w="0" w:type="dxa"/>
                <w:right w:w="108" w:type="dxa"/>
              </w:tblCellMar>
              <w:tblLook w:val="04a0" w:noHBand="0" w:noVBand="1" w:firstColumn="1" w:lastRow="0" w:lastColumn="0" w:firstRow="1"/>
            </w:tblPr>
            <w:tblGrid>
              <w:gridCol w:w="4816"/>
              <w:gridCol w:w="5106"/>
            </w:tblGrid>
            <w:tr>
              <w:trPr/>
              <w:tc>
                <w:tcPr>
                  <w:tcW w:w="4816" w:type="dxa"/>
                  <w:tcBorders/>
                  <w:shd w:color="auto" w:fill="auto" w:val="clear"/>
                  <w:vAlign w:val="center"/>
                </w:tcPr>
                <w:p>
                  <w:pPr>
                    <w:pStyle w:val="Normal"/>
                    <w:widowControl w:val="false"/>
                    <w:jc w:val="center"/>
                    <w:rPr/>
                  </w:pPr>
                  <w:r>
                    <w:rPr>
                      <w:b/>
                      <w:sz w:val="24"/>
                      <w:szCs w:val="24"/>
                    </w:rPr>
                    <w:t>Покупатель:</w:t>
                  </w:r>
                </w:p>
                <w:p>
                  <w:pPr>
                    <w:pStyle w:val="Normal"/>
                    <w:widowControl w:val="false"/>
                    <w:jc w:val="center"/>
                    <w:rPr>
                      <w:b/>
                      <w:sz w:val="24"/>
                      <w:szCs w:val="24"/>
                    </w:rPr>
                  </w:pPr>
                  <w:r>
                    <w:rPr>
                      <w:b/>
                      <w:sz w:val="24"/>
                      <w:szCs w:val="24"/>
                    </w:rPr>
                  </w:r>
                </w:p>
                <w:p>
                  <w:pPr>
                    <w:pStyle w:val="Normal"/>
                    <w:widowControl w:val="false"/>
                    <w:ind w:firstLine="709"/>
                    <w:rPr>
                      <w:sz w:val="24"/>
                      <w:szCs w:val="24"/>
                    </w:rPr>
                  </w:pPr>
                  <w:r>
                    <w:rPr>
                      <w:sz w:val="24"/>
                      <w:szCs w:val="24"/>
                    </w:rPr>
                  </w:r>
                </w:p>
              </w:tc>
              <w:tc>
                <w:tcPr>
                  <w:tcW w:w="5106" w:type="dxa"/>
                  <w:tcBorders/>
                  <w:shd w:color="auto" w:fill="auto" w:val="clear"/>
                  <w:vAlign w:val="center"/>
                </w:tcPr>
                <w:p>
                  <w:pPr>
                    <w:pStyle w:val="Normal"/>
                    <w:widowControl w:val="false"/>
                    <w:jc w:val="center"/>
                    <w:rPr/>
                  </w:pPr>
                  <w:r>
                    <w:rPr>
                      <w:b/>
                      <w:sz w:val="24"/>
                      <w:szCs w:val="24"/>
                    </w:rPr>
                    <w:t>Поставщик:</w:t>
                  </w:r>
                </w:p>
                <w:p>
                  <w:pPr>
                    <w:pStyle w:val="Normal"/>
                    <w:widowControl w:val="false"/>
                    <w:jc w:val="center"/>
                    <w:rPr>
                      <w:b/>
                      <w:sz w:val="24"/>
                      <w:szCs w:val="24"/>
                    </w:rPr>
                  </w:pPr>
                  <w:r>
                    <w:rPr>
                      <w:b/>
                      <w:sz w:val="24"/>
                      <w:szCs w:val="24"/>
                    </w:rPr>
                  </w:r>
                </w:p>
                <w:p>
                  <w:pPr>
                    <w:pStyle w:val="Normal"/>
                    <w:widowControl w:val="false"/>
                    <w:jc w:val="center"/>
                    <w:rPr>
                      <w:b/>
                      <w:color w:val="000000"/>
                      <w:sz w:val="24"/>
                      <w:szCs w:val="24"/>
                    </w:rPr>
                  </w:pPr>
                  <w:r>
                    <w:rPr>
                      <w:b/>
                      <w:color w:val="000000"/>
                      <w:sz w:val="24"/>
                      <w:szCs w:val="24"/>
                    </w:rPr>
                  </w:r>
                </w:p>
              </w:tc>
            </w:tr>
          </w:tbl>
          <w:p>
            <w:pPr>
              <w:pStyle w:val="Normal"/>
              <w:widowControl w:val="false"/>
              <w:rPr/>
            </w:pPr>
            <w:r>
              <w:rPr/>
            </w:r>
          </w:p>
        </w:tc>
        <w:tc>
          <w:tcPr>
            <w:tcW w:w="4961" w:type="dxa"/>
            <w:tcBorders/>
          </w:tcPr>
          <w:p>
            <w:pPr>
              <w:pStyle w:val="Normal"/>
              <w:widowControl w:val="false"/>
              <w:rPr>
                <w:sz w:val="24"/>
                <w:szCs w:val="24"/>
              </w:rPr>
            </w:pPr>
            <w:r>
              <w:rPr>
                <w:sz w:val="24"/>
                <w:szCs w:val="24"/>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b/>
                <w:color w:val="000000"/>
                <w:sz w:val="24"/>
                <w:szCs w:val="24"/>
              </w:rPr>
            </w:pPr>
            <w:r>
              <w:rPr>
                <w:b/>
                <w:color w:val="000000"/>
                <w:sz w:val="24"/>
                <w:szCs w:val="24"/>
              </w:rPr>
            </w:r>
          </w:p>
          <w:tbl>
            <w:tblPr>
              <w:tblW w:w="9923" w:type="dxa"/>
              <w:jc w:val="left"/>
              <w:tblInd w:w="1" w:type="dxa"/>
              <w:tblLayout w:type="fixed"/>
              <w:tblCellMar>
                <w:top w:w="0" w:type="dxa"/>
                <w:left w:w="108" w:type="dxa"/>
                <w:bottom w:w="0" w:type="dxa"/>
                <w:right w:w="108" w:type="dxa"/>
              </w:tblCellMar>
              <w:tblLook w:val="04a0" w:noHBand="0" w:noVBand="1" w:firstColumn="1" w:lastRow="0" w:lastColumn="0" w:firstRow="1"/>
            </w:tblPr>
            <w:tblGrid>
              <w:gridCol w:w="4816"/>
              <w:gridCol w:w="5106"/>
            </w:tblGrid>
            <w:tr>
              <w:trPr/>
              <w:tc>
                <w:tcPr>
                  <w:tcW w:w="4816" w:type="dxa"/>
                  <w:tcBorders/>
                  <w:shd w:color="auto" w:fill="auto" w:val="clear"/>
                  <w:vAlign w:val="center"/>
                </w:tcPr>
                <w:p>
                  <w:pPr>
                    <w:pStyle w:val="Normal"/>
                    <w:widowControl w:val="false"/>
                    <w:jc w:val="center"/>
                    <w:rPr/>
                  </w:pPr>
                  <w:r>
                    <w:rPr>
                      <w:b/>
                      <w:sz w:val="24"/>
                      <w:szCs w:val="24"/>
                    </w:rPr>
                    <w:t>Поставщик:</w:t>
                  </w:r>
                </w:p>
                <w:p>
                  <w:pPr>
                    <w:pStyle w:val="Normal"/>
                    <w:widowControl w:val="false"/>
                    <w:jc w:val="center"/>
                    <w:rPr>
                      <w:b/>
                      <w:sz w:val="24"/>
                      <w:szCs w:val="24"/>
                    </w:rPr>
                  </w:pPr>
                  <w:r>
                    <w:rPr>
                      <w:b/>
                      <w:sz w:val="24"/>
                      <w:szCs w:val="24"/>
                    </w:rPr>
                  </w:r>
                </w:p>
                <w:p>
                  <w:pPr>
                    <w:pStyle w:val="Normal"/>
                    <w:widowControl w:val="false"/>
                    <w:ind w:firstLine="709"/>
                    <w:rPr>
                      <w:sz w:val="24"/>
                      <w:szCs w:val="24"/>
                    </w:rPr>
                  </w:pPr>
                  <w:r>
                    <w:rPr>
                      <w:sz w:val="24"/>
                      <w:szCs w:val="24"/>
                    </w:rPr>
                  </w:r>
                </w:p>
              </w:tc>
              <w:tc>
                <w:tcPr>
                  <w:tcW w:w="5106" w:type="dxa"/>
                  <w:tcBorders/>
                  <w:shd w:color="auto" w:fill="auto" w:val="clear"/>
                  <w:vAlign w:val="center"/>
                </w:tcPr>
                <w:p>
                  <w:pPr>
                    <w:pStyle w:val="Normal"/>
                    <w:widowControl w:val="false"/>
                    <w:jc w:val="center"/>
                    <w:rPr/>
                  </w:pPr>
                  <w:r>
                    <w:rPr>
                      <w:b/>
                      <w:sz w:val="24"/>
                      <w:szCs w:val="24"/>
                    </w:rPr>
                    <w:t>Поставщик:</w:t>
                  </w:r>
                </w:p>
                <w:p>
                  <w:pPr>
                    <w:pStyle w:val="Normal"/>
                    <w:widowControl w:val="false"/>
                    <w:jc w:val="center"/>
                    <w:rPr>
                      <w:b/>
                      <w:sz w:val="24"/>
                      <w:szCs w:val="24"/>
                    </w:rPr>
                  </w:pPr>
                  <w:r>
                    <w:rPr>
                      <w:b/>
                      <w:sz w:val="24"/>
                      <w:szCs w:val="24"/>
                    </w:rPr>
                  </w:r>
                </w:p>
                <w:p>
                  <w:pPr>
                    <w:pStyle w:val="Normal"/>
                    <w:widowControl w:val="false"/>
                    <w:jc w:val="center"/>
                    <w:rPr>
                      <w:b/>
                      <w:color w:val="000000"/>
                      <w:sz w:val="24"/>
                      <w:szCs w:val="24"/>
                    </w:rPr>
                  </w:pPr>
                  <w:r>
                    <w:rPr>
                      <w:b/>
                      <w:color w:val="000000"/>
                      <w:sz w:val="24"/>
                      <w:szCs w:val="24"/>
                    </w:rPr>
                  </w:r>
                </w:p>
              </w:tc>
            </w:tr>
          </w:tbl>
          <w:p>
            <w:pPr>
              <w:pStyle w:val="Normal"/>
              <w:widowControl w:val="false"/>
              <w:rPr/>
            </w:pPr>
            <w:r>
              <w:rPr/>
            </w:r>
          </w:p>
        </w:tc>
      </w:tr>
    </w:tbl>
    <w:p>
      <w:pPr>
        <w:sectPr>
          <w:headerReference w:type="default" r:id="rId5"/>
          <w:type w:val="nextPage"/>
          <w:pgSz w:w="11906" w:h="16838"/>
          <w:pgMar w:left="1418" w:right="851" w:gutter="0" w:header="567" w:top="992" w:footer="0" w:bottom="850"/>
          <w:pgNumType w:fmt="decimal"/>
          <w:formProt w:val="false"/>
          <w:textDirection w:val="lrTb"/>
          <w:docGrid w:type="default" w:linePitch="360" w:charSpace="24576"/>
        </w:sectPr>
      </w:pPr>
    </w:p>
    <w:p>
      <w:pPr>
        <w:pStyle w:val="Normal"/>
        <w:ind w:left="5103" w:right="96" w:hanging="0"/>
        <w:rPr/>
      </w:pPr>
      <w:r>
        <w:rPr>
          <w:sz w:val="22"/>
          <w:szCs w:val="22"/>
        </w:rPr>
        <w:t>Приложение № 1</w:t>
      </w:r>
    </w:p>
    <w:p>
      <w:pPr>
        <w:pStyle w:val="Normal"/>
        <w:ind w:left="5103" w:right="96" w:hanging="0"/>
        <w:rPr/>
      </w:pPr>
      <w:r>
        <w:rPr>
          <w:sz w:val="22"/>
          <w:szCs w:val="22"/>
        </w:rPr>
        <w:t>к Договору поставки</w:t>
      </w:r>
    </w:p>
    <w:p>
      <w:pPr>
        <w:pStyle w:val="Normal"/>
        <w:ind w:left="5103" w:right="96" w:hanging="0"/>
        <w:rPr/>
      </w:pPr>
      <w:r>
        <w:rPr>
          <w:sz w:val="22"/>
          <w:szCs w:val="22"/>
        </w:rPr>
        <w:t>от «____» __________ 20 _ г. № _____</w:t>
      </w:r>
    </w:p>
    <w:p>
      <w:pPr>
        <w:pStyle w:val="Normal"/>
        <w:widowControl/>
        <w:spacing w:lineRule="auto" w:line="259"/>
        <w:rPr>
          <w:rFonts w:eastAsia="Calibri"/>
          <w:b/>
          <w:sz w:val="24"/>
          <w:szCs w:val="24"/>
          <w:lang w:eastAsia="en-US"/>
        </w:rPr>
      </w:pPr>
      <w:r>
        <w:rPr>
          <w:rFonts w:eastAsia="Calibri"/>
          <w:b/>
          <w:sz w:val="24"/>
          <w:szCs w:val="24"/>
          <w:lang w:eastAsia="en-US"/>
        </w:rPr>
      </w:r>
    </w:p>
    <w:p>
      <w:pPr>
        <w:pStyle w:val="Normal"/>
        <w:jc w:val="center"/>
        <w:rPr>
          <w:b/>
          <w:sz w:val="24"/>
          <w:szCs w:val="24"/>
        </w:rPr>
      </w:pPr>
      <w:r>
        <w:rPr>
          <w:b/>
          <w:sz w:val="24"/>
          <w:szCs w:val="24"/>
        </w:rPr>
      </w:r>
    </w:p>
    <w:p>
      <w:pPr>
        <w:pStyle w:val="Normal"/>
        <w:jc w:val="center"/>
        <w:rPr/>
      </w:pPr>
      <w:r>
        <w:rPr>
          <w:b/>
          <w:sz w:val="24"/>
          <w:szCs w:val="24"/>
        </w:rPr>
        <w:t xml:space="preserve">СПЕЦИФИКАЦИЯ </w:t>
      </w:r>
    </w:p>
    <w:p>
      <w:pPr>
        <w:pStyle w:val="Normal"/>
        <w:jc w:val="center"/>
        <w:rPr>
          <w:b/>
          <w:sz w:val="24"/>
          <w:szCs w:val="24"/>
        </w:rPr>
      </w:pPr>
      <w:r>
        <w:rPr>
          <w:b/>
          <w:sz w:val="24"/>
          <w:szCs w:val="24"/>
        </w:rPr>
      </w:r>
    </w:p>
    <w:tbl>
      <w:tblPr>
        <w:tblW w:w="9975" w:type="dxa"/>
        <w:jc w:val="left"/>
        <w:tblInd w:w="-601" w:type="dxa"/>
        <w:tblLayout w:type="fixed"/>
        <w:tblCellMar>
          <w:top w:w="0" w:type="dxa"/>
          <w:left w:w="108" w:type="dxa"/>
          <w:bottom w:w="0" w:type="dxa"/>
          <w:right w:w="108" w:type="dxa"/>
        </w:tblCellMar>
        <w:tblLook w:val="04a0" w:noHBand="0" w:noVBand="1" w:firstColumn="1" w:lastRow="0" w:lastColumn="0" w:firstRow="1"/>
      </w:tblPr>
      <w:tblGrid>
        <w:gridCol w:w="843"/>
        <w:gridCol w:w="2217"/>
        <w:gridCol w:w="1729"/>
        <w:gridCol w:w="1425"/>
        <w:gridCol w:w="874"/>
        <w:gridCol w:w="1401"/>
        <w:gridCol w:w="1485"/>
      </w:tblGrid>
      <w:tr>
        <w:trPr>
          <w:trHeight w:val="526" w:hRule="atLeast"/>
        </w:trPr>
        <w:tc>
          <w:tcPr>
            <w:tcW w:w="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1"/>
                <w:szCs w:val="21"/>
              </w:rPr>
              <w:t xml:space="preserve">№ </w:t>
            </w:r>
            <w:r>
              <w:rPr>
                <w:bCs/>
                <w:color w:val="000000"/>
                <w:sz w:val="21"/>
                <w:szCs w:val="21"/>
              </w:rPr>
              <w:t>поз.</w:t>
            </w:r>
          </w:p>
        </w:tc>
        <w:tc>
          <w:tcPr>
            <w:tcW w:w="22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1"/>
                <w:szCs w:val="21"/>
              </w:rPr>
              <w:t>Наименование Товара</w:t>
            </w:r>
          </w:p>
        </w:tc>
        <w:tc>
          <w:tcPr>
            <w:tcW w:w="17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color w:val="000000"/>
                <w:sz w:val="21"/>
                <w:szCs w:val="21"/>
              </w:rPr>
              <w:t>Страна происхождения Товара</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1"/>
                <w:szCs w:val="21"/>
              </w:rPr>
              <w:t>Единица измерения</w:t>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1"/>
                <w:szCs w:val="21"/>
              </w:rPr>
              <w:t>Количество</w:t>
            </w:r>
          </w:p>
        </w:tc>
        <w:tc>
          <w:tcPr>
            <w:tcW w:w="14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1"/>
                <w:szCs w:val="21"/>
              </w:rPr>
              <w:t>Цена за единицу, руб. без НДС</w:t>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1"/>
                <w:szCs w:val="21"/>
              </w:rPr>
              <w:t>Стоимость, руб., с НДС</w:t>
            </w:r>
          </w:p>
        </w:tc>
      </w:tr>
      <w:tr>
        <w:trPr>
          <w:trHeight w:val="538" w:hRule="atLeast"/>
        </w:trPr>
        <w:tc>
          <w:tcPr>
            <w:tcW w:w="843" w:type="dxa"/>
            <w:tcBorders>
              <w:left w:val="single" w:sz="4" w:space="0" w:color="000000"/>
              <w:bottom w:val="single" w:sz="4" w:space="0" w:color="000000"/>
              <w:right w:val="single" w:sz="4" w:space="0" w:color="000000"/>
            </w:tcBorders>
            <w:vAlign w:val="center"/>
          </w:tcPr>
          <w:p>
            <w:pPr>
              <w:pStyle w:val="Normal"/>
              <w:widowControl w:val="false"/>
              <w:rPr>
                <w:color w:val="000000"/>
                <w:sz w:val="21"/>
                <w:szCs w:val="21"/>
              </w:rPr>
            </w:pPr>
            <w:r>
              <w:rPr>
                <w:color w:val="000000"/>
                <w:sz w:val="21"/>
                <w:szCs w:val="21"/>
              </w:rPr>
            </w:r>
          </w:p>
        </w:tc>
        <w:tc>
          <w:tcPr>
            <w:tcW w:w="2217" w:type="dxa"/>
            <w:tcBorders>
              <w:left w:val="single" w:sz="4" w:space="0" w:color="000000"/>
              <w:bottom w:val="single" w:sz="4" w:space="0" w:color="000000"/>
              <w:right w:val="single" w:sz="4" w:space="0" w:color="000000"/>
            </w:tcBorders>
            <w:vAlign w:val="center"/>
          </w:tcPr>
          <w:p>
            <w:pPr>
              <w:pStyle w:val="Style46"/>
              <w:widowControl w:val="false"/>
              <w:jc w:val="center"/>
              <w:rPr>
                <w:color w:val="000000"/>
                <w:sz w:val="21"/>
                <w:szCs w:val="21"/>
              </w:rPr>
            </w:pPr>
            <w:r>
              <w:rPr>
                <w:color w:val="000000"/>
                <w:sz w:val="21"/>
                <w:szCs w:val="21"/>
              </w:rPr>
            </w:r>
          </w:p>
        </w:tc>
        <w:tc>
          <w:tcPr>
            <w:tcW w:w="1729" w:type="dxa"/>
            <w:tcBorders>
              <w:left w:val="single" w:sz="4" w:space="0" w:color="000000"/>
              <w:bottom w:val="single" w:sz="4" w:space="0" w:color="000000"/>
              <w:right w:val="single" w:sz="4" w:space="0" w:color="000000"/>
            </w:tcBorders>
          </w:tcPr>
          <w:p>
            <w:pPr>
              <w:pStyle w:val="Style46"/>
              <w:widowControl w:val="false"/>
              <w:jc w:val="center"/>
              <w:rPr>
                <w:color w:val="000000"/>
                <w:sz w:val="21"/>
                <w:szCs w:val="21"/>
              </w:rPr>
            </w:pPr>
            <w:r>
              <w:rPr>
                <w:color w:val="000000"/>
                <w:sz w:val="21"/>
                <w:szCs w:val="21"/>
              </w:rPr>
            </w:r>
          </w:p>
        </w:tc>
        <w:tc>
          <w:tcPr>
            <w:tcW w:w="1425" w:type="dxa"/>
            <w:tcBorders>
              <w:left w:val="single" w:sz="4" w:space="0" w:color="000000"/>
              <w:bottom w:val="single" w:sz="4" w:space="0" w:color="000000"/>
              <w:right w:val="single" w:sz="4" w:space="0" w:color="000000"/>
            </w:tcBorders>
          </w:tcPr>
          <w:p>
            <w:pPr>
              <w:pStyle w:val="Normal"/>
              <w:widowControl w:val="false"/>
              <w:jc w:val="center"/>
              <w:rPr>
                <w:color w:val="000000"/>
                <w:sz w:val="21"/>
                <w:szCs w:val="21"/>
              </w:rPr>
            </w:pPr>
            <w:r>
              <w:rPr>
                <w:color w:val="000000"/>
                <w:sz w:val="21"/>
                <w:szCs w:val="21"/>
              </w:rPr>
            </w:r>
          </w:p>
        </w:tc>
        <w:tc>
          <w:tcPr>
            <w:tcW w:w="874" w:type="dxa"/>
            <w:tcBorders>
              <w:left w:val="single" w:sz="4" w:space="0" w:color="000000"/>
              <w:bottom w:val="single" w:sz="4" w:space="0" w:color="000000"/>
              <w:right w:val="single" w:sz="4" w:space="0" w:color="000000"/>
            </w:tcBorders>
            <w:vAlign w:val="center"/>
          </w:tcPr>
          <w:p>
            <w:pPr>
              <w:pStyle w:val="Style46"/>
              <w:widowControl w:val="false"/>
              <w:jc w:val="center"/>
              <w:rPr>
                <w:color w:val="000000"/>
                <w:sz w:val="21"/>
                <w:szCs w:val="21"/>
              </w:rPr>
            </w:pPr>
            <w:r>
              <w:rPr>
                <w:color w:val="000000"/>
                <w:sz w:val="21"/>
                <w:szCs w:val="21"/>
              </w:rPr>
            </w:r>
          </w:p>
        </w:tc>
        <w:tc>
          <w:tcPr>
            <w:tcW w:w="1401" w:type="dxa"/>
            <w:tcBorders>
              <w:left w:val="single" w:sz="4" w:space="0" w:color="000000"/>
              <w:bottom w:val="single" w:sz="4" w:space="0" w:color="000000"/>
              <w:right w:val="single" w:sz="4" w:space="0" w:color="000000"/>
            </w:tcBorders>
            <w:vAlign w:val="center"/>
          </w:tcPr>
          <w:p>
            <w:pPr>
              <w:pStyle w:val="Normal"/>
              <w:widowControl w:val="false"/>
              <w:rPr>
                <w:color w:val="000000"/>
                <w:sz w:val="21"/>
                <w:szCs w:val="21"/>
              </w:rPr>
            </w:pPr>
            <w:r>
              <w:rPr>
                <w:color w:val="000000"/>
                <w:sz w:val="21"/>
                <w:szCs w:val="21"/>
              </w:rPr>
            </w:r>
          </w:p>
        </w:tc>
        <w:tc>
          <w:tcPr>
            <w:tcW w:w="148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1"/>
                <w:szCs w:val="21"/>
              </w:rPr>
            </w:pPr>
            <w:r>
              <w:rPr>
                <w:color w:val="000000"/>
                <w:sz w:val="21"/>
                <w:szCs w:val="21"/>
              </w:rPr>
            </w:r>
          </w:p>
        </w:tc>
      </w:tr>
      <w:tr>
        <w:trPr>
          <w:trHeight w:val="262" w:hRule="atLeast"/>
        </w:trPr>
        <w:tc>
          <w:tcPr>
            <w:tcW w:w="848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sz w:val="21"/>
                <w:szCs w:val="21"/>
              </w:rPr>
              <w:t>Итого стоимость всего Товара (с учетом доставки), руб. с НДС:</w:t>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1"/>
                <w:szCs w:val="21"/>
              </w:rPr>
            </w:pPr>
            <w:r>
              <w:rPr>
                <w:color w:val="000000"/>
                <w:sz w:val="21"/>
                <w:szCs w:val="21"/>
              </w:rPr>
            </w:r>
          </w:p>
        </w:tc>
      </w:tr>
      <w:tr>
        <w:trPr>
          <w:trHeight w:val="262" w:hRule="atLeast"/>
        </w:trPr>
        <w:tc>
          <w:tcPr>
            <w:tcW w:w="8489" w:type="dxa"/>
            <w:gridSpan w:val="6"/>
            <w:tcBorders>
              <w:left w:val="single" w:sz="4" w:space="0" w:color="000000"/>
              <w:bottom w:val="single" w:sz="4" w:space="0" w:color="000000"/>
              <w:right w:val="single" w:sz="4" w:space="0" w:color="000000"/>
            </w:tcBorders>
          </w:tcPr>
          <w:p>
            <w:pPr>
              <w:pStyle w:val="Normal"/>
              <w:widowControl w:val="false"/>
              <w:jc w:val="center"/>
              <w:rPr/>
            </w:pPr>
            <w:r>
              <w:rPr>
                <w:color w:val="000000"/>
                <w:sz w:val="21"/>
                <w:szCs w:val="21"/>
              </w:rPr>
              <w:t>Итого стоимость всего Товара (с учетом доставки), руб. без НДС</w:t>
            </w:r>
          </w:p>
        </w:tc>
        <w:tc>
          <w:tcPr>
            <w:tcW w:w="148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1"/>
                <w:szCs w:val="21"/>
              </w:rPr>
            </w:pPr>
            <w:r>
              <w:rPr>
                <w:color w:val="000000"/>
                <w:sz w:val="21"/>
                <w:szCs w:val="21"/>
              </w:rPr>
            </w:r>
          </w:p>
        </w:tc>
      </w:tr>
      <w:tr>
        <w:trPr>
          <w:trHeight w:val="262" w:hRule="atLeast"/>
        </w:trPr>
        <w:tc>
          <w:tcPr>
            <w:tcW w:w="8489" w:type="dxa"/>
            <w:gridSpan w:val="6"/>
            <w:tcBorders>
              <w:left w:val="single" w:sz="4" w:space="0" w:color="000000"/>
              <w:bottom w:val="single" w:sz="4" w:space="0" w:color="000000"/>
              <w:right w:val="single" w:sz="4" w:space="0" w:color="000000"/>
            </w:tcBorders>
          </w:tcPr>
          <w:p>
            <w:pPr>
              <w:pStyle w:val="Normal"/>
              <w:widowControl w:val="false"/>
              <w:jc w:val="center"/>
              <w:rPr/>
            </w:pPr>
            <w:r>
              <w:rPr>
                <w:color w:val="000000"/>
                <w:sz w:val="21"/>
                <w:szCs w:val="21"/>
              </w:rPr>
              <w:t>Итого сумма НДС 20%, руб.</w:t>
            </w:r>
          </w:p>
        </w:tc>
        <w:tc>
          <w:tcPr>
            <w:tcW w:w="1485"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1"/>
                <w:szCs w:val="21"/>
              </w:rPr>
            </w:pPr>
            <w:r>
              <w:rPr>
                <w:color w:val="000000"/>
                <w:sz w:val="21"/>
                <w:szCs w:val="21"/>
              </w:rPr>
            </w:r>
          </w:p>
        </w:tc>
      </w:tr>
    </w:tbl>
    <w:p>
      <w:pPr>
        <w:pStyle w:val="Normal"/>
        <w:rPr>
          <w:i/>
          <w:i/>
          <w:sz w:val="24"/>
          <w:szCs w:val="24"/>
        </w:rPr>
      </w:pPr>
      <w:r>
        <w:rPr>
          <w:i/>
          <w:sz w:val="24"/>
          <w:szCs w:val="24"/>
        </w:rPr>
      </w:r>
    </w:p>
    <w:p>
      <w:pPr>
        <w:pStyle w:val="Normal"/>
        <w:rPr>
          <w:i/>
          <w:i/>
          <w:sz w:val="22"/>
          <w:szCs w:val="22"/>
        </w:rPr>
      </w:pPr>
      <w:r>
        <w:rPr>
          <w:i/>
          <w:sz w:val="22"/>
          <w:szCs w:val="22"/>
        </w:rPr>
      </w:r>
    </w:p>
    <w:tbl>
      <w:tblPr>
        <w:tblW w:w="9923"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817"/>
        <w:gridCol w:w="5105"/>
      </w:tblGrid>
      <w:tr>
        <w:trPr/>
        <w:tc>
          <w:tcPr>
            <w:tcW w:w="4817" w:type="dxa"/>
            <w:tcBorders/>
            <w:shd w:color="auto" w:fill="auto" w:val="clear"/>
            <w:vAlign w:val="center"/>
          </w:tcPr>
          <w:p>
            <w:pPr>
              <w:pStyle w:val="Normal"/>
              <w:widowControl w:val="false"/>
              <w:jc w:val="center"/>
              <w:rPr/>
            </w:pPr>
            <w:r>
              <w:rPr>
                <w:b/>
                <w:sz w:val="24"/>
                <w:szCs w:val="24"/>
              </w:rPr>
              <w:t>Покупатель:</w:t>
            </w:r>
          </w:p>
          <w:p>
            <w:pPr>
              <w:pStyle w:val="Normal"/>
              <w:widowControl w:val="false"/>
              <w:jc w:val="center"/>
              <w:rPr>
                <w:b/>
                <w:sz w:val="24"/>
                <w:szCs w:val="24"/>
              </w:rPr>
            </w:pPr>
            <w:r>
              <w:rPr>
                <w:b/>
                <w:sz w:val="24"/>
                <w:szCs w:val="24"/>
              </w:rPr>
            </w:r>
          </w:p>
        </w:tc>
        <w:tc>
          <w:tcPr>
            <w:tcW w:w="5105" w:type="dxa"/>
            <w:tcBorders/>
            <w:shd w:color="auto" w:fill="auto" w:val="clear"/>
            <w:vAlign w:val="center"/>
          </w:tcPr>
          <w:p>
            <w:pPr>
              <w:pStyle w:val="Normal"/>
              <w:widowControl w:val="false"/>
              <w:jc w:val="center"/>
              <w:rPr/>
            </w:pPr>
            <w:r>
              <w:rPr>
                <w:b/>
                <w:sz w:val="24"/>
                <w:szCs w:val="24"/>
              </w:rPr>
              <w:t>Поставщик:</w:t>
            </w:r>
          </w:p>
          <w:p>
            <w:pPr>
              <w:pStyle w:val="Normal"/>
              <w:widowControl w:val="false"/>
              <w:jc w:val="center"/>
              <w:rPr>
                <w:b/>
                <w:sz w:val="24"/>
                <w:szCs w:val="24"/>
              </w:rPr>
            </w:pPr>
            <w:r>
              <w:rPr>
                <w:b/>
                <w:sz w:val="24"/>
                <w:szCs w:val="24"/>
              </w:rPr>
            </w:r>
          </w:p>
        </w:tc>
      </w:tr>
    </w:tbl>
    <w:p>
      <w:pPr>
        <w:sectPr>
          <w:headerReference w:type="default" r:id="rId6"/>
          <w:headerReference w:type="first" r:id="rId7"/>
          <w:footerReference w:type="default" r:id="rId8"/>
          <w:type w:val="nextPage"/>
          <w:pgSz w:w="11906" w:h="16838"/>
          <w:pgMar w:left="1418" w:right="851" w:gutter="0" w:header="709" w:top="1134" w:footer="709" w:bottom="1134"/>
          <w:pgNumType w:fmt="decimal"/>
          <w:formProt w:val="false"/>
          <w:textDirection w:val="lrTb"/>
          <w:docGrid w:type="default" w:linePitch="299" w:charSpace="24576"/>
        </w:sectPr>
      </w:pPr>
      <w:r>
        <w:br w:type="page"/>
      </w:r>
    </w:p>
    <w:p>
      <w:pPr>
        <w:pStyle w:val="Normal"/>
        <w:ind w:firstLine="4820"/>
        <w:rPr/>
      </w:pPr>
      <w:r>
        <w:rPr>
          <w:sz w:val="22"/>
          <w:szCs w:val="22"/>
        </w:rPr>
        <w:t>Приложение № 2</w:t>
      </w:r>
    </w:p>
    <w:p>
      <w:pPr>
        <w:pStyle w:val="Normal"/>
        <w:ind w:firstLine="4820"/>
        <w:rPr/>
      </w:pPr>
      <w:r>
        <w:rPr>
          <w:sz w:val="22"/>
          <w:szCs w:val="22"/>
        </w:rPr>
        <w:t>к Договору поставки</w:t>
      </w:r>
    </w:p>
    <w:p>
      <w:pPr>
        <w:pStyle w:val="Normal"/>
        <w:ind w:firstLine="4820"/>
        <w:rPr/>
      </w:pPr>
      <w:r>
        <w:rPr>
          <w:sz w:val="22"/>
          <w:szCs w:val="22"/>
        </w:rPr>
        <w:t>от «____» __________ 20 _ г. № ____</w:t>
      </w:r>
    </w:p>
    <w:p>
      <w:pPr>
        <w:pStyle w:val="Normal"/>
        <w:ind w:firstLine="5812"/>
        <w:jc w:val="center"/>
        <w:rPr>
          <w:b/>
          <w:sz w:val="24"/>
          <w:szCs w:val="24"/>
        </w:rPr>
      </w:pPr>
      <w:r>
        <w:rPr>
          <w:b/>
          <w:sz w:val="24"/>
          <w:szCs w:val="24"/>
        </w:rPr>
      </w:r>
    </w:p>
    <w:p>
      <w:pPr>
        <w:pStyle w:val="Normal"/>
        <w:ind w:firstLine="5812"/>
        <w:jc w:val="center"/>
        <w:rPr>
          <w:b/>
          <w:sz w:val="24"/>
          <w:szCs w:val="24"/>
        </w:rPr>
      </w:pPr>
      <w:r>
        <w:rPr>
          <w:b/>
          <w:sz w:val="24"/>
          <w:szCs w:val="24"/>
        </w:rPr>
      </w:r>
    </w:p>
    <w:p>
      <w:pPr>
        <w:pStyle w:val="Normal"/>
        <w:tabs>
          <w:tab w:val="clear" w:pos="709"/>
          <w:tab w:val="left" w:pos="2700" w:leader="none"/>
        </w:tabs>
        <w:jc w:val="center"/>
        <w:rPr/>
      </w:pPr>
      <w:r>
        <w:rPr>
          <w:b/>
          <w:sz w:val="24"/>
          <w:szCs w:val="24"/>
        </w:rPr>
        <w:t xml:space="preserve">Заявка </w:t>
      </w:r>
    </w:p>
    <w:p>
      <w:pPr>
        <w:pStyle w:val="Normal"/>
        <w:tabs>
          <w:tab w:val="clear" w:pos="709"/>
          <w:tab w:val="left" w:pos="1843" w:leader="none"/>
        </w:tabs>
        <w:ind w:firstLine="709"/>
        <w:jc w:val="center"/>
        <w:rPr/>
      </w:pPr>
      <w:r>
        <w:rPr>
          <w:b/>
          <w:sz w:val="24"/>
          <w:szCs w:val="24"/>
        </w:rPr>
        <w:t>на поставку Товара</w:t>
      </w:r>
    </w:p>
    <w:p>
      <w:pPr>
        <w:pStyle w:val="Normal"/>
        <w:tabs>
          <w:tab w:val="clear" w:pos="709"/>
          <w:tab w:val="left" w:pos="1843" w:leader="none"/>
          <w:tab w:val="left" w:pos="4395" w:leader="none"/>
        </w:tabs>
        <w:ind w:firstLine="709"/>
        <w:jc w:val="center"/>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pPr>
      <w:r>
        <w:rPr>
          <w:b/>
          <w:sz w:val="24"/>
          <w:szCs w:val="24"/>
        </w:rPr>
        <w:t>Заявка №___</w:t>
      </w:r>
    </w:p>
    <w:p>
      <w:pPr>
        <w:pStyle w:val="Normal"/>
        <w:tabs>
          <w:tab w:val="clear" w:pos="709"/>
          <w:tab w:val="left" w:pos="2700" w:leader="none"/>
        </w:tabs>
        <w:jc w:val="center"/>
        <w:rPr/>
      </w:pPr>
      <w:r>
        <w:rPr>
          <w:b/>
          <w:sz w:val="24"/>
          <w:szCs w:val="24"/>
        </w:rPr>
        <w:t xml:space="preserve">на поставку Товара </w:t>
      </w:r>
    </w:p>
    <w:p>
      <w:pPr>
        <w:pStyle w:val="Normal"/>
        <w:tabs>
          <w:tab w:val="clear" w:pos="709"/>
          <w:tab w:val="left" w:pos="2700" w:leader="none"/>
        </w:tabs>
        <w:jc w:val="center"/>
        <w:rPr/>
      </w:pPr>
      <w:r>
        <w:rPr>
          <w:b/>
          <w:sz w:val="24"/>
          <w:szCs w:val="24"/>
        </w:rPr>
        <w:t xml:space="preserve">по договору поставки №______________ от «____» _____202_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137"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6"/>
        <w:gridCol w:w="706"/>
        <w:gridCol w:w="1066"/>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2"/>
                <w:szCs w:val="22"/>
              </w:rPr>
              <w:t xml:space="preserve">№ </w:t>
            </w:r>
            <w:r>
              <w:rPr>
                <w:bCs/>
                <w:color w:val="000000"/>
                <w:sz w:val="22"/>
                <w:szCs w:val="22"/>
              </w:rPr>
              <w:t>п/п</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color w:val="000000"/>
                <w:sz w:val="22"/>
                <w:szCs w:val="22"/>
              </w:rPr>
              <w:t>Артикул, тип, марка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2"/>
                <w:szCs w:val="22"/>
              </w:rPr>
              <w:t>Количество</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color w:val="000000"/>
                <w:sz w:val="22"/>
                <w:szCs w:val="22"/>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color w:val="000000"/>
                <w:sz w:val="22"/>
                <w:szCs w:val="22"/>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rPr>
            </w:pPr>
            <w:r>
              <w:rPr>
                <w:color w:val="000000"/>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rPr>
            </w:pPr>
            <w:r>
              <w:rPr>
                <w:color w:val="000000"/>
                <w:sz w:val="22"/>
                <w:szCs w:val="22"/>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rPr>
            </w:pPr>
            <w:r>
              <w:rPr>
                <w:color w:val="000000"/>
                <w:sz w:val="22"/>
                <w:szCs w:val="22"/>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rPr>
            </w:pPr>
            <w:r>
              <w:rPr>
                <w:color w:val="000000"/>
                <w:sz w:val="22"/>
                <w:szCs w:val="22"/>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rPr>
            </w:pPr>
            <w:r>
              <w:rPr>
                <w:color w:val="000000"/>
                <w:sz w:val="22"/>
                <w:szCs w:val="22"/>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rPr>
            </w:pPr>
            <w:r>
              <w:rPr>
                <w:color w:val="000000"/>
                <w:sz w:val="22"/>
                <w:szCs w:val="22"/>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rPr>
            </w:pPr>
            <w:r>
              <w:rPr>
                <w:color w:val="000000"/>
                <w:sz w:val="22"/>
                <w:szCs w:val="22"/>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rPr>
            </w:pPr>
            <w:r>
              <w:rPr>
                <w:color w:val="000000"/>
                <w:sz w:val="22"/>
                <w:szCs w:val="22"/>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rPr>
            </w:pPr>
            <w:r>
              <w:rPr>
                <w:color w:val="000000"/>
                <w:sz w:val="22"/>
                <w:szCs w:val="22"/>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rPr>
            </w:pPr>
            <w:r>
              <w:rPr>
                <w:color w:val="000000"/>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rPr>
            </w:pPr>
            <w:r>
              <w:rPr>
                <w:color w:val="000000"/>
                <w:sz w:val="22"/>
                <w:szCs w:val="22"/>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rPr>
            </w:pPr>
            <w:r>
              <w:rPr>
                <w:color w:val="000000"/>
                <w:sz w:val="22"/>
                <w:szCs w:val="22"/>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rPr>
            </w:pPr>
            <w:r>
              <w:rPr>
                <w:color w:val="000000"/>
                <w:sz w:val="22"/>
                <w:szCs w:val="22"/>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rPr>
            </w:pPr>
            <w:r>
              <w:rPr>
                <w:color w:val="000000"/>
                <w:sz w:val="22"/>
                <w:szCs w:val="22"/>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rPr>
            </w:pPr>
            <w:r>
              <w:rPr>
                <w:color w:val="000000"/>
                <w:sz w:val="22"/>
                <w:szCs w:val="22"/>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rPr>
            </w:pPr>
            <w:r>
              <w:rPr>
                <w:color w:val="000000"/>
                <w:sz w:val="22"/>
                <w:szCs w:val="22"/>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rPr>
            </w:pPr>
            <w:r>
              <w:rPr>
                <w:color w:val="000000"/>
                <w:sz w:val="22"/>
                <w:szCs w:val="22"/>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rPr>
            </w:pPr>
            <w:r>
              <w:rPr>
                <w:color w:val="000000"/>
                <w:sz w:val="22"/>
                <w:szCs w:val="22"/>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hanging="0"/>
        <w:jc w:val="center"/>
        <w:outlineLvl w:val="0"/>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817"/>
        <w:gridCol w:w="5105"/>
      </w:tblGrid>
      <w:tr>
        <w:trPr/>
        <w:tc>
          <w:tcPr>
            <w:tcW w:w="4817" w:type="dxa"/>
            <w:tcBorders/>
            <w:shd w:color="auto" w:fill="auto" w:val="clear"/>
          </w:tcPr>
          <w:p>
            <w:pPr>
              <w:pStyle w:val="Normal"/>
              <w:widowControl w:val="false"/>
              <w:rPr/>
            </w:pPr>
            <w:r>
              <w:rPr>
                <w:b/>
                <w:sz w:val="24"/>
                <w:szCs w:val="24"/>
              </w:rPr>
              <w:t>Покупатель:</w:t>
            </w:r>
          </w:p>
          <w:p>
            <w:pPr>
              <w:pStyle w:val="Normal"/>
              <w:widowControl w:val="false"/>
              <w:rPr>
                <w:sz w:val="24"/>
                <w:szCs w:val="24"/>
              </w:rPr>
            </w:pPr>
            <w:r>
              <w:rPr>
                <w:sz w:val="24"/>
                <w:szCs w:val="24"/>
              </w:rPr>
            </w:r>
          </w:p>
          <w:p>
            <w:pPr>
              <w:pStyle w:val="Normal"/>
              <w:widowControl w:val="false"/>
              <w:rPr/>
            </w:pPr>
            <w:r>
              <w:rPr>
                <w:sz w:val="24"/>
                <w:szCs w:val="24"/>
              </w:rPr>
              <w:t>_____________________/_____________</w:t>
            </w:r>
          </w:p>
          <w:p>
            <w:pPr>
              <w:pStyle w:val="Normal"/>
              <w:widowControl w:val="false"/>
              <w:ind w:firstLine="709"/>
              <w:rPr>
                <w:sz w:val="24"/>
                <w:szCs w:val="24"/>
              </w:rPr>
            </w:pPr>
            <w:r>
              <w:rPr>
                <w:sz w:val="24"/>
                <w:szCs w:val="24"/>
              </w:rPr>
            </w:r>
          </w:p>
        </w:tc>
        <w:tc>
          <w:tcPr>
            <w:tcW w:w="5105" w:type="dxa"/>
            <w:tcBorders/>
            <w:shd w:color="auto" w:fill="auto" w:val="clear"/>
          </w:tcPr>
          <w:p>
            <w:pPr>
              <w:pStyle w:val="Normal"/>
              <w:widowControl w:val="false"/>
              <w:ind w:hanging="1"/>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817"/>
        <w:gridCol w:w="5105"/>
      </w:tblGrid>
      <w:tr>
        <w:trPr/>
        <w:tc>
          <w:tcPr>
            <w:tcW w:w="4817" w:type="dxa"/>
            <w:tcBorders/>
            <w:shd w:color="auto" w:fill="auto" w:val="clear"/>
            <w:vAlign w:val="center"/>
          </w:tcPr>
          <w:p>
            <w:pPr>
              <w:pStyle w:val="Normal"/>
              <w:widowControl w:val="false"/>
              <w:jc w:val="center"/>
              <w:rPr/>
            </w:pPr>
            <w:r>
              <w:rPr>
                <w:b/>
                <w:sz w:val="24"/>
                <w:szCs w:val="24"/>
              </w:rPr>
              <w:t>Покупатель:</w:t>
            </w:r>
          </w:p>
          <w:p>
            <w:pPr>
              <w:pStyle w:val="Normal"/>
              <w:widowControl w:val="false"/>
              <w:jc w:val="center"/>
              <w:rPr>
                <w:b/>
                <w:sz w:val="24"/>
                <w:szCs w:val="24"/>
              </w:rPr>
            </w:pPr>
            <w:r>
              <w:rPr>
                <w:b/>
                <w:sz w:val="24"/>
                <w:szCs w:val="24"/>
              </w:rPr>
            </w:r>
          </w:p>
          <w:p>
            <w:pPr>
              <w:pStyle w:val="Normal"/>
              <w:widowControl w:val="false"/>
              <w:ind w:firstLine="709"/>
              <w:rPr>
                <w:sz w:val="24"/>
                <w:szCs w:val="24"/>
              </w:rPr>
            </w:pPr>
            <w:r>
              <w:rPr>
                <w:sz w:val="24"/>
                <w:szCs w:val="24"/>
              </w:rPr>
            </w:r>
          </w:p>
        </w:tc>
        <w:tc>
          <w:tcPr>
            <w:tcW w:w="5105" w:type="dxa"/>
            <w:tcBorders/>
            <w:shd w:color="auto" w:fill="auto" w:val="clear"/>
            <w:vAlign w:val="center"/>
          </w:tcPr>
          <w:p>
            <w:pPr>
              <w:pStyle w:val="Normal"/>
              <w:widowControl w:val="false"/>
              <w:jc w:val="center"/>
              <w:rPr/>
            </w:pPr>
            <w:r>
              <w:rPr>
                <w:b/>
                <w:sz w:val="24"/>
                <w:szCs w:val="24"/>
              </w:rPr>
              <w:t>Поставщик:</w:t>
            </w:r>
          </w:p>
          <w:p>
            <w:pPr>
              <w:pStyle w:val="Normal"/>
              <w:widowControl w:val="false"/>
              <w:jc w:val="center"/>
              <w:rPr>
                <w:b/>
                <w:sz w:val="24"/>
                <w:szCs w:val="24"/>
              </w:rPr>
            </w:pPr>
            <w:r>
              <w:rPr>
                <w:b/>
                <w:sz w:val="24"/>
                <w:szCs w:val="24"/>
              </w:rPr>
            </w:r>
          </w:p>
          <w:p>
            <w:pPr>
              <w:pStyle w:val="Normal"/>
              <w:widowControl w:val="false"/>
              <w:jc w:val="center"/>
              <w:rPr>
                <w:b/>
                <w:color w:val="000000"/>
                <w:sz w:val="24"/>
                <w:szCs w:val="24"/>
              </w:rPr>
            </w:pPr>
            <w:r>
              <w:rPr>
                <w:b/>
                <w:color w:val="000000"/>
                <w:sz w:val="24"/>
                <w:szCs w:val="24"/>
              </w:rPr>
            </w:r>
          </w:p>
        </w:tc>
      </w:tr>
    </w:tbl>
    <w:p>
      <w:pPr>
        <w:sectPr>
          <w:headerReference w:type="default" r:id="rId9"/>
          <w:headerReference w:type="first" r:id="rId10"/>
          <w:footerReference w:type="default" r:id="rId11"/>
          <w:footerReference w:type="first" r:id="rId12"/>
          <w:type w:val="nextPage"/>
          <w:pgSz w:w="11906" w:h="16838"/>
          <w:pgMar w:left="1418" w:right="851" w:gutter="0" w:header="567" w:top="1134" w:footer="709" w:bottom="1134"/>
          <w:pgNumType w:fmt="decimal"/>
          <w:formProt w:val="false"/>
          <w:textDirection w:val="lrTb"/>
          <w:docGrid w:type="default" w:linePitch="360" w:charSpace="24576"/>
        </w:sectPr>
      </w:pPr>
    </w:p>
    <w:p>
      <w:pPr>
        <w:pStyle w:val="Normal"/>
        <w:ind w:left="5103" w:right="96" w:hanging="0"/>
        <w:rPr/>
      </w:pPr>
      <w:r>
        <w:rPr>
          <w:sz w:val="22"/>
          <w:szCs w:val="22"/>
        </w:rPr>
        <w:t>Приложение № 3</w:t>
      </w:r>
    </w:p>
    <w:p>
      <w:pPr>
        <w:pStyle w:val="Normal"/>
        <w:ind w:right="96" w:firstLine="5103"/>
        <w:rPr/>
      </w:pPr>
      <w:r>
        <w:rPr>
          <w:sz w:val="22"/>
          <w:szCs w:val="22"/>
        </w:rPr>
        <w:t>к Договору поставки</w:t>
      </w:r>
    </w:p>
    <w:p>
      <w:pPr>
        <w:pStyle w:val="Normal"/>
        <w:ind w:firstLine="5103"/>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rPr>
          <w:b/>
          <w:bCs/>
          <w:sz w:val="24"/>
          <w:szCs w:val="24"/>
        </w:rPr>
      </w:pPr>
      <w:r>
        <w:rPr>
          <w:b/>
          <w:bCs/>
          <w:sz w:val="24"/>
          <w:szCs w:val="24"/>
        </w:rPr>
      </w:r>
    </w:p>
    <w:p>
      <w:pPr>
        <w:pStyle w:val="Normal"/>
        <w:jc w:val="center"/>
        <w:rPr/>
      </w:pPr>
      <w:r>
        <w:rPr>
          <w:b/>
          <w:bCs/>
          <w:sz w:val="24"/>
          <w:szCs w:val="24"/>
        </w:rPr>
        <w:t>Размер ответственности Поставщика за нарушения</w:t>
      </w:r>
    </w:p>
    <w:p>
      <w:pPr>
        <w:pStyle w:val="Normal"/>
        <w:jc w:val="center"/>
        <w:rPr/>
      </w:pPr>
      <w:r>
        <w:rPr>
          <w:b/>
          <w:bCs/>
          <w:sz w:val="24"/>
          <w:szCs w:val="24"/>
        </w:rPr>
        <w:t>пропускного и внутриобъектового режима, требований охраны труда,</w:t>
      </w:r>
    </w:p>
    <w:p>
      <w:pPr>
        <w:pStyle w:val="Normal"/>
        <w:jc w:val="center"/>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25 000 (Двадцать пять тысяч) рублей за каждый случай нарушения.</w:t>
            </w:r>
          </w:p>
          <w:p>
            <w:pPr>
              <w:pStyle w:val="Normal"/>
              <w:widowControl w:val="false"/>
              <w:jc w:val="both"/>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50 000 (Пятьдесят тысяч) рублей за каждый случай нарушения.</w:t>
            </w:r>
          </w:p>
          <w:p>
            <w:pPr>
              <w:pStyle w:val="Normal"/>
              <w:widowControl w:val="false"/>
              <w:jc w:val="both"/>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- 50 000 (Пятьдесят тысяч) рублей за каждый случай нарушения;</w:t>
            </w:r>
          </w:p>
          <w:p>
            <w:pPr>
              <w:pStyle w:val="Normal"/>
              <w:widowControl w:val="false"/>
              <w:jc w:val="both"/>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vAlign w:val="center"/>
          </w:tcPr>
          <w:p>
            <w:pPr>
              <w:pStyle w:val="Normal"/>
              <w:widowControl w:val="false"/>
              <w:jc w:val="center"/>
              <w:rPr/>
            </w:pPr>
            <w:r>
              <w:rPr>
                <w:b/>
                <w:sz w:val="24"/>
                <w:szCs w:val="24"/>
              </w:rPr>
              <w:t>Покупатель:</w:t>
            </w:r>
          </w:p>
          <w:p>
            <w:pPr>
              <w:pStyle w:val="Normal"/>
              <w:widowControl w:val="false"/>
              <w:jc w:val="center"/>
              <w:rPr>
                <w:b/>
                <w:sz w:val="24"/>
                <w:szCs w:val="24"/>
              </w:rPr>
            </w:pPr>
            <w:r>
              <w:rPr>
                <w:b/>
                <w:sz w:val="24"/>
                <w:szCs w:val="24"/>
              </w:rPr>
            </w:r>
          </w:p>
          <w:p>
            <w:pPr>
              <w:pStyle w:val="Normal"/>
              <w:widowControl w:val="false"/>
              <w:jc w:val="center"/>
              <w:rPr>
                <w:b/>
                <w:sz w:val="24"/>
                <w:szCs w:val="24"/>
              </w:rPr>
            </w:pPr>
            <w:r>
              <w:rPr>
                <w:b/>
                <w:sz w:val="24"/>
                <w:szCs w:val="24"/>
              </w:rPr>
            </w:r>
          </w:p>
        </w:tc>
        <w:tc>
          <w:tcPr>
            <w:tcW w:w="4819" w:type="dxa"/>
            <w:tcBorders/>
            <w:shd w:color="auto" w:fill="auto" w:val="clear"/>
            <w:vAlign w:val="center"/>
          </w:tcPr>
          <w:p>
            <w:pPr>
              <w:pStyle w:val="Normal"/>
              <w:widowControl w:val="false"/>
              <w:jc w:val="center"/>
              <w:rPr/>
            </w:pPr>
            <w:r>
              <w:rPr>
                <w:b/>
                <w:sz w:val="24"/>
                <w:szCs w:val="24"/>
              </w:rPr>
              <w:t>Поставщик:</w:t>
            </w:r>
          </w:p>
          <w:p>
            <w:pPr>
              <w:pStyle w:val="Normal"/>
              <w:widowControl w:val="false"/>
              <w:jc w:val="center"/>
              <w:rPr>
                <w:b/>
                <w:sz w:val="24"/>
                <w:szCs w:val="24"/>
              </w:rPr>
            </w:pPr>
            <w:r>
              <w:rPr>
                <w:b/>
                <w:sz w:val="24"/>
                <w:szCs w:val="24"/>
              </w:rPr>
            </w:r>
          </w:p>
          <w:p>
            <w:pPr>
              <w:pStyle w:val="Normal"/>
              <w:widowControl w:val="false"/>
              <w:ind w:firstLine="709"/>
              <w:rPr>
                <w:b/>
                <w:sz w:val="24"/>
                <w:szCs w:val="24"/>
              </w:rPr>
            </w:pPr>
            <w:r>
              <w:rPr>
                <w:b/>
                <w:sz w:val="24"/>
                <w:szCs w:val="24"/>
              </w:rPr>
            </w:r>
          </w:p>
        </w:tc>
      </w:tr>
    </w:tbl>
    <w:p>
      <w:pPr>
        <w:pStyle w:val="Normal"/>
        <w:ind w:left="5103" w:hanging="0"/>
        <w:rPr/>
      </w:pPr>
      <w:r>
        <w:rPr/>
      </w:r>
    </w:p>
    <w:sectPr>
      <w:headerReference w:type="default" r:id="rId13"/>
      <w:headerReference w:type="first" r:id="rId14"/>
      <w:footerReference w:type="default" r:id="rId15"/>
      <w:footerReference w:type="first" r:id="rId16"/>
      <w:type w:val="nextPage"/>
      <w:pgSz w:w="11906" w:h="16838"/>
      <w:pgMar w:left="1418" w:right="851" w:gutter="0" w:header="450" w:top="1017" w:footer="709" w:bottom="1134"/>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Garamond">
    <w:charset w:val="01"/>
    <w:family w:val="roman"/>
    <w:pitch w:val="variable"/>
  </w:font>
  <w:font w:name="Arial Unicode M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jc w:val="right"/>
      <w:rPr>
        <w:b/>
      </w:rPr>
    </w:pPr>
    <w:r>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jc w:val="right"/>
      <w:rPr>
        <w:b/>
      </w:rPr>
    </w:pPr>
    <w:r>
      <w:rPr/>
      <w:t xml:space="preserve">ТФД № 2.3.2 </w:t>
    </w:r>
  </w:p>
  <w:p>
    <w:pPr>
      <w:pStyle w:val="Header"/>
      <w:rPr/>
    </w:pPr>
    <w:r>
      <w:rPr/>
    </w:r>
  </w:p>
  <w:p>
    <w:pPr>
      <w:pStyle w:val="Normal"/>
      <w:tabs>
        <w:tab w:val="clear" w:pos="709"/>
        <w:tab w:val="left" w:pos="1875" w:leader="none"/>
        <w:tab w:val="center" w:pos="4153" w:leader="none"/>
        <w:tab w:val="right" w:pos="8306" w:leader="none"/>
      </w:tabs>
      <w:rPr>
        <w:i/>
        <w:i/>
      </w:rPr>
    </w:pPr>
    <w:r>
      <w:rPr>
        <w:i/>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jc w:val="right"/>
      <w:rPr>
        <w:b/>
      </w:rPr>
    </w:pPr>
    <w:r>
      <w:rPr/>
      <w:t xml:space="preserve">ТФД № 2.3.2 </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f47c6a"/>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61997"/>
    <w:rPr/>
  </w:style>
  <w:style w:type="character" w:styleId="FollowedHyperlink">
    <w:name w:val="FollowedHyperlink"/>
    <w:rPr>
      <w:color w:val="800000"/>
      <w:u w:val="single"/>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Style19" w:customStyle="1">
    <w:name w:val="Символ нумерации"/>
    <w:qFormat/>
    <w:rPr/>
  </w:style>
  <w:style w:type="character" w:styleId="32" w:customStyle="1">
    <w:name w:val="Основной текст с отступом 3 Знак"/>
    <w:qFormat/>
    <w:rPr>
      <w:sz w:val="16"/>
      <w:szCs w:val="16"/>
    </w:rPr>
  </w:style>
  <w:style w:type="character" w:styleId="1" w:customStyle="1">
    <w:name w:val="Неразрешенное упоминание1"/>
    <w:qFormat/>
    <w:rPr>
      <w:rFonts w:ascii="Times New Roman" w:hAnsi="Times New Roman" w:eastAsia="Times New Roman" w:cs="Times New Roman"/>
      <w:color w:val="605E5C"/>
      <w:sz w:val="24"/>
      <w:szCs w:val="24"/>
      <w:shd w:fill="E1DFDD" w:val="clear"/>
    </w:rPr>
  </w:style>
  <w:style w:type="character" w:styleId="11" w:customStyle="1">
    <w:name w:val="УРОВЕНЬ_1. Знак"/>
    <w:qFormat/>
    <w:rPr>
      <w:rFonts w:eastAsia="Calibri"/>
      <w:caps/>
      <w:sz w:val="28"/>
      <w:szCs w:val="28"/>
      <w:lang w:eastAsia="en-US"/>
    </w:rPr>
  </w:style>
  <w:style w:type="character" w:styleId="2" w:customStyle="1">
    <w:name w:val="Пункт2 Знак"/>
    <w:qFormat/>
    <w:rPr>
      <w:b/>
      <w:sz w:val="28"/>
    </w:rPr>
  </w:style>
  <w:style w:type="character" w:styleId="EndnoteCharacters" w:customStyle="1">
    <w:name w:val="Endnote Characters"/>
    <w:qFormat/>
    <w:rPr>
      <w:rFonts w:ascii="Times New Roman" w:hAnsi="Times New Roman" w:eastAsia="Times New Roman" w:cs="Times New Roman"/>
      <w:color w:val="000000"/>
      <w:sz w:val="24"/>
      <w:szCs w:val="24"/>
      <w:vertAlign w:val="superscript"/>
    </w:rPr>
  </w:style>
  <w:style w:type="character" w:styleId="Style20" w:customStyle="1">
    <w:name w:val="Текст концевой сноски Знак"/>
    <w:qFormat/>
    <w:rPr>
      <w:rFonts w:ascii="Times New Roman" w:hAnsi="Times New Roman" w:eastAsia="Times New Roman" w:cs="Times New Roman"/>
      <w:color w:val="000000"/>
      <w:sz w:val="24"/>
      <w:szCs w:val="24"/>
    </w:rPr>
  </w:style>
  <w:style w:type="character" w:styleId="33" w:customStyle="1">
    <w:name w:val="УРОВЕНЬ_Абзац_тип3 Знак"/>
    <w:qFormat/>
    <w:rPr>
      <w:rFonts w:eastAsia="Calibri"/>
      <w:sz w:val="26"/>
      <w:szCs w:val="28"/>
      <w:lang w:eastAsia="en-US"/>
    </w:rPr>
  </w:style>
  <w:style w:type="character" w:styleId="Style21" w:customStyle="1">
    <w:name w:val="Подподпункт Знак"/>
    <w:qFormat/>
    <w:rPr>
      <w:sz w:val="26"/>
      <w:szCs w:val="26"/>
    </w:rPr>
  </w:style>
  <w:style w:type="character" w:styleId="Blk" w:customStyle="1">
    <w:name w:val="blk"/>
    <w:qFormat/>
    <w:rPr/>
  </w:style>
  <w:style w:type="character" w:styleId="12" w:customStyle="1">
    <w:name w:val="Подпункт Знак1"/>
    <w:qFormat/>
    <w:rPr>
      <w:sz w:val="28"/>
    </w:rPr>
  </w:style>
  <w:style w:type="character" w:styleId="Style22" w:customStyle="1">
    <w:name w:val="Электронная подпись Знак"/>
    <w:qFormat/>
    <w:rPr>
      <w:rFonts w:eastAsia="Calibri"/>
      <w:sz w:val="24"/>
      <w:szCs w:val="24"/>
    </w:rPr>
  </w:style>
  <w:style w:type="character" w:styleId="BookTitle">
    <w:name w:val="Book Title"/>
    <w:qFormat/>
    <w:rPr>
      <w:b/>
      <w:bCs/>
      <w:smallCaps/>
      <w:spacing w:val="5"/>
    </w:rPr>
  </w:style>
  <w:style w:type="character" w:styleId="IntenseReference">
    <w:name w:val="Intense Reference"/>
    <w:qFormat/>
    <w:rPr>
      <w:b/>
      <w:bCs/>
      <w:smallCaps/>
      <w:color w:val="C0504D"/>
      <w:spacing w:val="5"/>
      <w:u w:val="single"/>
    </w:rPr>
  </w:style>
  <w:style w:type="character" w:styleId="SubtleReference">
    <w:name w:val="Subtle Reference"/>
    <w:qFormat/>
    <w:rPr>
      <w:smallCaps/>
      <w:color w:val="C0504D"/>
      <w:u w:val="single"/>
    </w:rPr>
  </w:style>
  <w:style w:type="character" w:styleId="IntenseEmphasis">
    <w:name w:val="Intense Emphasis"/>
    <w:qFormat/>
    <w:rPr>
      <w:b/>
      <w:bCs/>
      <w:i/>
      <w:iCs/>
      <w:color w:val="4F81BD"/>
    </w:rPr>
  </w:style>
  <w:style w:type="character" w:styleId="SubtleEmphasis">
    <w:name w:val="Subtle Emphasis"/>
    <w:qFormat/>
    <w:rPr>
      <w:i/>
      <w:iCs/>
      <w:color w:val="808080"/>
    </w:rPr>
  </w:style>
  <w:style w:type="character" w:styleId="Style23" w:customStyle="1">
    <w:name w:val="Выделенная цитата Знак"/>
    <w:qFormat/>
    <w:rPr>
      <w:rFonts w:ascii="Calibri" w:hAnsi="Calibri" w:eastAsia="Calibri"/>
      <w:b/>
      <w:bCs/>
      <w:i/>
      <w:iCs/>
      <w:color w:val="4F81BD"/>
      <w:lang w:val="x-none" w:eastAsia="x-none"/>
    </w:rPr>
  </w:style>
  <w:style w:type="character" w:styleId="21" w:customStyle="1">
    <w:name w:val="Цитата 2 Знак"/>
    <w:qFormat/>
    <w:rPr>
      <w:rFonts w:ascii="Calibri" w:hAnsi="Calibri" w:eastAsia="Calibri"/>
      <w:i/>
      <w:iCs/>
      <w:color w:val="000000"/>
      <w:lang w:val="x-none" w:eastAsia="x-none"/>
    </w:rPr>
  </w:style>
  <w:style w:type="character" w:styleId="Style24" w:customStyle="1">
    <w:name w:val="Подзаголовок Знак"/>
    <w:qFormat/>
    <w:rPr>
      <w:rFonts w:ascii="Cambria" w:hAnsi="Cambria"/>
      <w:i/>
      <w:iCs/>
      <w:color w:val="4F81BD"/>
      <w:spacing w:val="15"/>
      <w:sz w:val="24"/>
      <w:szCs w:val="24"/>
      <w:lang w:val="x-none" w:eastAsia="x-none"/>
    </w:rPr>
  </w:style>
  <w:style w:type="character" w:styleId="Style25" w:customStyle="1">
    <w:name w:val="Название Знак"/>
    <w:qFormat/>
    <w:rPr>
      <w:sz w:val="28"/>
    </w:rPr>
  </w:style>
  <w:style w:type="character" w:styleId="9" w:customStyle="1">
    <w:name w:val="Заголовок 9 Знак"/>
    <w:qFormat/>
    <w:rPr>
      <w:rFonts w:ascii="Arial" w:hAnsi="Arial" w:cs="Arial"/>
      <w:sz w:val="22"/>
      <w:szCs w:val="22"/>
    </w:rPr>
  </w:style>
  <w:style w:type="character" w:styleId="5" w:customStyle="1">
    <w:name w:val="Заголовок 5 Знак"/>
    <w:qFormat/>
    <w:rPr>
      <w:b/>
      <w:bCs/>
      <w:i/>
      <w:iCs/>
      <w:sz w:val="26"/>
      <w:szCs w:val="26"/>
    </w:rPr>
  </w:style>
  <w:style w:type="character" w:styleId="4" w:customStyle="1">
    <w:name w:val="Заголовок 4 Знак"/>
    <w:qFormat/>
    <w:rPr>
      <w:rFonts w:eastAsia="Calibri"/>
      <w:b/>
      <w:bCs/>
      <w:sz w:val="24"/>
      <w:szCs w:val="24"/>
      <w:lang w:val="x-none" w:eastAsia="x-none"/>
    </w:rPr>
  </w:style>
  <w:style w:type="character" w:styleId="22" w:customStyle="1">
    <w:name w:val="Заголовок 2 Знак"/>
    <w:qFormat/>
    <w:rPr>
      <w:rFonts w:eastAsia="Calibri"/>
      <w:b/>
      <w:bCs/>
      <w:sz w:val="24"/>
      <w:szCs w:val="24"/>
      <w:lang w:val="x-none" w:eastAsia="x-none"/>
    </w:rPr>
  </w:style>
  <w:style w:type="character" w:styleId="13" w:customStyle="1">
    <w:name w:val="Заголовок 1 Знак"/>
    <w:qFormat/>
    <w:rPr>
      <w:rFonts w:eastAsia="Calibri"/>
      <w:b/>
      <w:sz w:val="28"/>
      <w:szCs w:val="28"/>
      <w:lang w:val="x-none" w:eastAsia="x-none"/>
    </w:rPr>
  </w:style>
  <w:style w:type="character" w:styleId="8" w:customStyle="1">
    <w:name w:val="Заголовок 8 Знак"/>
    <w:qFormat/>
    <w:rPr>
      <w:rFonts w:ascii="Cambria" w:hAnsi="Cambria"/>
      <w:color w:val="4F81BD"/>
      <w:lang w:val="x-none" w:eastAsia="x-none"/>
    </w:rPr>
  </w:style>
  <w:style w:type="character" w:styleId="7" w:customStyle="1">
    <w:name w:val="Заголовок 7 Знак"/>
    <w:qFormat/>
    <w:rPr>
      <w:rFonts w:ascii="Cambria" w:hAnsi="Cambria"/>
      <w:i/>
      <w:iCs/>
      <w:color w:val="404040"/>
      <w:lang w:val="x-none" w:eastAsia="x-none"/>
    </w:rPr>
  </w:style>
  <w:style w:type="character" w:styleId="6" w:customStyle="1">
    <w:name w:val="Заголовок 6 Знак"/>
    <w:qFormat/>
    <w:rPr>
      <w:rFonts w:ascii="Cambria" w:hAnsi="Cambria"/>
      <w:i/>
      <w:iCs/>
      <w:color w:val="243F60"/>
      <w:lang w:val="x-none" w:eastAsia="x-none"/>
    </w:rPr>
  </w:style>
  <w:style w:type="character" w:styleId="Strong">
    <w:name w:val="Strong"/>
    <w:qFormat/>
    <w:rPr>
      <w:b/>
      <w:bCs/>
    </w:rPr>
  </w:style>
  <w:style w:type="paragraph" w:styleId="Style2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7">
    <w:name w:val="Указатель"/>
    <w:basedOn w:val="Normal"/>
    <w:qFormat/>
    <w:pPr>
      <w:suppressLineNumbers/>
    </w:pPr>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Style28"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9"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30"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31"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32"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33" w:customStyle="1">
    <w:name w:val="Пункт договора"/>
    <w:basedOn w:val="Normal"/>
    <w:qFormat/>
    <w:rsid w:val="00e65842"/>
    <w:pPr>
      <w:jc w:val="both"/>
    </w:pPr>
    <w:rPr>
      <w:rFonts w:ascii="Arial" w:hAnsi="Arial"/>
    </w:rPr>
  </w:style>
  <w:style w:type="paragraph" w:styleId="14"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5"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FORMATTEXT" w:customStyle="1">
    <w:name w:val=".FORMATTEXT"/>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6" w:customStyle="1">
    <w:name w:val="УРОВЕНЬ_1."/>
    <w:qFormat/>
    <w:pPr>
      <w:keepNext w:val="true"/>
      <w:keepLines/>
      <w:widowControl/>
      <w:suppressAutoHyphens w:val="true"/>
      <w:bidi w:val="0"/>
      <w:spacing w:lineRule="auto" w:line="276" w:before="240" w:after="120"/>
      <w:jc w:val="both"/>
    </w:pPr>
    <w:rPr>
      <w:rFonts w:ascii="Times New Roman" w:hAnsi="Times New Roman" w:eastAsia="Calibri" w:cs="Times New Roman"/>
      <w:caps/>
      <w:color w:val="auto"/>
      <w:kern w:val="0"/>
      <w:sz w:val="20"/>
      <w:szCs w:val="20"/>
      <w:lang w:val="ru-RU" w:eastAsia="en-US" w:bidi="ar-SA"/>
    </w:rPr>
  </w:style>
  <w:style w:type="paragraph" w:styleId="NormalWeb">
    <w:name w:val="Normal (Web)"/>
    <w:basedOn w:val="Normal"/>
    <w:qFormat/>
    <w:pPr>
      <w:spacing w:beforeAutospacing="1" w:afterAutospacing="1"/>
    </w:pPr>
    <w:rPr>
      <w:sz w:val="24"/>
      <w:szCs w:val="24"/>
    </w:rPr>
  </w:style>
  <w:style w:type="paragraph" w:styleId="Style34" w:customStyle="1">
    <w:name w:val="Таблица текст"/>
    <w:basedOn w:val="Normal"/>
    <w:qFormat/>
    <w:pPr>
      <w:spacing w:before="40" w:after="40"/>
      <w:ind w:left="57" w:right="57" w:hanging="0"/>
    </w:pPr>
    <w:rPr>
      <w:sz w:val="24"/>
      <w:szCs w:val="26"/>
    </w:rPr>
  </w:style>
  <w:style w:type="paragraph" w:styleId="23" w:customStyle="1">
    <w:name w:val="Заголовок 2 КВВ"/>
    <w:basedOn w:val="Normal"/>
    <w:qFormat/>
    <w:pPr>
      <w:keepNext w:val="true"/>
      <w:spacing w:before="120" w:after="120"/>
      <w:jc w:val="both"/>
    </w:pPr>
    <w:rPr>
      <w:b/>
      <w:kern w:val="2"/>
      <w:sz w:val="24"/>
      <w:lang w:eastAsia="x-none"/>
    </w:rPr>
  </w:style>
  <w:style w:type="paragraph" w:styleId="17" w:customStyle="1">
    <w:name w:val="Стиль Заголовок 1 + по ширине"/>
    <w:basedOn w:val="Heading1"/>
    <w:qFormat/>
    <w:pPr>
      <w:keepLines/>
      <w:tabs>
        <w:tab w:val="clear" w:pos="709"/>
        <w:tab w:val="left" w:pos="567" w:leader="none"/>
      </w:tabs>
      <w:spacing w:before="480" w:after="240"/>
      <w:ind w:left="567" w:hanging="567"/>
      <w:jc w:val="both"/>
    </w:pPr>
    <w:rPr>
      <w:rFonts w:cs="0"/>
      <w:sz w:val="40"/>
      <w:szCs w:val="20"/>
    </w:rPr>
  </w:style>
  <w:style w:type="paragraph" w:styleId="Style35" w:customStyle="1">
    <w:name w:val="УРОВЕНЬ_Подпись"/>
    <w:qFormat/>
    <w:pPr>
      <w:keepNext w:val="true"/>
      <w:widowControl/>
      <w:suppressAutoHyphens w:val="true"/>
      <w:bidi w:val="0"/>
      <w:spacing w:lineRule="exact" w:line="360" w:before="120" w:after="120"/>
      <w:ind w:left="720" w:hanging="0"/>
      <w:jc w:val="right"/>
    </w:pPr>
    <w:rPr>
      <w:rFonts w:ascii="Times New Roman" w:hAnsi="Times New Roman" w:eastAsia="Calibri" w:cs="Times New Roman"/>
      <w:color w:val="auto"/>
      <w:kern w:val="0"/>
      <w:sz w:val="26"/>
      <w:szCs w:val="20"/>
      <w:lang w:val="ru-RU" w:eastAsia="en-US" w:bidi="ar-SA"/>
    </w:rPr>
  </w:style>
  <w:style w:type="paragraph" w:styleId="34" w:customStyle="1">
    <w:name w:val="УРОВЕНЬ_Абзац_тип3"/>
    <w:qFormat/>
    <w:pPr>
      <w:widowControl/>
      <w:suppressAutoHyphens w:val="true"/>
      <w:bidi w:val="0"/>
      <w:spacing w:lineRule="exact" w:line="360" w:before="120" w:after="0"/>
      <w:ind w:left="720" w:hanging="0"/>
      <w:jc w:val="both"/>
    </w:pPr>
    <w:rPr>
      <w:rFonts w:ascii="Times New Roman" w:hAnsi="Times New Roman" w:eastAsia="Calibri" w:cs="Times New Roman"/>
      <w:color w:val="auto"/>
      <w:kern w:val="0"/>
      <w:sz w:val="26"/>
      <w:szCs w:val="20"/>
      <w:lang w:val="ru-RU" w:eastAsia="en-US" w:bidi="ar-SA"/>
    </w:rPr>
  </w:style>
  <w:style w:type="paragraph" w:styleId="24" w:customStyle="1">
    <w:name w:val="УРОВЕНЬ_Абзац_тип2"/>
    <w:qFormat/>
    <w:pPr>
      <w:widowControl/>
      <w:suppressAutoHyphens w:val="true"/>
      <w:bidi w:val="0"/>
      <w:spacing w:lineRule="exact" w:line="360" w:before="120" w:after="0"/>
      <w:ind w:left="720" w:hanging="0"/>
      <w:jc w:val="both"/>
    </w:pPr>
    <w:rPr>
      <w:rFonts w:ascii="Times New Roman" w:hAnsi="Times New Roman" w:eastAsia="Calibri" w:cs="Times New Roman"/>
      <w:color w:val="auto"/>
      <w:kern w:val="0"/>
      <w:sz w:val="26"/>
      <w:szCs w:val="20"/>
      <w:lang w:val="ru-RU" w:eastAsia="en-US" w:bidi="ar-SA"/>
    </w:rPr>
  </w:style>
  <w:style w:type="paragraph" w:styleId="-1" w:customStyle="1">
    <w:name w:val="УРОВЕНЬ_-"/>
    <w:qFormat/>
    <w:pPr>
      <w:widowControl/>
      <w:suppressAutoHyphens w:val="true"/>
      <w:bidi w:val="0"/>
      <w:spacing w:lineRule="exact" w:line="360" w:before="120" w:after="0"/>
      <w:ind w:left="720" w:hanging="0"/>
      <w:jc w:val="both"/>
    </w:pPr>
    <w:rPr>
      <w:rFonts w:ascii="Times New Roman" w:hAnsi="Times New Roman" w:eastAsia="Calibri" w:cs="Times New Roman"/>
      <w:color w:val="auto"/>
      <w:kern w:val="0"/>
      <w:sz w:val="26"/>
      <w:szCs w:val="20"/>
      <w:lang w:val="ru-RU" w:eastAsia="en-US" w:bidi="ar-SA"/>
    </w:rPr>
  </w:style>
  <w:style w:type="paragraph" w:styleId="Style36" w:customStyle="1">
    <w:name w:val="УРОВЕНЬ_(а)"/>
    <w:qFormat/>
    <w:pPr>
      <w:widowControl/>
      <w:suppressAutoHyphens w:val="true"/>
      <w:bidi w:val="0"/>
      <w:spacing w:lineRule="exact" w:line="360" w:before="120" w:after="0"/>
      <w:ind w:left="720" w:hanging="0"/>
      <w:jc w:val="both"/>
    </w:pPr>
    <w:rPr>
      <w:rFonts w:ascii="Times New Roman" w:hAnsi="Times New Roman" w:eastAsia="Calibri" w:cs="Times New Roman"/>
      <w:color w:val="auto"/>
      <w:kern w:val="0"/>
      <w:sz w:val="26"/>
      <w:szCs w:val="20"/>
      <w:lang w:val="ru-RU" w:eastAsia="en-US" w:bidi="ar-SA"/>
    </w:rPr>
  </w:style>
  <w:style w:type="paragraph" w:styleId="Style37" w:customStyle="1">
    <w:name w:val="Подподпункт"/>
    <w:qFormat/>
    <w:pPr>
      <w:widowControl/>
      <w:tabs>
        <w:tab w:val="clear" w:pos="709"/>
        <w:tab w:val="left" w:pos="5104" w:leader="none"/>
      </w:tabs>
      <w:suppressAutoHyphens w:val="true"/>
      <w:bidi w:val="0"/>
      <w:spacing w:before="120" w:after="0"/>
      <w:ind w:left="5104" w:hanging="567"/>
      <w:jc w:val="both"/>
    </w:pPr>
    <w:rPr>
      <w:rFonts w:ascii="Times New Roman" w:hAnsi="Times New Roman" w:eastAsia="Times New Roman" w:cs="Times New Roman"/>
      <w:color w:val="auto"/>
      <w:kern w:val="0"/>
      <w:sz w:val="26"/>
      <w:szCs w:val="26"/>
      <w:lang w:val="ru-RU" w:eastAsia="ru-RU" w:bidi="ar-SA"/>
    </w:rPr>
  </w:style>
  <w:style w:type="paragraph" w:styleId="Style38" w:customStyle="1">
    <w:name w:val="Таблица шапка"/>
    <w:basedOn w:val="Normal"/>
    <w:qFormat/>
    <w:pPr>
      <w:keepNext w:val="true"/>
      <w:spacing w:before="40" w:after="40"/>
      <w:ind w:left="57" w:right="57" w:hanging="0"/>
    </w:pPr>
    <w:rPr>
      <w:sz w:val="22"/>
      <w:szCs w:val="26"/>
    </w:rPr>
  </w:style>
  <w:style w:type="paragraph" w:styleId="18" w:customStyle="1">
    <w:name w:val="Абзац списка1"/>
    <w:basedOn w:val="Normal"/>
    <w:qFormat/>
    <w:pPr>
      <w:spacing w:lineRule="auto" w:line="276" w:before="0" w:after="200"/>
      <w:ind w:left="720" w:hanging="0"/>
      <w:contextualSpacing/>
    </w:pPr>
    <w:rPr>
      <w:rFonts w:ascii="Calibri" w:hAnsi="Calibri"/>
      <w:sz w:val="22"/>
      <w:szCs w:val="22"/>
      <w:lang w:eastAsia="en-US"/>
    </w:rPr>
  </w:style>
  <w:style w:type="paragraph" w:styleId="Style39" w:customStyle="1">
    <w:name w:val="Пункт"/>
    <w:basedOn w:val="Normal"/>
    <w:qFormat/>
    <w:pPr>
      <w:tabs>
        <w:tab w:val="clear" w:pos="709"/>
        <w:tab w:val="left" w:pos="1134" w:leader="none"/>
      </w:tabs>
      <w:spacing w:lineRule="auto" w:line="360" w:before="120" w:after="0"/>
      <w:ind w:left="1134" w:right="800" w:hanging="1134"/>
      <w:jc w:val="both"/>
    </w:pPr>
    <w:rPr>
      <w:rFonts w:ascii="Arial" w:hAnsi="Arial"/>
      <w:b/>
      <w:i/>
    </w:rPr>
  </w:style>
  <w:style w:type="paragraph" w:styleId="35" w:customStyle="1">
    <w:name w:val="Знак Знак3 Знак Знак"/>
    <w:basedOn w:val="Normal"/>
    <w:qFormat/>
    <w:pPr>
      <w:spacing w:lineRule="exact" w:line="240" w:before="0" w:after="160"/>
      <w:jc w:val="both"/>
    </w:pPr>
    <w:rPr>
      <w:rFonts w:ascii="Verdana" w:hAnsi="Verdana" w:cs="Verdana"/>
      <w:sz w:val="22"/>
      <w:szCs w:val="22"/>
      <w:lang w:val="en-US" w:eastAsia="en-US"/>
    </w:rPr>
  </w:style>
  <w:style w:type="paragraph" w:styleId="25" w:customStyle="1">
    <w:name w:val="Нумерованный список ур2"/>
    <w:basedOn w:val="Normal"/>
    <w:qFormat/>
    <w:pPr>
      <w:spacing w:before="120" w:after="0"/>
      <w:jc w:val="both"/>
    </w:pPr>
    <w:rPr>
      <w:rFonts w:ascii="Garamond" w:hAnsi="Garamond"/>
      <w:sz w:val="24"/>
    </w:rPr>
  </w:style>
  <w:style w:type="paragraph" w:styleId="ListBullet4">
    <w:name w:val="List Bullet 4"/>
    <w:basedOn w:val="Normal"/>
    <w:qFormat/>
    <w:pPr>
      <w:spacing w:before="120" w:after="0"/>
      <w:jc w:val="both"/>
    </w:pPr>
    <w:rPr>
      <w:rFonts w:ascii="Garamond" w:hAnsi="Garamond"/>
      <w:sz w:val="24"/>
    </w:rPr>
  </w:style>
  <w:style w:type="paragraph" w:styleId="36" w:customStyle="1">
    <w:name w:val="Нумерованный список ур3"/>
    <w:basedOn w:val="Normal"/>
    <w:qFormat/>
    <w:pPr>
      <w:jc w:val="both"/>
    </w:pPr>
    <w:rPr>
      <w:rFonts w:ascii="Garamond" w:hAnsi="Garamond"/>
      <w:sz w:val="24"/>
    </w:rPr>
  </w:style>
  <w:style w:type="paragraph" w:styleId="E-mailSignature">
    <w:name w:val="E-mail Signature"/>
    <w:basedOn w:val="Normal"/>
    <w:qFormat/>
    <w:pPr/>
    <w:rPr>
      <w:rFonts w:eastAsia="Calibri"/>
      <w:sz w:val="24"/>
      <w:szCs w:val="24"/>
      <w:lang w:val="x-none" w:eastAsia="x-none"/>
    </w:rPr>
  </w:style>
  <w:style w:type="paragraph" w:styleId="IntenseQuote">
    <w:name w:val="Intense Quote"/>
    <w:basedOn w:val="Normal"/>
    <w:next w:val="Normal"/>
    <w:qFormat/>
    <w:pPr>
      <w:pBdr>
        <w:bottom w:val="single" w:sz="4" w:space="4" w:color="4F81BD"/>
      </w:pBdr>
      <w:spacing w:before="200" w:after="280"/>
      <w:ind w:left="936" w:right="936" w:hanging="0"/>
    </w:pPr>
    <w:rPr>
      <w:rFonts w:ascii="Calibri" w:hAnsi="Calibri" w:eastAsia="Calibri"/>
      <w:b/>
      <w:bCs/>
      <w:i/>
      <w:iCs/>
      <w:color w:val="4F81BD"/>
      <w:lang w:val="x-none" w:eastAsia="x-none"/>
    </w:rPr>
  </w:style>
  <w:style w:type="paragraph" w:styleId="Quote">
    <w:name w:val="Quote"/>
    <w:basedOn w:val="Normal"/>
    <w:next w:val="Normal"/>
    <w:qFormat/>
    <w:pPr/>
    <w:rPr>
      <w:rFonts w:ascii="Calibri" w:hAnsi="Calibri" w:eastAsia="Calibri"/>
      <w:i/>
      <w:iCs/>
      <w:color w:val="000000"/>
      <w:lang w:val="x-none" w:eastAsia="x-none"/>
    </w:rPr>
  </w:style>
  <w:style w:type="paragraph" w:styleId="Caption111" w:customStyle="1">
    <w:name w:val="caption111"/>
    <w:basedOn w:val="Normal"/>
    <w:next w:val="Normal"/>
    <w:qFormat/>
    <w:pPr/>
    <w:rPr>
      <w:rFonts w:eastAsia="Calibri"/>
      <w:b/>
      <w:bCs/>
      <w:color w:val="4F81BD"/>
      <w:sz w:val="18"/>
      <w:szCs w:val="18"/>
    </w:rPr>
  </w:style>
  <w:style w:type="paragraph" w:styleId="NoSpacing">
    <w:name w:val="No Spacing"/>
    <w:basedOn w:val="Normal"/>
    <w:qFormat/>
    <w:pPr>
      <w:spacing w:lineRule="auto" w:line="360"/>
    </w:pPr>
    <w:rPr>
      <w:rFonts w:eastAsia="Calibri"/>
      <w:sz w:val="24"/>
      <w:szCs w:val="24"/>
    </w:rPr>
  </w:style>
  <w:style w:type="paragraph" w:styleId="26" w:customStyle="1">
    <w:name w:val="Раздел положения 2"/>
    <w:basedOn w:val="Normal"/>
    <w:qFormat/>
    <w:pPr>
      <w:jc w:val="both"/>
    </w:pPr>
    <w:rPr>
      <w:b/>
    </w:rPr>
  </w:style>
  <w:style w:type="paragraph" w:styleId="19" w:customStyle="1">
    <w:name w:val="Обычный (веб)1"/>
    <w:basedOn w:val="Normal"/>
    <w:qFormat/>
    <w:pPr>
      <w:spacing w:beforeAutospacing="1" w:afterAutospacing="1"/>
    </w:pPr>
    <w:rPr>
      <w:rFonts w:ascii="Arial Unicode MS" w:hAnsi="Arial Unicode MS" w:eastAsia="Arial Unicode MS" w:cs="Arial Unicode MS"/>
      <w:sz w:val="24"/>
      <w:szCs w:val="24"/>
    </w:rPr>
  </w:style>
  <w:style w:type="paragraph" w:styleId="Style40" w:customStyle="1">
    <w:name w:val="Приложение к регламенту"/>
    <w:basedOn w:val="Normal"/>
    <w:qFormat/>
    <w:pPr>
      <w:jc w:val="right"/>
    </w:pPr>
    <w:rPr/>
  </w:style>
  <w:style w:type="paragraph" w:styleId="Style41" w:customStyle="1">
    <w:name w:val="Раздел регламента"/>
    <w:basedOn w:val="Normal"/>
    <w:qFormat/>
    <w:pPr/>
    <w:rPr/>
  </w:style>
  <w:style w:type="paragraph" w:styleId="27" w:customStyle="1">
    <w:name w:val="Пункт2"/>
    <w:basedOn w:val="Normal"/>
    <w:qFormat/>
    <w:pPr>
      <w:keepNext w:val="true"/>
      <w:tabs>
        <w:tab w:val="clear" w:pos="709"/>
        <w:tab w:val="left" w:pos="1134" w:leader="none"/>
      </w:tabs>
      <w:spacing w:before="240" w:after="120"/>
      <w:ind w:left="1134" w:hanging="1134"/>
    </w:pPr>
    <w:rPr>
      <w:b/>
    </w:rPr>
  </w:style>
  <w:style w:type="paragraph" w:styleId="Style42" w:customStyle="1">
    <w:name w:val="Подпункт"/>
    <w:basedOn w:val="Normal"/>
    <w:qFormat/>
    <w:pPr>
      <w:tabs>
        <w:tab w:val="clear" w:pos="709"/>
        <w:tab w:val="left" w:pos="1134" w:leader="none"/>
      </w:tabs>
      <w:spacing w:lineRule="auto" w:line="360"/>
      <w:ind w:left="1134" w:hanging="1134"/>
      <w:jc w:val="both"/>
    </w:pPr>
    <w:rPr>
      <w:lang w:val="x-none" w:eastAsia="x-none"/>
    </w:rPr>
  </w:style>
  <w:style w:type="paragraph" w:styleId="BlockText">
    <w:name w:val="Block Text"/>
    <w:basedOn w:val="Normal"/>
    <w:qFormat/>
    <w:pPr>
      <w:ind w:left="-567" w:right="-766" w:hanging="0"/>
      <w:jc w:val="center"/>
    </w:pPr>
    <w:rPr>
      <w:b/>
      <w:bCs/>
      <w:sz w:val="24"/>
    </w:rPr>
  </w:style>
  <w:style w:type="paragraph" w:styleId="BodyTextIndent3">
    <w:name w:val="Body Text Indent 3"/>
    <w:basedOn w:val="Normal"/>
    <w:qFormat/>
    <w:pPr>
      <w:spacing w:before="0" w:after="120"/>
      <w:ind w:left="283" w:hanging="0"/>
    </w:pPr>
    <w:rPr>
      <w:sz w:val="16"/>
      <w:szCs w:val="16"/>
    </w:rPr>
  </w:style>
  <w:style w:type="paragraph" w:styleId="110" w:customStyle="1">
    <w:name w:val="Название1"/>
    <w:basedOn w:val="Normal"/>
    <w:qFormat/>
    <w:pPr>
      <w:jc w:val="center"/>
    </w:pPr>
    <w:rPr>
      <w:lang w:val="x-none" w:eastAsia="x-none"/>
    </w:rPr>
  </w:style>
  <w:style w:type="paragraph" w:styleId="37" w:customStyle="1">
    <w:name w:val="Шапка 3"/>
    <w:basedOn w:val="Normal"/>
    <w:qFormat/>
    <w:pPr>
      <w:pBdr>
        <w:bottom w:val="thickThinSmallGap" w:sz="24" w:space="1" w:color="000000"/>
      </w:pBdr>
      <w:spacing w:before="240" w:after="360"/>
      <w:jc w:val="center"/>
    </w:pPr>
    <w:rPr>
      <w:b/>
      <w:sz w:val="24"/>
      <w:szCs w:val="24"/>
    </w:rPr>
  </w:style>
  <w:style w:type="paragraph" w:styleId="28" w:customStyle="1">
    <w:name w:val="Шапка 2"/>
    <w:basedOn w:val="Normal"/>
    <w:qFormat/>
    <w:pPr>
      <w:pBdr>
        <w:bottom w:val="thickThinSmallGap" w:sz="24" w:space="1" w:color="000000"/>
      </w:pBdr>
      <w:spacing w:before="0" w:after="120"/>
      <w:jc w:val="center"/>
    </w:pPr>
    <w:rPr>
      <w:b/>
      <w:sz w:val="22"/>
      <w:szCs w:val="22"/>
    </w:rPr>
  </w:style>
  <w:style w:type="paragraph" w:styleId="111" w:customStyle="1">
    <w:name w:val="Шапка 1"/>
    <w:basedOn w:val="Normal"/>
    <w:qFormat/>
    <w:pPr>
      <w:pBdr>
        <w:bottom w:val="thickThinSmallGap" w:sz="24" w:space="1" w:color="000000"/>
      </w:pBdr>
      <w:spacing w:before="0" w:after="240"/>
      <w:jc w:val="center"/>
    </w:pPr>
    <w:rPr>
      <w:sz w:val="22"/>
      <w:szCs w:val="22"/>
    </w:rPr>
  </w:style>
  <w:style w:type="paragraph" w:styleId="Style43" w:customStyle="1">
    <w:name w:val="Подраздел раздела положения"/>
    <w:basedOn w:val="Normal"/>
    <w:qFormat/>
    <w:pPr>
      <w:spacing w:before="80" w:after="80"/>
      <w:jc w:val="both"/>
    </w:pPr>
    <w:rPr/>
  </w:style>
  <w:style w:type="paragraph" w:styleId="Style44" w:customStyle="1">
    <w:name w:val="Раздел положения"/>
    <w:basedOn w:val="Normal"/>
    <w:qFormat/>
    <w:pPr>
      <w:spacing w:before="80" w:after="80"/>
      <w:jc w:val="center"/>
    </w:pPr>
    <w:rPr>
      <w:b/>
      <w:sz w:val="32"/>
      <w:szCs w:val="32"/>
    </w:rPr>
  </w:style>
  <w:style w:type="paragraph" w:styleId="Style45" w:customStyle="1">
    <w:name w:val="Название раздела инструкции"/>
    <w:basedOn w:val="Normal"/>
    <w:qFormat/>
    <w:pPr>
      <w:jc w:val="center"/>
    </w:pPr>
    <w:rPr>
      <w:b/>
    </w:rPr>
  </w:style>
  <w:style w:type="paragraph" w:styleId="Style46" w:customStyle="1">
    <w:name w:val="Содержимое таблицы"/>
    <w:basedOn w:val="Normal"/>
    <w:qFormat/>
    <w:pPr>
      <w:suppressLineNumbers/>
    </w:pPr>
    <w:rPr/>
  </w:style>
  <w:style w:type="paragraph" w:styleId="Style47" w:customStyle="1">
    <w:name w:val="Заголовок таблицы"/>
    <w:basedOn w:val="Style46"/>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fa">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71FBA-4B8F-434E-8C1D-99C345D51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1A0BABE-0A9B-48D2-BF3A-C70ADC7EB2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5D81F9-2A9F-46C0-BAF8-01115F1757D3}">
  <ds:schemaRefs>
    <ds:schemaRef ds:uri="http://schemas.microsoft.com/sharepoint/v3/contenttype/forms"/>
  </ds:schemaRefs>
</ds:datastoreItem>
</file>

<file path=customXml/itemProps4.xml><?xml version="1.0" encoding="utf-8"?>
<ds:datastoreItem xmlns:ds="http://schemas.openxmlformats.org/officeDocument/2006/customXml" ds:itemID="{DC68507F-4997-442E-9022-756A89F8D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Application>AlterOffice/3.4.0.9$Linux_X86_64 LibreOffice_project/b8daf9e823b1a5463a2f48435ddc2e8696e7d4fc</Application>
  <AppVersion>15.0000</AppVersion>
  <Pages>19</Pages>
  <Words>6987</Words>
  <Characters>49358</Characters>
  <CharactersWithSpaces>55978</CharactersWithSpaces>
  <Paragraphs>321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2023-02-14T07:23:00Z</dcterms:created>
  <dc:creator>tsypilev_ag</dc:creator>
  <dc:description/>
  <dc:language>ru-RU</dc:language>
  <cp:lastModifiedBy>kovalchukvv@corp.gidroogk.com</cp:lastModifiedBy>
  <cp:lastPrinted>2024-05-02T10:51:00Z</cp:lastPrinted>
  <dcterms:modified xsi:type="dcterms:W3CDTF">2026-07-31T09:44:57Z</dcterms:modified>
  <cp:revision>48</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