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bookmarkStart w:id="0" w:name="_GoBack"/>
      <w:bookmarkEnd w:id="0"/>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гпт. Богородское</w:t>
      </w:r>
      <w:bookmarkStart w:id="1" w:name="OLE_LINK2"/>
      <w:bookmarkStart w:id="2" w:name="OLE_LINK1"/>
      <w:r>
        <w:rPr>
          <w:lang w:val="ru-RU"/>
        </w:rPr>
        <w:tab/>
        <w:tab/>
        <w:tab/>
        <w:tab/>
        <w:tab/>
        <w:tab/>
        <w:tab/>
      </w:r>
      <w:bookmarkEnd w:id="1"/>
      <w:bookmarkEnd w:id="2"/>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_____________________,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неконкурентной процедуры по лоту №_________</w:t>
      </w:r>
      <w:r>
        <w:rPr>
          <w:bCs/>
          <w:sz w:val="24"/>
          <w:szCs w:val="24"/>
          <w:highlight w:val="lightGray"/>
          <w:lang w:val="ru-RU"/>
        </w:rPr>
        <w:t>,</w:t>
      </w:r>
      <w:r>
        <w:rPr>
          <w:rFonts w:eastAsia="Times New Roman" w:cs="Times New Roman"/>
          <w:bCs/>
          <w:color w:val="auto"/>
          <w:kern w:val="0"/>
          <w:sz w:val="24"/>
          <w:szCs w:val="24"/>
          <w:lang w:val="ru-RU" w:eastAsia="ru-RU" w:bidi="ar-SA"/>
        </w:rPr>
        <w:t xml:space="preserve"> 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false"/>
          <w:color w:val="000000"/>
          <w:lang w:val="ru-RU" w:eastAsia="en-US"/>
        </w:rPr>
        <w:t>–</w:t>
      </w:r>
      <w:r>
        <w:rPr>
          <w:rFonts w:ascii="Times New Roman" w:hAnsi="Times New Roman"/>
          <w:color w:val="000000"/>
          <w:lang w:val="ru-RU" w:eastAsia="en-US"/>
        </w:rPr>
        <w:t xml:space="preserve"> </w:t>
      </w:r>
      <w:r>
        <w:rPr>
          <w:rFonts w:ascii="Times New Roman" w:hAnsi="Times New Roman"/>
          <w:b w:val="false"/>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lang w:val="ru-RU" w:eastAsia="en-US"/>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Normal"/>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капитальному ремонту дизельного двигателя Perkins 1104D-E44TA для нужд Загорского строительного участка Центрального филиала АО "ТК РусГидро"</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Загорского строительного участка Центрального филиала АО "ТК РусГидро"</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Станция</w:t>
      </w:r>
      <w:r>
        <w:rPr>
          <w:highlight w:val="lightGray"/>
        </w:rPr>
        <w:t xml:space="preserve"> технического обслуживания исполнителя, находящаяся не далее 120 км по дорогам общего пользования от пгт. Богородское, Сергиево-Посадского г.о. Московской области. </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С даты подписания договора.</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 Не позднее 30 календарных дней с даты подписания договора.</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pPr>
      <w:bookmarkStart w:id="3" w:name="_Ref361320734"/>
      <w:r>
        <w:rPr>
          <w:highlight w:val="lightGray"/>
        </w:rPr>
        <w:t>Указанная документация и информация предоставляются Заказчиком Исполнителю не позднее 2 (двух)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3"/>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shd w:val="clear" w:color="auto" w:fill="FFFFFF"/>
        <w:tabs>
          <w:tab w:val="clear" w:pos="709"/>
          <w:tab w:val="left" w:pos="1418" w:leader="none"/>
        </w:tabs>
        <w:ind w:left="0" w:firstLine="709"/>
        <w:jc w:val="both"/>
        <w:rPr>
          <w:bCs/>
        </w:rPr>
      </w:pPr>
      <w:bookmarkStart w:id="4" w:name="_Ref361334602"/>
      <w:r>
        <w:rPr>
          <w:bCs/>
        </w:rPr>
        <w:t xml:space="preserve">В любое время осуществлять контроль и надзор за ходом и качеством оказания Исполнителем </w:t>
      </w:r>
      <w:r>
        <w:rPr>
          <w:bCs/>
          <w:highlight w:val="lightGray"/>
        </w:rPr>
        <w:t>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4"/>
    </w:p>
    <w:p>
      <w:pPr>
        <w:pStyle w:val="ListParagraph"/>
        <w:numPr>
          <w:ilvl w:val="2"/>
          <w:numId w:val="14"/>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rPr/>
        <w:t>, установленных Договором, и не влечет возникновения права Исполнителя на их оплату.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5"/>
    </w:p>
    <w:p>
      <w:pPr>
        <w:pStyle w:val="ListParagraph"/>
        <w:numPr>
          <w:ilvl w:val="2"/>
          <w:numId w:val="14"/>
        </w:numPr>
        <w:shd w:val="clear" w:color="auto" w:fill="FFFFFF"/>
        <w:tabs>
          <w:tab w:val="clear" w:pos="709"/>
          <w:tab w:val="left" w:pos="1418" w:leader="none"/>
        </w:tabs>
        <w:ind w:left="0" w:firstLine="709"/>
        <w:jc w:val="both"/>
        <w:rPr/>
      </w:pPr>
      <w:bookmarkStart w:id="6"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9"/>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2 (двух)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14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4"/>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4"/>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4"/>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9"/>
          <w:tab w:val="left" w:pos="1418" w:leader="none"/>
        </w:tabs>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rPr/>
        <w:t xml:space="preserve"> </w:t>
      </w:r>
      <w:r>
        <w:rPr>
          <w:highlight w:val="lightGray"/>
        </w:rPr>
        <w:t>привлеченными им Субисполнителями</w:t>
      </w:r>
      <w:r>
        <w:rPr/>
        <w:t xml:space="preserve">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4"/>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shd w:val="clear" w:color="auto" w:fill="FFFFFF"/>
        <w:tabs>
          <w:tab w:val="clear" w:pos="709"/>
          <w:tab w:val="left" w:pos="1418" w:leader="none"/>
        </w:tabs>
        <w:ind w:left="0" w:firstLine="709"/>
        <w:jc w:val="both"/>
        <w:rPr/>
      </w:pPr>
      <w:r>
        <w:rPr>
          <w:highlight w:val="lightGray"/>
        </w:rPr>
        <w:t>До даты окончания оказания Услуг обеспечить за свой счет исполнение обязанностей в области обращения с Отходами, в том числе:</w:t>
      </w:r>
    </w:p>
    <w:p>
      <w:pPr>
        <w:pStyle w:val="ListParagraph"/>
        <w:numPr>
          <w:ilvl w:val="3"/>
          <w:numId w:val="14"/>
        </w:numPr>
        <w:shd w:val="clear" w:color="auto" w:fill="FFFFFF"/>
        <w:tabs>
          <w:tab w:val="clear" w:pos="709"/>
          <w:tab w:val="left" w:pos="1418" w:leader="none"/>
        </w:tabs>
        <w:ind w:left="0" w:firstLine="709"/>
        <w:jc w:val="both"/>
        <w:rPr>
          <w:shd w:fill="C0C0C0" w:val="clear"/>
        </w:rPr>
      </w:pPr>
      <w:r>
        <w:rPr>
          <w:bCs/>
          <w:shd w:fill="C0C0C0" w:val="clear"/>
        </w:rPr>
        <w:t xml:space="preserve">Обеспечить за свой счет осуществление деятельности по сбору, накоплению, транспортированию, обработке, утилизации, обезвреживанию, </w:t>
      </w:r>
      <w:r>
        <w:rPr>
          <w:bCs/>
          <w:color w:val="000000"/>
          <w:shd w:fill="C0C0C0" w:val="clear"/>
        </w:rPr>
        <w:t>размещению</w:t>
      </w:r>
      <w:r>
        <w:rPr>
          <w:bCs/>
          <w:shd w:fill="C0C0C0" w:val="clear"/>
        </w:rPr>
        <w:t xml:space="preserve"> Отходов, а также внесение платы за негативное воздействие на окружающую среду (далее </w:t>
      </w:r>
      <w:r>
        <w:rPr>
          <w:bCs/>
          <w:shd w:fill="C0C0C0" w:val="clear"/>
          <w:lang w:eastAsia="en-US"/>
        </w:rPr>
        <w:t>–</w:t>
      </w:r>
      <w:r>
        <w:rPr>
          <w:bCs/>
          <w:shd w:fill="C0C0C0" w:val="clear"/>
        </w:rPr>
        <w:t xml:space="preserve"> НВОС) при размещении Отходов.</w:t>
      </w:r>
    </w:p>
    <w:p>
      <w:pPr>
        <w:pStyle w:val="ListParagraph"/>
        <w:numPr>
          <w:ilvl w:val="3"/>
          <w:numId w:val="14"/>
        </w:numPr>
        <w:shd w:val="clear" w:color="auto" w:fill="FFFFFF"/>
        <w:tabs>
          <w:tab w:val="clear" w:pos="709"/>
          <w:tab w:val="left" w:pos="1418" w:leader="none"/>
        </w:tabs>
        <w:ind w:left="0" w:firstLine="709"/>
        <w:jc w:val="both"/>
        <w:rPr>
          <w:shd w:fill="C0C0C0" w:val="clear"/>
        </w:rPr>
      </w:pPr>
      <w:r>
        <w:rPr>
          <w:shd w:fill="C0C0C0" w:val="clear"/>
        </w:rPr>
        <w:t xml:space="preserve">Обеспечить накопление </w:t>
      </w:r>
      <w:r>
        <w:rPr>
          <w:color w:val="000000"/>
          <w:shd w:fill="C0C0C0" w:val="clear"/>
        </w:rPr>
        <w:t>Отходов</w:t>
      </w:r>
      <w:r>
        <w:rPr>
          <w:shd w:fill="C0C0C0" w:val="clear"/>
        </w:rPr>
        <w:t xml:space="preserve"> в </w:t>
      </w:r>
      <w:r>
        <w:rPr>
          <w:color w:val="000000"/>
          <w:shd w:fill="C0C0C0" w:val="clear"/>
        </w:rPr>
        <w:t>местах</w:t>
      </w:r>
      <w:r>
        <w:rPr>
          <w:shd w:fill="C0C0C0" w:val="clear"/>
        </w:rPr>
        <w:t>, указанных или согласованных с Заказчиком.</w:t>
      </w:r>
    </w:p>
    <w:p>
      <w:pPr>
        <w:pStyle w:val="ListParagraph"/>
        <w:numPr>
          <w:ilvl w:val="3"/>
          <w:numId w:val="14"/>
        </w:numPr>
        <w:shd w:val="clear" w:color="auto" w:fill="FFFFFF"/>
        <w:tabs>
          <w:tab w:val="clear" w:pos="709"/>
          <w:tab w:val="left" w:pos="1418" w:leader="none"/>
        </w:tabs>
        <w:ind w:left="0" w:firstLine="709"/>
        <w:jc w:val="both"/>
        <w:rPr>
          <w:shd w:fill="C0C0C0" w:val="clear"/>
        </w:rPr>
      </w:pPr>
      <w:r>
        <w:rPr>
          <w:shd w:fill="C0C0C0" w:val="clear"/>
        </w:rPr>
        <w:t>Своевременно</w:t>
      </w:r>
      <w:r>
        <w:rPr>
          <w:rStyle w:val="FootnoteReference"/>
          <w:shd w:fill="C0C0C0" w:val="clear"/>
        </w:rPr>
        <w:footnoteReference w:id="2"/>
      </w:r>
      <w:r>
        <w:rPr>
          <w:shd w:fill="C0C0C0" w:val="clear"/>
        </w:rPr>
        <w:t xml:space="preserve"> транспортировать Отходы из мест накопления на объекты </w:t>
      </w:r>
      <w:r>
        <w:rPr>
          <w:color w:val="000000"/>
          <w:shd w:fill="C0C0C0" w:val="clear"/>
        </w:rPr>
        <w:t>сбора</w:t>
      </w:r>
      <w:r>
        <w:rPr>
          <w:shd w:fill="C0C0C0" w:val="clear"/>
        </w:rPr>
        <w:t xml:space="preserve">, обработки, </w:t>
      </w:r>
      <w:r>
        <w:rPr>
          <w:color w:val="000000"/>
          <w:shd w:fill="C0C0C0" w:val="clear"/>
        </w:rPr>
        <w:t>утилизации</w:t>
      </w:r>
      <w:r>
        <w:rPr>
          <w:shd w:fill="C0C0C0" w:val="clear"/>
        </w:rPr>
        <w:t>, обезвреживания, размещения Отходов в соответствии с соблюдением экологических требований, санитарно-</w:t>
      </w:r>
      <w:r>
        <w:rPr>
          <w:color w:val="000000"/>
          <w:shd w:fill="C0C0C0" w:val="clear"/>
        </w:rPr>
        <w:t>эпидемиологических</w:t>
      </w:r>
      <w:r>
        <w:rPr>
          <w:shd w:fill="C0C0C0" w:val="clear"/>
        </w:rPr>
        <w:t xml:space="preserve"> требований и иных требований, установленных законодательством </w:t>
      </w:r>
      <w:r>
        <w:rPr>
          <w:color w:val="000000"/>
          <w:shd w:fill="C0C0C0" w:val="clear"/>
        </w:rPr>
        <w:t>Российской</w:t>
      </w:r>
      <w:r>
        <w:rPr>
          <w:shd w:fill="C0C0C0" w:val="clear"/>
        </w:rPr>
        <w:t xml:space="preserve"> </w:t>
      </w:r>
      <w:r>
        <w:rPr>
          <w:color w:val="000000"/>
          <w:shd w:fill="C0C0C0" w:val="clear"/>
        </w:rPr>
        <w:t>Федерации об автомобильном, железнодорожном, воздушном, внутреннем водном и морском транспорте, а также требованиями, установленными локальными нормативными документами (актами) Заказчика в области обращения с Отходами на территории Заказчика.</w:t>
      </w:r>
    </w:p>
    <w:p>
      <w:pPr>
        <w:pStyle w:val="ListParagraph"/>
        <w:numPr>
          <w:ilvl w:val="3"/>
          <w:numId w:val="14"/>
        </w:numPr>
        <w:shd w:val="clear" w:color="auto" w:fill="FFFFFF"/>
        <w:tabs>
          <w:tab w:val="clear" w:pos="709"/>
          <w:tab w:val="left" w:pos="1418" w:leader="none"/>
        </w:tabs>
        <w:ind w:left="0" w:firstLine="709"/>
        <w:jc w:val="both"/>
        <w:rPr>
          <w:shd w:fill="C0C0C0" w:val="clear"/>
        </w:rPr>
      </w:pPr>
      <w:r>
        <w:rPr>
          <w:color w:val="000000"/>
          <w:shd w:fill="C0C0C0" w:val="clear"/>
        </w:rPr>
        <w:t>Предоставить Заказчику копию распорядительного документа о назначении лица, допущенного к сбору, транспортированию, обработке, утилизации, обезвреживанию, размещению Отходов и несущего ответственность за деятельность в области обращения с Отходами.</w:t>
      </w:r>
    </w:p>
    <w:p>
      <w:pPr>
        <w:pStyle w:val="ListParagraph"/>
        <w:numPr>
          <w:ilvl w:val="3"/>
          <w:numId w:val="14"/>
        </w:numPr>
        <w:shd w:val="clear" w:color="auto" w:fill="FFFFFF"/>
        <w:tabs>
          <w:tab w:val="clear" w:pos="709"/>
          <w:tab w:val="left" w:pos="1418" w:leader="none"/>
        </w:tabs>
        <w:ind w:left="0" w:firstLine="709"/>
        <w:jc w:val="both"/>
        <w:rPr>
          <w:shd w:fill="C0C0C0" w:val="clear"/>
        </w:rPr>
      </w:pPr>
      <w:r>
        <w:rPr>
          <w:color w:val="000000"/>
          <w:shd w:fill="C0C0C0" w:val="clear"/>
        </w:rPr>
        <w:t>В случае необходимости осуществления деятельности в области обращения с Отходами I-IV классов опасности иметь соответствующие допуски, разрешения и / или лицензии или привлечь третьих лиц, имеющих право выполнения работ / оказания услуг по обращению с Отходами I-IV классов опасности с включением расходов по договору выполнения работ / оказания услуг по обращению с Отходами I-IV классов опасности в Расчет стоимости Услуг, в том числе 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классов опасности. Исполнитель обязан предоставить Заказчику копию соответствующих допусков, разрешений, лицензии и / или свидетельств (сертификатов).</w:t>
      </w:r>
      <w:r>
        <w:rPr>
          <w:rStyle w:val="FootnoteReference"/>
          <w:color w:val="000000"/>
          <w:shd w:fill="C0C0C0" w:val="clear"/>
        </w:rPr>
        <w:footnoteReference w:id="3"/>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r>
    </w:p>
    <w:p>
      <w:pPr>
        <w:pStyle w:val="ListParagraph"/>
        <w:numPr>
          <w:ilvl w:val="2"/>
          <w:numId w:val="20"/>
        </w:numPr>
        <w:shd w:val="clear" w:color="auto" w:fill="FFFFFF"/>
        <w:tabs>
          <w:tab w:val="clear" w:pos="709"/>
          <w:tab w:val="left" w:pos="851" w:leader="none"/>
          <w:tab w:val="left" w:pos="1418" w:leader="none"/>
        </w:tabs>
        <w:ind w:left="0" w:firstLine="709"/>
        <w:jc w:val="both"/>
        <w:rPr>
          <w:highlight w:val="lightGray"/>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20"/>
        </w:numPr>
        <w:shd w:val="clear" w:color="auto" w:fill="FFFFFF"/>
        <w:tabs>
          <w:tab w:val="clear" w:pos="709"/>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20"/>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20"/>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0"/>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20"/>
        </w:numPr>
        <w:shd w:val="clear" w:color="auto" w:fill="FFFFFF"/>
        <w:tabs>
          <w:tab w:val="clear" w:pos="709"/>
          <w:tab w:val="left" w:pos="1134" w:leader="none"/>
        </w:tabs>
        <w:ind w:left="0" w:firstLine="709"/>
        <w:jc w:val="both"/>
        <w:rPr/>
      </w:pPr>
      <w:r>
        <w:rPr>
          <w:u w:val="single"/>
        </w:rPr>
        <w:t>Исполнитель имеет право</w:t>
      </w:r>
      <w:r>
        <w:rPr/>
        <w:t>:</w:t>
      </w:r>
    </w:p>
    <w:p>
      <w:pPr>
        <w:pStyle w:val="ListParagraph"/>
        <w:numPr>
          <w:ilvl w:val="2"/>
          <w:numId w:val="21"/>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1"/>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1"/>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21"/>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4"/>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30"/>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9"/>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3"/>
          <w:numId w:val="21"/>
        </w:numPr>
        <w:ind w:left="0" w:firstLine="709"/>
        <w:jc w:val="both"/>
        <w:rPr/>
      </w:pPr>
      <w:r>
        <w:rPr>
          <w:bCs/>
          <w:highlight w:val="lightGray"/>
        </w:rPr>
        <w:t xml:space="preserve">Исполнитель вправе заключить договор на оказание услуг по обращению с Отходами с третьими лицами с учетом ограничения и на условиях, предусмотренного пунктом 2.4.4. Договора. </w:t>
      </w:r>
    </w:p>
    <w:p>
      <w:pPr>
        <w:pStyle w:val="ListParagraph"/>
        <w:ind w:left="0" w:firstLine="709"/>
        <w:jc w:val="both"/>
        <w:rPr/>
      </w:pPr>
      <w:r>
        <w:rPr>
          <w:bCs/>
          <w:highlight w:val="lightGray"/>
        </w:rPr>
        <w:t>При этом оплата по договору, указанному в настоящем пункте Договора, осуществляется Исполнителем с включением расходов по соответствующему договору и расходов по внесению платы за НВОС при размещении Отходов в Сводный сметный расчет / Объектный сметный расчет с приложениями.</w:t>
      </w:r>
      <w:r>
        <w:rPr>
          <w:rStyle w:val="FootnoteReference"/>
          <w:bCs/>
          <w:highlight w:val="lightGray"/>
        </w:rPr>
        <w:footnoteReference w:id="5"/>
      </w:r>
    </w:p>
    <w:p>
      <w:pPr>
        <w:pStyle w:val="ListParagraph"/>
        <w:numPr>
          <w:ilvl w:val="1"/>
          <w:numId w:val="21"/>
        </w:numPr>
        <w:tabs>
          <w:tab w:val="left" w:pos="709" w:leader="none"/>
          <w:tab w:val="left" w:pos="851" w:leader="none"/>
        </w:tabs>
        <w:ind w:left="0" w:firstLine="709"/>
        <w:jc w:val="both"/>
        <w:rPr>
          <w:highlight w:val="lightGray"/>
        </w:rPr>
      </w:pPr>
      <w:r>
        <w:rPr>
          <w:highlight w:val="lightGray"/>
        </w:rPr>
        <w:t xml:space="preserve">В случае нарушения Исполнителем условий, предусмотренных пунктом 2.4.5,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20"/>
        <w:tabs>
          <w:tab w:val="clear" w:pos="360"/>
        </w:tabs>
        <w:rPr>
          <w:rFonts w:ascii="Times New Roman" w:hAnsi="Times New Roman"/>
          <w:sz w:val="24"/>
        </w:rPr>
      </w:pPr>
      <w:r>
        <w:rPr>
          <w:rFonts w:ascii="Times New Roman" w:hAnsi="Times New Roman"/>
          <w:sz w:val="24"/>
        </w:rPr>
      </w:r>
    </w:p>
    <w:p>
      <w:pPr>
        <w:pStyle w:val="ListParagraph"/>
        <w:numPr>
          <w:ilvl w:val="0"/>
          <w:numId w:val="21"/>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t xml:space="preserve">Цена Договора в соответствии с </w:t>
      </w:r>
      <w:r>
        <w:rPr>
          <w:highlight w:val="lightGray"/>
        </w:rPr>
        <w:t xml:space="preserve"> Расчетом стоимости Услуг</w:t>
      </w:r>
      <w:r>
        <w:rPr/>
        <w:t xml:space="preserve"> (Приложение № 2 к Договору) является</w:t>
      </w:r>
      <w:r>
        <w:rPr>
          <w:highlight w:val="lightGray"/>
        </w:rPr>
        <w:t xml:space="preserve"> </w:t>
      </w:r>
      <w:r>
        <w:rPr>
          <w:highlight w:val="lightGray"/>
        </w:rPr>
        <w:t>предельной</w:t>
      </w:r>
      <w:r>
        <w:rP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bookmarkStart w:id="9" w:name="_Ref361834605"/>
      <w:r>
        <w:rPr>
          <w:bCs/>
          <w:highlight w:val="lightGray"/>
        </w:rPr>
        <w:t xml:space="preserve">Локальные расчеты стоимости подлежат согласованию Сторонами не позднее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rPr>
        <w:t xml:space="preserve"> стоимости Услуг</w:t>
      </w:r>
      <w:r>
        <w:rPr>
          <w:bCs/>
          <w:highlight w:val="lightGray"/>
        </w:rPr>
        <w:t xml:space="preserve"> (Приложение № 2 к Договору) путем заключения дополнительного соглашения к Договору.</w:t>
      </w:r>
      <w:bookmarkEnd w:id="9"/>
    </w:p>
    <w:p>
      <w:pPr>
        <w:pStyle w:val="ListParagraph"/>
        <w:numPr>
          <w:ilvl w:val="1"/>
          <w:numId w:val="27"/>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7"/>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и командировочные расходы, перемещение и размещение персонала Исполнителя</w:t>
      </w:r>
      <w:r>
        <w:rPr/>
        <w:t xml:space="preserve">; </w:t>
      </w:r>
    </w:p>
    <w:p>
      <w:pPr>
        <w:pStyle w:val="ListParagraph"/>
        <w:numPr>
          <w:ilvl w:val="2"/>
          <w:numId w:val="17"/>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7"/>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1" w:name="_Ref361834178"/>
      <w:bookmarkStart w:id="12" w:name="_Ref373240288"/>
      <w:bookmarkEnd w:id="11"/>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bCs/>
        </w:rPr>
        <w:t xml:space="preserve">Авансовый платеж </w:t>
      </w:r>
      <w:r>
        <w:rPr/>
        <w:t xml:space="preserve">в размере </w:t>
      </w:r>
      <w:r>
        <w:rPr>
          <w:highlight w:val="lightGray"/>
        </w:rPr>
        <w:t>10 (десяти) процентов</w:t>
      </w:r>
      <w:r>
        <w:rP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пунктов 3.5.1 и 3.5.4 Договора. </w:t>
      </w:r>
      <w:bookmarkEnd w:id="12"/>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FootnoteReference"/>
          <w:highlight w:val="lightGray"/>
        </w:rPr>
        <w:footnoteReference w:id="6"/>
      </w:r>
      <w:r>
        <w:rPr>
          <w:highlight w:val="lightGray"/>
        </w:rPr>
        <w:t xml:space="preserve"> </w:t>
      </w:r>
      <w:r>
        <w:rPr/>
        <w:t>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3" w:name="_Ref361834178_Копия_1"/>
      <w:bookmarkStart w:id="14" w:name="_Ref372549497"/>
      <w:bookmarkEnd w:id="13"/>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4"/>
      <w:r>
        <w:rPr/>
        <w:t xml:space="preserve"> </w:t>
      </w:r>
    </w:p>
    <w:p>
      <w:pPr>
        <w:pStyle w:val="ListParagraph"/>
        <w:shd w:val="clear" w:color="auto" w:fill="FFFFFF"/>
        <w:tabs>
          <w:tab w:val="left" w:pos="709" w:leader="none"/>
        </w:tabs>
        <w:ind w:left="0" w:firstLine="709"/>
        <w:jc w:val="both"/>
        <w:rPr/>
      </w:pPr>
      <w:r>
        <w:rPr/>
        <w:t xml:space="preserve">3.5.5. </w:t>
      </w: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 xml:space="preserve">По окончании оказания Услуг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4 к Договору/УПД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5"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5"/>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6"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7" w:name="_Ref361337525"/>
      <w:bookmarkEnd w:id="16"/>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7"/>
    </w:p>
    <w:p>
      <w:pPr>
        <w:pStyle w:val="ListParagraph"/>
        <w:shd w:val="clear" w:color="auto" w:fill="FFFFFF"/>
        <w:tabs>
          <w:tab w:val="clear" w:pos="709"/>
          <w:tab w:val="left" w:pos="1134" w:leader="none"/>
        </w:tabs>
        <w:ind w:left="0" w:firstLine="709"/>
        <w:jc w:val="both"/>
        <w:rPr/>
      </w:pPr>
      <w:r>
        <w:rPr/>
      </w:r>
    </w:p>
    <w:p>
      <w:pPr>
        <w:pStyle w:val="ListParagraph"/>
        <w:numPr>
          <w:ilvl w:val="0"/>
          <w:numId w:val="18"/>
        </w:numPr>
        <w:shd w:val="clear" w:color="auto" w:fill="FFFFFF"/>
        <w:tabs>
          <w:tab w:val="clear" w:pos="709"/>
          <w:tab w:val="left" w:pos="284" w:leader="none"/>
        </w:tabs>
        <w:ind w:left="0" w:hanging="0"/>
        <w:jc w:val="center"/>
        <w:rPr>
          <w:b/>
        </w:rPr>
      </w:pPr>
      <w:r>
        <w:rPr>
          <w:b/>
        </w:rPr>
        <w:t>Банковская гарантия</w:t>
      </w:r>
    </w:p>
    <w:p>
      <w:pPr>
        <w:pStyle w:val="ListParagraph"/>
        <w:numPr>
          <w:ilvl w:val="1"/>
          <w:numId w:val="23"/>
        </w:numPr>
        <w:shd w:val="clear" w:color="auto" w:fill="FFFFFF"/>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3"/>
        </w:numPr>
        <w:shd w:val="clear" w:color="auto" w:fill="FFFFFF"/>
        <w:tabs>
          <w:tab w:val="clear" w:pos="709"/>
          <w:tab w:val="left" w:pos="1134"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3"/>
        </w:numPr>
        <w:shd w:val="clear" w:color="auto" w:fill="FFFFFF"/>
        <w:tabs>
          <w:tab w:val="clear" w:pos="709"/>
          <w:tab w:val="left" w:pos="1134"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5"/>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firstLine="709"/>
        <w:jc w:val="both"/>
        <w:rPr/>
      </w:pPr>
      <w: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9"/>
          <w:tab w:val="left" w:pos="1418" w:leader="none"/>
        </w:tabs>
        <w:ind w:left="0" w:firstLine="709"/>
        <w:jc w:val="both"/>
        <w:rPr>
          <w:bCs/>
        </w:rPr>
      </w:pPr>
      <w:r>
        <w:rPr>
          <w:bCs/>
          <w:color w:val="000000"/>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hd w:fill="FFFF00" w:val="clear"/>
          <w:lang w:val="ru-RU"/>
        </w:rPr>
      </w:pPr>
      <w:r>
        <w:rPr>
          <w:bCs/>
          <w:color w:val="000000"/>
          <w:lang w:val="ru-RU"/>
        </w:rPr>
        <w:t xml:space="preserve">Выбор формы направления такого требования осуществляется Бенефициаром самостоятельно. </w:t>
      </w:r>
      <w:r>
        <w:rPr>
          <w:bCs/>
          <w:lang w:val="ru-RU"/>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5"/>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5"/>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numPr>
          <w:ilvl w:val="2"/>
          <w:numId w:val="25"/>
        </w:numPr>
        <w:shd w:val="clear" w:color="auto" w:fill="FFFFFF"/>
        <w:tabs>
          <w:tab w:val="clear" w:pos="709"/>
          <w:tab w:val="left" w:pos="1418" w:leader="none"/>
          <w:tab w:val="left" w:pos="1701" w:leader="none"/>
        </w:tabs>
        <w:ind w:left="0" w:firstLine="709"/>
        <w:jc w:val="both"/>
        <w:rPr/>
      </w:pPr>
      <w:r>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9"/>
          <w:tab w:val="left" w:pos="1418" w:leader="none"/>
          <w:tab w:val="left" w:pos="1701" w:leader="none"/>
        </w:tabs>
        <w:ind w:left="0" w:firstLine="709"/>
        <w:jc w:val="both"/>
        <w:rPr/>
      </w:pPr>
      <w: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9"/>
          <w:tab w:val="left" w:pos="1418" w:leader="none"/>
          <w:tab w:val="left" w:pos="1701" w:leader="none"/>
        </w:tabs>
        <w:ind w:left="0" w:firstLine="709"/>
        <w:jc w:val="both"/>
        <w:rPr/>
      </w:pPr>
      <w:r>
        <w:rPr/>
        <w:t>- в оригинале на бумажном носителе.</w:t>
      </w:r>
    </w:p>
    <w:p>
      <w:pPr>
        <w:pStyle w:val="Normal"/>
        <w:numPr>
          <w:ilvl w:val="1"/>
          <w:numId w:val="25"/>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5"/>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5"/>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rPr>
        <w:footnoteReference w:id="7"/>
      </w:r>
      <w:r>
        <w:rPr>
          <w:bCs/>
        </w:rPr>
        <w:t xml:space="preserve"> при выплате каждого платежа, причитающегося Исполнителю, до полного зачета неотработанного аванса</w:t>
      </w:r>
      <w:r>
        <w:rPr/>
        <w:t>.</w:t>
      </w:r>
    </w:p>
    <w:p>
      <w:pPr>
        <w:pStyle w:val="ListParagraph"/>
        <w:numPr>
          <w:ilvl w:val="1"/>
          <w:numId w:val="25"/>
        </w:numPr>
        <w:shd w:val="clear" w:color="auto" w:fill="FFFFFF"/>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5"/>
        </w:numPr>
        <w:shd w:val="clear" w:color="auto" w:fill="FFFFFF"/>
        <w:tabs>
          <w:tab w:val="clear" w:pos="709"/>
          <w:tab w:val="left" w:pos="1134" w:leader="none"/>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5"/>
        </w:numPr>
        <w:shd w:val="clear" w:color="auto" w:fill="FFFFFF"/>
        <w:tabs>
          <w:tab w:val="clear" w:pos="709"/>
          <w:tab w:val="left" w:pos="1134" w:leader="none"/>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highlight w:val="lightGray"/>
        </w:rPr>
        <w:footnoteReference w:id="8"/>
      </w:r>
      <w:r>
        <w:rPr>
          <w:highlight w:val="lightGray"/>
        </w:rPr>
        <w:t>.</w:t>
      </w:r>
    </w:p>
    <w:p>
      <w:pPr>
        <w:pStyle w:val="ListParagraph"/>
        <w:numPr>
          <w:ilvl w:val="1"/>
          <w:numId w:val="25"/>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25"/>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25"/>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6"/>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bCs/>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bCs/>
          <w:shd w:fill="C0C0C0" w:val="clear"/>
        </w:rPr>
        <w:t>экологических, санитарно-</w:t>
      </w:r>
      <w:r>
        <w:rPr>
          <w:bCs/>
          <w:color w:val="000000"/>
          <w:shd w:fill="C0C0C0" w:val="clear"/>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bCs/>
          <w:color w:val="000000"/>
          <w:shd w:fill="C0C0C0" w:val="clear"/>
        </w:rPr>
        <w:footnoteReference w:id="9"/>
      </w:r>
      <w:r>
        <w:rPr>
          <w:bCs/>
          <w:color w:val="000000"/>
          <w:shd w:fill="C0C0C0" w:val="clear"/>
        </w:rPr>
        <w:t>,</w:t>
      </w:r>
      <w:r>
        <w:rPr>
          <w:bCs/>
          <w:color w:val="000000"/>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pPr>
        <w:pStyle w:val="ListParagraph"/>
        <w:numPr>
          <w:ilvl w:val="1"/>
          <w:numId w:val="26"/>
        </w:numPr>
        <w:shd w:val="clear" w:color="auto" w:fill="FFFFFF"/>
        <w:tabs>
          <w:tab w:val="clear" w:pos="709"/>
          <w:tab w:val="left" w:pos="496" w:leader="none"/>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6"/>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6"/>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6"/>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6"/>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8"/>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8"/>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8"/>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8"/>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8"/>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8"/>
        </w:numPr>
        <w:shd w:val="clear" w:color="auto" w:fill="FFFFFF"/>
        <w:tabs>
          <w:tab w:val="clear" w:pos="709"/>
          <w:tab w:val="left" w:pos="1134" w:leader="none"/>
        </w:tabs>
        <w:ind w:left="0" w:firstLine="709"/>
        <w:jc w:val="both"/>
        <w:rPr>
          <w:bCs/>
        </w:rPr>
      </w:pPr>
      <w:bookmarkStart w:id="1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8"/>
      <w:r>
        <w:rPr>
          <w:bCs/>
        </w:rPr>
        <w:t xml:space="preserve"> </w:t>
      </w:r>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8"/>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8"/>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8"/>
        </w:numPr>
        <w:shd w:val="clear" w:color="auto" w:fill="FFFFFF"/>
        <w:tabs>
          <w:tab w:val="clear" w:pos="709"/>
          <w:tab w:val="left" w:pos="1134" w:leader="none"/>
        </w:tabs>
        <w:ind w:left="0" w:firstLine="709"/>
        <w:jc w:val="both"/>
        <w:rPr>
          <w:bCs/>
        </w:rPr>
      </w:pPr>
      <w:bookmarkStart w:id="1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9"/>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8"/>
        </w:numPr>
        <w:shd w:val="clear" w:color="auto" w:fill="FFFFFF"/>
        <w:tabs>
          <w:tab w:val="clear" w:pos="709"/>
          <w:tab w:val="left" w:pos="1134" w:leader="none"/>
        </w:tabs>
        <w:ind w:left="0" w:firstLine="709"/>
        <w:jc w:val="both"/>
        <w:rPr>
          <w:bCs/>
        </w:rPr>
      </w:pPr>
      <w:bookmarkStart w:id="2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0"/>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8"/>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г. Москвы</w:t>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8"/>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8"/>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ПАО «РусГидро»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8"/>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8"/>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8"/>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8"/>
        </w:numPr>
        <w:shd w:val="clear" w:color="auto" w:fill="FFFFFF"/>
        <w:tabs>
          <w:tab w:val="clear" w:pos="709"/>
          <w:tab w:val="left" w:pos="1134" w:leader="none"/>
        </w:tabs>
        <w:ind w:left="0" w:firstLine="709"/>
        <w:jc w:val="both"/>
        <w:rPr>
          <w:bCs/>
        </w:rPr>
      </w:pPr>
      <w:bookmarkStart w:id="21"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1"/>
    </w:p>
    <w:p>
      <w:pPr>
        <w:pStyle w:val="ListParagraph"/>
        <w:numPr>
          <w:ilvl w:val="1"/>
          <w:numId w:val="28"/>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8"/>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8"/>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8"/>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8"/>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8"/>
        </w:numPr>
        <w:shd w:val="clear" w:color="auto" w:fill="FFFFFF"/>
        <w:tabs>
          <w:tab w:val="clear" w:pos="709"/>
          <w:tab w:val="left" w:pos="426" w:leader="none"/>
        </w:tabs>
        <w:ind w:left="0" w:firstLine="709"/>
        <w:jc w:val="both"/>
        <w:rPr>
          <w:b/>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8"/>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8"/>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8"/>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8"/>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8"/>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8"/>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8"/>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t>Договор вступает в силу с даты его подписания Сторонами и действует до полного исполнения ими принятых на себя обязательств.</w:t>
      </w:r>
    </w:p>
    <w:p>
      <w:pPr>
        <w:pStyle w:val="Normal"/>
        <w:numPr>
          <w:ilvl w:val="1"/>
          <w:numId w:val="28"/>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10"/>
      </w:r>
      <w:r>
        <w:rPr>
          <w:highlight w:val="lightGray"/>
          <w:lang w:val="ru-RU" w:eastAsia="en-US"/>
        </w:rPr>
        <w:t>.</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15.7</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8"/>
        </w:numPr>
        <w:shd w:val="clear" w:color="auto" w:fill="FFFFFF"/>
        <w:tabs>
          <w:tab w:val="clear" w:pos="709"/>
          <w:tab w:val="left" w:pos="426" w:leader="none"/>
        </w:tabs>
        <w:ind w:left="0" w:firstLine="709"/>
        <w:jc w:val="both"/>
        <w:rPr>
          <w:b/>
          <w:bCs/>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8"/>
        </w:numPr>
        <w:shd w:val="clear" w:color="auto" w:fill="FFFFFF"/>
        <w:tabs>
          <w:tab w:val="clear" w:pos="709"/>
          <w:tab w:val="left" w:pos="426" w:leader="none"/>
        </w:tabs>
        <w:ind w:left="0" w:firstLine="709"/>
        <w:jc w:val="both"/>
        <w:rPr>
          <w:b/>
          <w:bCs/>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15.8.1. – 15.8.2</w:t>
      </w:r>
      <w:r>
        <w:rPr>
          <w:bCs/>
        </w:rPr>
        <w:t>. Договора.</w:t>
      </w:r>
    </w:p>
    <w:p>
      <w:pPr>
        <w:pStyle w:val="ListParagraph"/>
        <w:numPr>
          <w:ilvl w:val="1"/>
          <w:numId w:val="28"/>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8"/>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8"/>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15.11.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1"/>
      </w:r>
      <w:r>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8"/>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 xml:space="preserve">Приложение № 2 – </w:t>
      </w:r>
      <w:r>
        <w:rPr>
          <w:highlight w:val="lightGray"/>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highlight w:val="lightGray"/>
          <w:lang w:val="ru-RU"/>
        </w:rPr>
        <w:t>Приложение № 3 – Форма Акта сдачи-приемки технической и иной документации</w:t>
      </w:r>
      <w:r>
        <w:rPr>
          <w:bCs/>
          <w:highlight w:val="lightGray"/>
          <w:lang w:val="ru-RU"/>
        </w:rPr>
        <w:t>.</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lang w:val="ru-RU"/>
        </w:rPr>
      </w:pPr>
      <w:r>
        <w:rPr>
          <w:bCs/>
          <w:lang w:val="ru-RU"/>
        </w:rPr>
        <w:t>П</w:t>
      </w:r>
      <w:r>
        <w:rPr>
          <w:lang w:val="ru-RU" w:eastAsia="en-US"/>
        </w:rPr>
        <w:t xml:space="preserve">риложение № 6 – </w:t>
      </w:r>
      <w:r>
        <w:rPr>
          <w:bCs/>
          <w:lang w:val="ru-RU"/>
        </w:rPr>
        <w:t>Критерии отбора Банков-Гарантов.</w:t>
      </w:r>
      <w:r>
        <w:rPr>
          <w:lang w:val="ru-RU" w:eastAsia="en-US"/>
        </w:rPr>
        <w:t xml:space="preserve"> </w:t>
      </w:r>
    </w:p>
    <w:p>
      <w:pPr>
        <w:pStyle w:val="Normal"/>
        <w:jc w:val="both"/>
        <w:rPr>
          <w:lang w:val="ru-RU"/>
        </w:rPr>
      </w:pPr>
      <w:r>
        <w:rPr>
          <w:lang w:val="ru-RU"/>
        </w:rPr>
        <w:t xml:space="preserve">Приложение № 7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jc w:val="both"/>
        <w:rPr>
          <w:lang w:val="ru-RU"/>
        </w:rPr>
      </w:pPr>
      <w:r>
        <w:rPr>
          <w:lang w:val="ru-RU"/>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17.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lang w:val="ru-RU"/>
              </w:rPr>
            </w:pPr>
            <w:r>
              <w:rPr>
                <w:lang w:val="ru-RU"/>
              </w:rPr>
              <w:t>АО «ТК РусГидро»</w:t>
            </w:r>
          </w:p>
          <w:p>
            <w:pPr>
              <w:pStyle w:val="Normal"/>
              <w:widowControl w:val="false"/>
              <w:rPr>
                <w:lang w:val="ru-RU"/>
              </w:rPr>
            </w:pPr>
            <w:r>
              <w:rPr/>
              <w:t>Место нахождения: 655619, Российская Федерация, Республика Хакасия, г. Саяногорск, рп. Черемушки, дом № 101</w:t>
            </w:r>
          </w:p>
          <w:p>
            <w:pPr>
              <w:pStyle w:val="Normal"/>
              <w:widowControl w:val="false"/>
              <w:rPr>
                <w:lang w:val="ru-RU"/>
              </w:rPr>
            </w:pPr>
            <w:r>
              <w:rPr/>
              <w:t>Центральный филиал АО «ТК РусГидро»</w:t>
            </w:r>
          </w:p>
          <w:p>
            <w:pPr>
              <w:pStyle w:val="Normal"/>
              <w:widowControl w:val="false"/>
              <w:rPr>
                <w:lang w:val="ru-RU"/>
              </w:rPr>
            </w:pPr>
            <w:r>
              <w:rPr/>
              <w:t>Место нахождения и почтовый адрес: 141342, Московская область, Сергиево-Посадский городской округ, пгт. Богородское, д. 100,</w:t>
            </w:r>
          </w:p>
          <w:p>
            <w:pPr>
              <w:pStyle w:val="Normal"/>
              <w:widowControl w:val="false"/>
              <w:rPr>
                <w:lang w:val="ru-RU"/>
              </w:rPr>
            </w:pPr>
            <w:r>
              <w:rPr/>
              <w:t>Р\с 40702810940020015572</w:t>
            </w:r>
          </w:p>
          <w:p>
            <w:pPr>
              <w:pStyle w:val="Normal"/>
              <w:widowControl w:val="false"/>
              <w:rPr>
                <w:lang w:val="ru-RU"/>
              </w:rPr>
            </w:pPr>
            <w:r>
              <w:rPr/>
              <w:t>в ПАО «Сбербанк России», г. Москва</w:t>
            </w:r>
          </w:p>
          <w:p>
            <w:pPr>
              <w:pStyle w:val="Normal"/>
              <w:widowControl w:val="false"/>
              <w:rPr>
                <w:lang w:val="ru-RU"/>
              </w:rPr>
            </w:pPr>
            <w:r>
              <w:rPr/>
              <w:t>к/с 30101810400000000225</w:t>
            </w:r>
          </w:p>
          <w:p>
            <w:pPr>
              <w:pStyle w:val="Normal"/>
              <w:widowControl w:val="false"/>
              <w:rPr>
                <w:lang w:val="ru-RU"/>
              </w:rPr>
            </w:pPr>
            <w:r>
              <w:rPr/>
              <w:t>БИК 044525225</w:t>
            </w:r>
          </w:p>
          <w:p>
            <w:pPr>
              <w:pStyle w:val="Normal"/>
              <w:widowControl w:val="false"/>
              <w:rPr>
                <w:lang w:val="ru-RU"/>
              </w:rPr>
            </w:pPr>
            <w:r>
              <w:rPr/>
              <w:t>ИНН: 1902018248</w:t>
            </w:r>
          </w:p>
          <w:p>
            <w:pPr>
              <w:pStyle w:val="Normal"/>
              <w:widowControl w:val="false"/>
              <w:rPr>
                <w:lang w:val="ru-RU"/>
              </w:rPr>
            </w:pPr>
            <w:r>
              <w:rPr/>
              <w:t>КПП: 504 243 001</w:t>
            </w:r>
          </w:p>
          <w:p>
            <w:pPr>
              <w:pStyle w:val="Normal"/>
              <w:widowControl w:val="false"/>
              <w:rPr>
                <w:lang w:val="ru-RU"/>
              </w:rPr>
            </w:pPr>
            <w:r>
              <w:rPr/>
              <w:t xml:space="preserve">ОГРН:1031900676356 </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Директор Центрального филиала </w:t>
            </w:r>
          </w:p>
          <w:p>
            <w:pPr>
              <w:pStyle w:val="Normal"/>
              <w:widowControl w:val="false"/>
              <w:rPr>
                <w:lang w:val="ru-RU"/>
              </w:rPr>
            </w:pPr>
            <w:r>
              <w:rPr/>
              <w:t>АО “ТК РусГидро”</w:t>
            </w:r>
          </w:p>
          <w:p>
            <w:pPr>
              <w:pStyle w:val="Normal"/>
              <w:widowControl w:val="false"/>
              <w:rPr>
                <w:lang w:val="ru-RU"/>
              </w:rPr>
            </w:pPr>
            <w:r>
              <w:rPr/>
            </w:r>
          </w:p>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r>
          </w:p>
          <w:p>
            <w:pPr>
              <w:pStyle w:val="Normal"/>
              <w:widowControl w:val="false"/>
              <w:rPr>
                <w:lang w:val="ru-RU"/>
              </w:rPr>
            </w:pPr>
            <w:r>
              <w:rPr/>
            </w:r>
          </w:p>
          <w:p>
            <w:pPr>
              <w:pStyle w:val="Normal"/>
              <w:widowControl w:val="false"/>
              <w:rPr>
                <w:lang w:val="ru-RU"/>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eastAsia="en-US"/>
        </w:rPr>
      </w:pPr>
      <w:r>
        <w:rPr>
          <w:b/>
          <w:highlight w:val="lightGray"/>
          <w:lang w:val="ru-RU" w:eastAsia="en-US"/>
        </w:rPr>
        <w:t xml:space="preserve"> </w:t>
      </w:r>
      <w:r>
        <w:rPr>
          <w:b/>
          <w:highlight w:val="lightGray"/>
          <w:lang w:val="ru-RU"/>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highlight w:val="lightGray"/>
          <w:lang w:val="ru-RU"/>
        </w:rPr>
        <w:t>Приложение № 3</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Normal"/>
        <w:rPr>
          <w:highlight w:val="lightGray"/>
          <w:lang w:val="ru-RU"/>
        </w:rPr>
      </w:pPr>
      <w:r>
        <w:rPr>
          <w:highlight w:val="lightGray"/>
          <w:lang w:val="ru-RU"/>
        </w:rPr>
      </w:r>
    </w:p>
    <w:p>
      <w:pPr>
        <w:pStyle w:val="12"/>
        <w:jc w:val="both"/>
        <w:rPr>
          <w:highlight w:val="lightGray"/>
        </w:rPr>
      </w:pPr>
      <w:r>
        <w:rPr>
          <w:highlight w:val="lightGray"/>
        </w:rPr>
      </w:r>
    </w:p>
    <w:p>
      <w:pPr>
        <w:pStyle w:val="12"/>
        <w:rPr>
          <w:b w:val="false"/>
          <w:bCs w:val="false"/>
          <w:highlight w:val="lightGray"/>
        </w:rPr>
      </w:pPr>
      <w:r>
        <w:rPr>
          <w:iCs/>
          <w:highlight w:val="lightGray"/>
        </w:rPr>
        <w:t>ФОРМА</w:t>
      </w:r>
    </w:p>
    <w:p>
      <w:pPr>
        <w:pStyle w:val="12"/>
        <w:rPr>
          <w:i/>
          <w:i/>
          <w:iCs/>
          <w:highlight w:val="lightGray"/>
        </w:rPr>
      </w:pPr>
      <w:r>
        <w:rPr>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b w:val="false"/>
                <w:bCs w:val="false"/>
                <w:highlight w:val="lightGray"/>
              </w:rPr>
            </w:pPr>
            <w:r>
              <w:rPr>
                <w:b w:val="false"/>
                <w:bCs w:val="false"/>
                <w:highlight w:val="lightGray"/>
              </w:rPr>
              <w:t xml:space="preserve">Акт </w:t>
            </w:r>
          </w:p>
          <w:p>
            <w:pPr>
              <w:pStyle w:val="12"/>
              <w:widowControl w:val="false"/>
              <w:rPr>
                <w:i/>
                <w:i/>
                <w:iCs/>
                <w:highlight w:val="lightGray"/>
              </w:rPr>
            </w:pPr>
            <w:r>
              <w:rPr>
                <w:b w:val="false"/>
                <w:bCs w:val="false"/>
                <w:highlight w:val="lightGray"/>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 xml:space="preserve">__________________________________________________________________________ </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r>
          </w:tbl>
          <w:p>
            <w:pPr>
              <w:pStyle w:val="12"/>
              <w:widowControl w:val="false"/>
              <w:jc w:val="left"/>
              <w:rPr>
                <w:i/>
                <w:i/>
                <w:iCs/>
                <w:highlight w:val="lightGray"/>
              </w:rPr>
            </w:pPr>
            <w:r>
              <w:rPr>
                <w:i/>
                <w:iCs/>
                <w:highlight w:val="lightGray"/>
              </w:rPr>
            </w:r>
          </w:p>
          <w:p>
            <w:pPr>
              <w:pStyle w:val="12"/>
              <w:widowControl w:val="false"/>
              <w:spacing w:before="0" w:after="120"/>
              <w:jc w:val="left"/>
              <w:rPr>
                <w:i/>
                <w:i/>
                <w:iCs/>
                <w:highlight w:val="lightGray"/>
              </w:rPr>
            </w:pPr>
            <w:r>
              <w:rPr>
                <w:i/>
                <w:iCs/>
                <w:highlight w:val="lightGray"/>
              </w:rPr>
            </w:r>
          </w:p>
        </w:tc>
      </w:tr>
    </w:tbl>
    <w:p>
      <w:pPr>
        <w:pStyle w:val="12"/>
        <w:jc w:val="left"/>
        <w:rPr>
          <w:i/>
          <w:i/>
          <w:iCs/>
          <w:highlight w:val="lightGray"/>
        </w:rPr>
      </w:pPr>
      <w:r>
        <w:rPr>
          <w:i/>
          <w:iCs/>
          <w:highlight w:val="lightGray"/>
        </w:rPr>
      </w:r>
    </w:p>
    <w:p>
      <w:pPr>
        <w:pStyle w:val="12"/>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lang w:val="ru-RU"/>
              </w:rPr>
            </w:pPr>
            <w:r>
              <w:rPr>
                <w:highlight w:val="lightGray"/>
              </w:rPr>
              <w:t>_______________ / _______________</w:t>
            </w:r>
            <w:r>
              <w:rPr/>
              <w:t xml:space="preserve">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r>
        <w:rPr>
          <w:rStyle w:val="FootnoteReference"/>
          <w:iCs/>
          <w:sz w:val="24"/>
          <w:szCs w:val="24"/>
        </w:rPr>
        <w:footnoteReference w:id="12"/>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pPr>
            <w:r>
              <w:rPr>
                <w:iCs/>
              </w:rPr>
              <w:t xml:space="preserve">АКТ </w:t>
            </w:r>
            <w:r>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both"/>
              <w:rPr>
                <w:lang w:val="ru-RU"/>
              </w:rPr>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r>
              <w:rPr>
                <w:color w:val="000000"/>
                <w:shd w:fill="C0C0C0" w:val="clear"/>
                <w:lang w:val="ru-RU"/>
              </w:rPr>
              <w:t xml:space="preserve">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w:t>
            </w:r>
            <w:r>
              <w:rPr>
                <w:color w:val="000000"/>
                <w:szCs w:val="28"/>
                <w:shd w:fill="C0C0C0" w:val="clear"/>
                <w:lang w:val="ru-RU"/>
              </w:rPr>
              <w:t>требований</w:t>
            </w:r>
            <w:r>
              <w:rPr>
                <w:color w:val="000000"/>
                <w:shd w:fill="C0C0C0" w:val="clear"/>
                <w:lang w:val="ru-RU"/>
              </w:rPr>
              <w:t>, установленных локальными нормативными актами (документами) Заказчика в области обращения с Отходами на территории Заказчика.</w:t>
            </w:r>
            <w:r>
              <w:rPr>
                <w:rStyle w:val="FootnoteReference"/>
                <w:color w:val="000000"/>
                <w:shd w:fill="C0C0C0" w:val="clear"/>
                <w:lang w:val="ru-RU"/>
              </w:rPr>
              <w:footnoteReference w:id="13"/>
            </w:r>
            <w:r>
              <w:rPr>
                <w:color w:val="000000"/>
                <w:lang w:val="ru-RU"/>
              </w:rPr>
              <w:t xml:space="preserve"> </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r>
      <w:r>
        <w:br w:type="page"/>
      </w:r>
    </w:p>
    <w:p>
      <w:pPr>
        <w:pStyle w:val="Normal"/>
        <w:ind w:firstLine="709"/>
        <w:jc w:val="right"/>
        <w:rPr>
          <w:sz w:val="22"/>
          <w:szCs w:val="22"/>
          <w:lang w:val="ru-RU"/>
        </w:rPr>
      </w:pP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9"/>
          <w:tab w:val="left" w:pos="1134" w:leader="none"/>
        </w:tabs>
        <w:ind w:firstLine="709"/>
        <w:jc w:val="both"/>
        <w:rPr>
          <w:lang w:val="ru-RU"/>
        </w:rPr>
      </w:pPr>
      <w:r>
        <w:rPr>
          <w:lang w:val="ru-RU"/>
        </w:rPr>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14"/>
      </w:r>
      <w:r>
        <w:rPr>
          <w:lang w:val="ru-RU"/>
        </w:rPr>
        <w:t>, а также соответствовать следующим критериям:</w:t>
      </w:r>
    </w:p>
    <w:p>
      <w:pPr>
        <w:pStyle w:val="Normal"/>
        <w:numPr>
          <w:ilvl w:val="1"/>
          <w:numId w:val="31"/>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31"/>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31"/>
        </w:numPr>
        <w:tabs>
          <w:tab w:val="clear" w:pos="709"/>
          <w:tab w:val="left" w:pos="1134" w:leader="none"/>
        </w:tabs>
        <w:ind w:left="0" w:firstLine="710"/>
        <w:jc w:val="both"/>
        <w:rPr>
          <w:lang w:val="ru-RU"/>
        </w:rPr>
      </w:pPr>
      <w:r>
        <w:rPr>
          <w:lang w:val="ru-RU"/>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5">
        <w:r>
          <w:rPr>
            <w:rStyle w:val="Hyperlink"/>
            <w:color w:val="auto"/>
            <w:lang w:val="ru-RU"/>
          </w:rPr>
          <w:t>www.cbr.ru</w:t>
        </w:r>
      </w:hyperlink>
      <w:r>
        <w:rPr>
          <w:lang w:val="ru-RU"/>
        </w:rPr>
        <w:t xml:space="preserve">) на официальных сайтах ЦБ РФ и/ или кредитной организации либо представленной кредитной организации Заказчику. </w:t>
      </w:r>
    </w:p>
    <w:p>
      <w:pPr>
        <w:pStyle w:val="Normal"/>
        <w:numPr>
          <w:ilvl w:val="1"/>
          <w:numId w:val="31"/>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15"/>
      </w:r>
      <w:r>
        <w:rPr>
          <w:lang w:val="ru-RU"/>
        </w:rPr>
        <w:t xml:space="preserve">. </w:t>
      </w:r>
    </w:p>
    <w:p>
      <w:pPr>
        <w:pStyle w:val="Normal"/>
        <w:numPr>
          <w:ilvl w:val="1"/>
          <w:numId w:val="31"/>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16"/>
      </w:r>
      <w:r>
        <w:rPr>
          <w:lang w:val="ru-RU"/>
        </w:rPr>
        <w:t>.</w:t>
      </w:r>
    </w:p>
    <w:p>
      <w:pPr>
        <w:pStyle w:val="Normal"/>
        <w:numPr>
          <w:ilvl w:val="1"/>
          <w:numId w:val="31"/>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31"/>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31"/>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17"/>
      </w:r>
      <w:r>
        <w:rPr>
          <w:lang w:val="ru-RU"/>
        </w:rPr>
        <w:t>.</w:t>
      </w:r>
    </w:p>
    <w:p>
      <w:pPr>
        <w:pStyle w:val="Normal"/>
        <w:numPr>
          <w:ilvl w:val="1"/>
          <w:numId w:val="31"/>
        </w:numPr>
        <w:tabs>
          <w:tab w:val="clear" w:pos="709"/>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32"/>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32"/>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32"/>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32"/>
        </w:numPr>
        <w:tabs>
          <w:tab w:val="clear" w:pos="709"/>
          <w:tab w:val="left" w:pos="1134" w:leader="none"/>
        </w:tabs>
        <w:ind w:left="0" w:firstLine="709"/>
        <w:jc w:val="both"/>
        <w:rPr/>
      </w:pPr>
      <w:r>
        <w:rPr>
          <w:lang w:val="ru-RU"/>
        </w:rPr>
        <w:t xml:space="preserve"> </w:t>
      </w:r>
      <w:r>
        <w:rPr/>
        <w:t>ВЭБ.РФ.</w:t>
      </w:r>
    </w:p>
    <w:p>
      <w:pPr>
        <w:pStyle w:val="Normal"/>
        <w:numPr>
          <w:ilvl w:val="1"/>
          <w:numId w:val="32"/>
        </w:numPr>
        <w:tabs>
          <w:tab w:val="clear" w:pos="709"/>
          <w:tab w:val="left" w:pos="1134" w:leader="none"/>
        </w:tabs>
        <w:ind w:left="0" w:firstLine="709"/>
        <w:rPr/>
      </w:pPr>
      <w:r>
        <w:rPr/>
        <w:t>Нерезидентов Российской Федерации.</w:t>
      </w:r>
    </w:p>
    <w:p>
      <w:pPr>
        <w:pStyle w:val="Normal"/>
        <w:numPr>
          <w:ilvl w:val="1"/>
          <w:numId w:val="31"/>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firstLine="710"/>
        <w:jc w:val="both"/>
        <w:rPr>
          <w:lang w:val="ru-RU"/>
        </w:rPr>
      </w:pPr>
      <w:r>
        <w:rPr>
          <w:lang w:val="ru-RU"/>
        </w:rPr>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p>
      <w:pPr>
        <w:pStyle w:val="Normal"/>
        <w:tabs>
          <w:tab w:val="clear" w:pos="709"/>
          <w:tab w:val="left" w:pos="1134" w:leader="none"/>
        </w:tabs>
        <w:ind w:firstLine="709"/>
        <w:jc w:val="center"/>
        <w:rPr/>
      </w:pPr>
      <w:r>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rPr>
            </w:pPr>
            <w:r>
              <w:rPr>
                <w:b/>
                <w:i/>
                <w:color w:val="000000"/>
              </w:rPr>
              <w:t>Lim</w:t>
            </w:r>
            <w:r>
              <w:rPr>
                <w:b/>
                <w:i/>
                <w:color w:val="000000"/>
                <w:vertAlign w:val="subscript"/>
                <w:lang w:val="en-US"/>
              </w:rPr>
              <w:t xml:space="preserve">Ai </w:t>
            </w:r>
          </w:p>
        </w:tc>
        <w:tc>
          <w:tcPr>
            <w:tcW w:w="280" w:type="dxa"/>
            <w:tcBorders/>
            <w:shd w:color="auto" w:fill="auto" w:val="clear"/>
          </w:tcPr>
          <w:p>
            <w:pPr>
              <w:pStyle w:val="Normal"/>
              <w:widowControl w:val="false"/>
              <w:ind w:left="317" w:right="-108" w:hanging="317"/>
              <w:rPr>
                <w:color w:val="000000"/>
              </w:rPr>
            </w:pPr>
            <w:r>
              <w:rPr/>
              <w:t xml:space="preserve">-  </w:t>
            </w:r>
          </w:p>
        </w:tc>
        <w:tc>
          <w:tcPr>
            <w:tcW w:w="8509" w:type="dxa"/>
            <w:tcBorders/>
            <w:shd w:color="auto" w:fill="auto" w:val="clear"/>
          </w:tcPr>
          <w:p>
            <w:pPr>
              <w:pStyle w:val="Normal"/>
              <w:widowControl w:val="false"/>
              <w:ind w:left="-75" w:right="-108" w:firstLine="567"/>
              <w:rPr>
                <w:color w:val="000000"/>
                <w:lang w:val="ru-RU"/>
              </w:rPr>
            </w:pPr>
            <w:r>
              <w:rPr>
                <w:lang w:val="ru-RU"/>
              </w:rPr>
              <w:t xml:space="preserve">Лимит риска для </w:t>
            </w:r>
            <w:r>
              <w:rPr/>
              <w:t>i</w:t>
            </w:r>
            <w:r>
              <w:rPr>
                <w:lang w:val="ru-RU"/>
              </w:rPr>
              <w:t>-ой кредитной организации</w:t>
            </w:r>
            <w:r>
              <w:rPr>
                <w:rStyle w:val="FootnoteReference"/>
              </w:rPr>
              <w:footnoteReference w:id="18"/>
            </w:r>
            <w:r>
              <w:rPr>
                <w:lang w:val="ru-RU"/>
              </w:rPr>
              <w:t>.</w:t>
            </w:r>
          </w:p>
        </w:tc>
      </w:tr>
      <w:tr>
        <w:trPr>
          <w:trHeight w:val="280" w:hRule="atLeast"/>
        </w:trPr>
        <w:tc>
          <w:tcPr>
            <w:tcW w:w="817" w:type="dxa"/>
            <w:tcBorders/>
            <w:shd w:color="auto" w:fill="auto" w:val="clear"/>
          </w:tcPr>
          <w:p>
            <w:pPr>
              <w:pStyle w:val="Normal"/>
              <w:widowControl w:val="false"/>
              <w:ind w:right="-108" w:hanging="0"/>
              <w:rPr>
                <w:b/>
                <w:i/>
                <w:i/>
                <w:color w:val="000000"/>
                <w:vertAlign w:val="subscript"/>
              </w:rPr>
            </w:pPr>
            <w:r>
              <w:rPr>
                <w:b/>
                <w:i/>
                <w:color w:val="000000"/>
              </w:rPr>
              <w:t>С</w:t>
            </w:r>
            <w:r>
              <w:rPr>
                <w:b/>
                <w:i/>
                <w:color w:val="000000"/>
                <w:lang w:val="en-US"/>
              </w:rPr>
              <w:t>K</w:t>
            </w:r>
            <w:r>
              <w:rPr>
                <w:b/>
                <w:i/>
                <w:color w:val="000000"/>
                <w:vertAlign w:val="subscript"/>
                <w:lang w:val="en-US"/>
              </w:rPr>
              <w:t>i</w:t>
            </w:r>
          </w:p>
          <w:p>
            <w:pPr>
              <w:pStyle w:val="Normal"/>
              <w:widowControl w:val="false"/>
              <w:ind w:right="-108" w:firstLine="567"/>
              <w:rPr>
                <w:color w:val="000000"/>
              </w:rPr>
            </w:pPr>
            <w:r>
              <w:rPr>
                <w:color w:val="000000"/>
              </w:rPr>
            </w:r>
          </w:p>
        </w:tc>
        <w:tc>
          <w:tcPr>
            <w:tcW w:w="280" w:type="dxa"/>
            <w:tcBorders/>
            <w:shd w:color="auto" w:fill="auto" w:val="clear"/>
          </w:tcPr>
          <w:p>
            <w:pPr>
              <w:pStyle w:val="Normal"/>
              <w:widowControl w:val="false"/>
              <w:ind w:right="-108" w:hanging="0"/>
              <w:rPr>
                <w:color w:val="000000"/>
              </w:rPr>
            </w:pPr>
            <w:r>
              <w:rPr/>
              <w:t>-</w:t>
            </w:r>
            <w:r>
              <w:rPr>
                <w:color w:val="000000"/>
              </w:rPr>
              <w:t xml:space="preserve">  </w:t>
            </w:r>
          </w:p>
        </w:tc>
        <w:tc>
          <w:tcPr>
            <w:tcW w:w="8509" w:type="dxa"/>
            <w:tcBorders/>
            <w:shd w:color="auto" w:fill="auto" w:val="clear"/>
          </w:tcPr>
          <w:p>
            <w:pPr>
              <w:pStyle w:val="Normal"/>
              <w:widowControl w:val="false"/>
              <w:ind w:left="-75" w:right="-108" w:firstLine="567"/>
              <w:rPr>
                <w:color w:val="000000"/>
                <w:lang w:val="ru-RU"/>
              </w:rPr>
            </w:pPr>
            <w:r>
              <w:rPr>
                <w:lang w:val="ru-RU"/>
              </w:rPr>
              <w:t xml:space="preserve">размер собственных средств (капитала) </w:t>
            </w:r>
            <w:r>
              <w:rPr/>
              <w:t>i</w:t>
            </w:r>
            <w:r>
              <w:rPr>
                <w:lang w:val="ru-RU"/>
              </w:rPr>
              <w:t xml:space="preserve">-ой кредитной организации </w:t>
              <w:br/>
              <w:t xml:space="preserve">на 1 января текущего календарного года по данным отчетности </w:t>
              <w:br/>
              <w:t xml:space="preserve">(в соответствии с кодом формы по ОКУД 0409123 «Расчет собственных средств (капитала) («Базель </w:t>
            </w:r>
            <w:r>
              <w:rPr/>
              <w:t>III</w:t>
            </w:r>
            <w:r>
              <w:rPr>
                <w:lang w:val="ru-RU"/>
              </w:rPr>
              <w:t>»)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6">
              <w:r>
                <w:rPr>
                  <w:rStyle w:val="Hyperlink"/>
                </w:rPr>
                <w:t>www</w:t>
              </w:r>
              <w:r>
                <w:rPr>
                  <w:rStyle w:val="Hyperlink"/>
                  <w:lang w:val="ru-RU"/>
                </w:rPr>
                <w:t>.</w:t>
              </w:r>
              <w:r>
                <w:rPr>
                  <w:rStyle w:val="Hyperlink"/>
                </w:rPr>
                <w:t>cbr</w:t>
              </w:r>
              <w:r>
                <w:rPr>
                  <w:rStyle w:val="Hyperlink"/>
                  <w:lang w:val="ru-RU"/>
                </w:rPr>
                <w:t>.</w:t>
              </w:r>
              <w:r>
                <w:rPr>
                  <w:rStyle w:val="Hyperlink"/>
                </w:rPr>
                <w:t>ru</w:t>
              </w:r>
            </w:hyperlink>
            <w:r>
              <w:rPr>
                <w:lang w:val="ru-RU"/>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ind w:right="-108" w:hanging="0"/>
              <w:rPr>
                <w:b/>
                <w:i/>
                <w:i/>
                <w:color w:val="000000"/>
              </w:rPr>
            </w:pPr>
            <w:r>
              <w:rPr>
                <w:b/>
                <w:i/>
                <w:color w:val="000000"/>
              </w:rPr>
              <w:t>r</w:t>
            </w:r>
            <w:r>
              <w:rPr>
                <w:b/>
                <w:i/>
                <w:color w:val="000000"/>
                <w:vertAlign w:val="subscript"/>
              </w:rPr>
              <w:t>i</w:t>
            </w:r>
          </w:p>
        </w:tc>
        <w:tc>
          <w:tcPr>
            <w:tcW w:w="280" w:type="dxa"/>
            <w:tcBorders/>
          </w:tcPr>
          <w:p>
            <w:pPr>
              <w:pStyle w:val="Normal"/>
              <w:widowControl w:val="false"/>
              <w:ind w:right="-108" w:hanging="0"/>
              <w:rPr/>
            </w:pPr>
            <w:r>
              <w:rPr/>
              <w:t>-</w:t>
            </w:r>
          </w:p>
        </w:tc>
        <w:tc>
          <w:tcPr>
            <w:tcW w:w="8509" w:type="dxa"/>
            <w:tcBorders/>
          </w:tcPr>
          <w:p>
            <w:pPr>
              <w:pStyle w:val="Normal"/>
              <w:widowControl w:val="false"/>
              <w:tabs>
                <w:tab w:val="left" w:pos="709" w:leader="none"/>
                <w:tab w:val="left" w:pos="851" w:leader="none"/>
              </w:tabs>
              <w:ind w:left="680" w:hanging="0"/>
              <w:jc w:val="both"/>
              <w:rPr>
                <w:lang w:val="ru-RU"/>
              </w:rPr>
            </w:pPr>
            <w:r>
              <w:rPr>
                <w:lang w:val="ru-RU"/>
              </w:rPr>
              <w:t>рейтинговый коэффициент</w:t>
            </w:r>
            <w:r>
              <w:rPr>
                <w:rStyle w:val="FootnoteReference"/>
              </w:rPr>
              <w:footnoteReference w:id="19"/>
            </w:r>
            <w:r>
              <w:rPr>
                <w:lang w:val="ru-RU"/>
              </w:rPr>
              <w:t xml:space="preserve"> для </w:t>
            </w:r>
            <w:r>
              <w:rPr/>
              <w:t>i</w:t>
            </w:r>
            <w:r>
              <w:rPr>
                <w:lang w:val="ru-RU"/>
              </w:rPr>
              <w:t>-ой кредитной организации, равный:</w:t>
            </w:r>
          </w:p>
          <w:p>
            <w:pPr>
              <w:pStyle w:val="Normal"/>
              <w:widowControl w:val="false"/>
              <w:tabs>
                <w:tab w:val="left" w:pos="709" w:leader="none"/>
                <w:tab w:val="left" w:pos="851" w:leader="none"/>
              </w:tabs>
              <w:ind w:right="-108" w:firstLine="709"/>
              <w:jc w:val="both"/>
              <w:rPr>
                <w:lang w:val="ru-RU"/>
              </w:rPr>
            </w:pPr>
            <w:r>
              <w:rPr>
                <w:b/>
                <w:lang w:val="ru-RU"/>
              </w:rPr>
              <w:t>0,075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«АА-»</w:t>
            </w:r>
            <w:r>
              <w:rPr>
                <w:lang w:val="ru-RU"/>
              </w:rPr>
              <w:t xml:space="preserve">по классификации рейтингового агентства АКРА или не ниже уровня </w:t>
            </w:r>
            <w:r>
              <w:rPr>
                <w:b/>
                <w:lang w:val="ru-RU"/>
              </w:rPr>
              <w:t>«</w:t>
            </w:r>
            <w:r>
              <w:rPr>
                <w:b/>
                <w:lang w:val="en-US"/>
              </w:rPr>
              <w:t>ru</w:t>
            </w:r>
            <w:r>
              <w:rPr>
                <w:b/>
                <w:lang w:val="ru-RU"/>
              </w:rPr>
              <w:t>А</w:t>
            </w:r>
            <w:r>
              <w:rPr>
                <w:b/>
                <w:lang w:val="en-US"/>
              </w:rPr>
              <w:t>A</w:t>
            </w:r>
            <w:r>
              <w:rPr>
                <w:b/>
                <w:lang w:val="ru-RU"/>
              </w:rPr>
              <w:t>-»</w:t>
            </w:r>
            <w:r>
              <w:rPr>
                <w:lang w:val="ru-RU"/>
              </w:rPr>
              <w:t xml:space="preserve"> по классификации рейтингового агентства Эксперт РА;</w:t>
            </w:r>
          </w:p>
          <w:p>
            <w:pPr>
              <w:pStyle w:val="Normal"/>
              <w:widowControl w:val="false"/>
              <w:tabs>
                <w:tab w:val="left" w:pos="709" w:leader="none"/>
                <w:tab w:val="left" w:pos="851" w:leader="none"/>
              </w:tabs>
              <w:ind w:right="-108" w:firstLine="709"/>
              <w:jc w:val="both"/>
              <w:rPr>
                <w:lang w:val="ru-RU"/>
              </w:rPr>
            </w:pPr>
            <w:r>
              <w:rPr>
                <w:b/>
                <w:lang w:val="ru-RU"/>
              </w:rPr>
              <w:t>0,05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w:t>
            </w:r>
            <w:r>
              <w:rPr>
                <w:lang w:val="ru-RU"/>
              </w:rPr>
              <w:t xml:space="preserve"> по классификации рейтингового агентства АКРА или не ниже уровня </w:t>
            </w:r>
            <w:r>
              <w:rPr>
                <w:b/>
                <w:lang w:val="ru-RU"/>
              </w:rPr>
              <w:t>«</w:t>
            </w:r>
            <w:r>
              <w:rPr>
                <w:b/>
              </w:rPr>
              <w:t>ruA</w:t>
            </w:r>
            <w:r>
              <w:rPr>
                <w:b/>
                <w:lang w:val="ru-RU"/>
              </w:rPr>
              <w:t>-»</w:t>
            </w:r>
            <w:r>
              <w:rPr>
                <w:lang w:val="ru-RU"/>
              </w:rPr>
              <w:t xml:space="preserve"> по классификации рейтингового агентства Эксперт РА;</w:t>
            </w:r>
          </w:p>
          <w:p>
            <w:pPr>
              <w:pStyle w:val="Normal"/>
              <w:widowControl w:val="false"/>
              <w:tabs>
                <w:tab w:val="clear" w:pos="709"/>
                <w:tab w:val="left" w:pos="7130" w:leader="none"/>
              </w:tabs>
              <w:ind w:right="-108" w:firstLine="567"/>
              <w:rPr>
                <w:lang w:val="ru-RU"/>
              </w:rPr>
            </w:pPr>
            <w:r>
              <w:rPr>
                <w:b/>
                <w:lang w:val="ru-RU"/>
              </w:rPr>
              <w:t>0,025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w:t>
            </w:r>
            <w:r>
              <w:rPr>
                <w:b/>
                <w:lang w:val="en-US"/>
              </w:rPr>
              <w:t>BB</w:t>
            </w:r>
            <w:r>
              <w:rPr>
                <w:b/>
                <w:lang w:val="ru-RU"/>
              </w:rPr>
              <w:t>В»</w:t>
            </w:r>
            <w:r>
              <w:rPr>
                <w:lang w:val="ru-RU"/>
              </w:rPr>
              <w:t xml:space="preserve"> по классификации рейтингового агентства АКРА или не ниже уровня «</w:t>
            </w:r>
            <w:r>
              <w:rPr>
                <w:lang w:val="en-US"/>
              </w:rPr>
              <w:t>ruBB</w:t>
            </w:r>
            <w:r>
              <w:rPr>
                <w:lang w:val="ru-RU"/>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9"/>
          <w:tab w:val="left" w:pos="1134" w:leader="none"/>
        </w:tabs>
        <w:ind w:firstLine="709"/>
        <w:jc w:val="center"/>
        <w:rPr>
          <w:lang w:val="ru-RU"/>
        </w:rPr>
      </w:pPr>
      <w:r>
        <w:rPr>
          <w:lang w:val="ru-RU"/>
        </w:rPr>
      </w:r>
    </w:p>
    <w:p>
      <w:pPr>
        <w:pStyle w:val="Normal"/>
        <w:tabs>
          <w:tab w:val="clear" w:pos="709"/>
          <w:tab w:val="left" w:pos="1425" w:leader="none"/>
        </w:tabs>
        <w:rPr>
          <w:lang w:val="ru-RU"/>
        </w:rPr>
      </w:pPr>
      <w:r>
        <w:rPr>
          <w:lang w:val="ru-RU"/>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bl>
    <w:p>
      <w:pPr>
        <w:sectPr>
          <w:headerReference w:type="default" r:id="rId7"/>
          <w:headerReference w:type="first" r:id="rId8"/>
          <w:footerReference w:type="default" r:id="rId9"/>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7</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b/>
          <w:bCs/>
          <w:color w:val="000000"/>
          <w:sz w:val="22"/>
          <w:szCs w:val="22"/>
          <w:lang w:val="ru-RU"/>
        </w:rPr>
      </w:pPr>
      <w:r>
        <w:rPr>
          <w:sz w:val="22"/>
          <w:szCs w:val="22"/>
          <w:lang w:val="ru-RU"/>
        </w:rPr>
        <w:t xml:space="preserve">                                                                                                                </w:t>
      </w:r>
      <w:r>
        <w:rPr>
          <w:sz w:val="22"/>
          <w:szCs w:val="22"/>
          <w:lang w:val="ru-RU"/>
        </w:rPr>
        <w:t>от «____» ________ 20 _ г. №_______</w:t>
      </w:r>
      <w:r>
        <w:rPr>
          <w:b/>
          <w:bCs/>
          <w:color w:val="000000"/>
          <w:sz w:val="22"/>
          <w:szCs w:val="22"/>
          <w:lang w:val="ru-RU"/>
        </w:rPr>
        <w:t xml:space="preserve"> </w:t>
      </w:r>
    </w:p>
    <w:p>
      <w:pPr>
        <w:pStyle w:val="Normal"/>
        <w:jc w:val="center"/>
        <w:rPr>
          <w:b/>
          <w:bCs/>
          <w:color w:val="000000"/>
          <w:lang w:val="ru-RU"/>
        </w:rPr>
      </w:pPr>
      <w:r>
        <w:rPr>
          <w:b/>
          <w:bCs/>
          <w:color w:val="000000"/>
          <w:lang w:val="ru-RU"/>
        </w:rPr>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63"/>
        <w:gridCol w:w="781"/>
        <w:gridCol w:w="1148"/>
        <w:gridCol w:w="1378"/>
        <w:gridCol w:w="2338"/>
        <w:gridCol w:w="2888"/>
        <w:gridCol w:w="2760"/>
        <w:gridCol w:w="965"/>
        <w:gridCol w:w="2046"/>
      </w:tblGrid>
      <w:tr>
        <w:trPr>
          <w:trHeight w:val="1327"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8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0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2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7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7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391"/>
        <w:gridCol w:w="1665"/>
        <w:gridCol w:w="1110"/>
        <w:gridCol w:w="1110"/>
        <w:gridCol w:w="1250"/>
        <w:gridCol w:w="2082"/>
        <w:gridCol w:w="1805"/>
        <w:gridCol w:w="1250"/>
        <w:gridCol w:w="2904"/>
      </w:tblGrid>
      <w:tr>
        <w:trPr>
          <w:trHeight w:val="1289" w:hRule="atLeast"/>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0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20"/>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2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0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2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0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52"/>
        <w:gridCol w:w="1747"/>
        <w:gridCol w:w="1164"/>
        <w:gridCol w:w="1162"/>
        <w:gridCol w:w="1310"/>
        <w:gridCol w:w="1161"/>
        <w:gridCol w:w="1893"/>
        <w:gridCol w:w="1018"/>
        <w:gridCol w:w="1164"/>
        <w:gridCol w:w="870"/>
        <w:gridCol w:w="728"/>
        <w:gridCol w:w="899"/>
      </w:tblGrid>
      <w:tr>
        <w:trPr>
          <w:trHeight w:val="566"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7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1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18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pStyle w:val="Normal"/>
        <w:rPr/>
      </w:pPr>
      <w:r>
        <w:rPr/>
      </w:r>
    </w:p>
    <w:sectPr>
      <w:headerReference w:type="default" r:id="rId10"/>
      <w:headerReference w:type="first" r:id="rId11"/>
      <w:footerReference w:type="default" r:id="rId12"/>
      <w:footerReference w:type="first" r:id="rId13"/>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5</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34</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6"/>
        </w:rPr>
        <w:footnoteRef/>
      </w:r>
      <w:r>
        <w:rPr/>
      </w:r>
    </w:p>
  </w:footnote>
  <w:footnote w:id="3">
    <w:p>
      <w:pPr>
        <w:pStyle w:val="FootnoteText"/>
        <w:rPr/>
      </w:pPr>
      <w:r>
        <w:rPr>
          <w:rStyle w:val="Style6"/>
        </w:rPr>
        <w:footnoteRef/>
      </w:r>
      <w:r>
        <w:rPr/>
      </w:r>
    </w:p>
  </w:footnote>
  <w:footnote w:id="4">
    <w:p>
      <w:pPr>
        <w:pStyle w:val="FootnoteText"/>
        <w:rPr/>
      </w:pPr>
      <w:r>
        <w:rPr>
          <w:rStyle w:val="Style6"/>
        </w:rPr>
        <w:footnoteRef/>
      </w:r>
      <w:r>
        <w:rPr/>
      </w:r>
    </w:p>
  </w:footnote>
  <w:footnote w:id="5">
    <w:p>
      <w:pPr>
        <w:pStyle w:val="FootnoteText"/>
        <w:rPr/>
      </w:pPr>
      <w:r>
        <w:rPr>
          <w:rStyle w:val="Style6"/>
        </w:rPr>
        <w:footnoteRef/>
      </w:r>
      <w:r>
        <w:rPr/>
      </w:r>
    </w:p>
  </w:footnote>
  <w:footnote w:id="6">
    <w:p>
      <w:pPr>
        <w:pStyle w:val="FootnoteText"/>
        <w:rPr/>
      </w:pPr>
      <w:r>
        <w:rPr>
          <w:rStyle w:val="Style6"/>
        </w:rPr>
        <w:footnoteRef/>
      </w:r>
      <w:r>
        <w:rPr/>
      </w:r>
    </w:p>
  </w:footnote>
  <w:footnote w:id="7">
    <w:p>
      <w:pPr>
        <w:pStyle w:val="FootnoteText"/>
        <w:rPr/>
      </w:pPr>
      <w:r>
        <w:rPr>
          <w:rStyle w:val="Style6"/>
        </w:rPr>
        <w:footnoteRef/>
      </w:r>
      <w:r>
        <w:rPr/>
      </w:r>
    </w:p>
  </w:footnote>
  <w:footnote w:id="8">
    <w:p>
      <w:pPr>
        <w:pStyle w:val="FootnoteText"/>
        <w:rPr/>
      </w:pPr>
      <w:r>
        <w:rPr>
          <w:rStyle w:val="Style6"/>
        </w:rPr>
        <w:footnoteRef/>
      </w:r>
      <w:r>
        <w:rPr/>
      </w:r>
    </w:p>
  </w:footnote>
  <w:footnote w:id="9">
    <w:p>
      <w:pPr>
        <w:pStyle w:val="FootnoteText"/>
        <w:rPr/>
      </w:pPr>
      <w:r>
        <w:rPr>
          <w:rStyle w:val="Style6"/>
        </w:rPr>
        <w:footnoteRef/>
      </w:r>
      <w:r>
        <w:rPr/>
      </w:r>
    </w:p>
  </w:footnote>
  <w:footnote w:id="10">
    <w:p>
      <w:pPr>
        <w:pStyle w:val="FootnoteText"/>
        <w:rPr/>
      </w:pPr>
      <w:r>
        <w:rPr>
          <w:rStyle w:val="Style6"/>
        </w:rPr>
        <w:footnoteRef/>
      </w:r>
      <w:r>
        <w:rPr/>
      </w:r>
    </w:p>
  </w:footnote>
  <w:footnote w:id="11">
    <w:p>
      <w:pPr>
        <w:pStyle w:val="FootnoteText"/>
        <w:rPr/>
      </w:pPr>
      <w:r>
        <w:rPr>
          <w:rStyle w:val="Style6"/>
        </w:rPr>
        <w:footnoteRef/>
      </w:r>
      <w:r>
        <w:rPr/>
      </w:r>
    </w:p>
  </w:footnote>
  <w:footnote w:id="12">
    <w:p>
      <w:pPr>
        <w:pStyle w:val="FootnoteText"/>
        <w:rPr/>
      </w:pPr>
      <w:r>
        <w:rPr>
          <w:rStyle w:val="Style6"/>
        </w:rPr>
        <w:footnoteRef/>
      </w:r>
      <w:r>
        <w:rPr/>
      </w:r>
    </w:p>
  </w:footnote>
  <w:footnote w:id="13">
    <w:p>
      <w:pPr>
        <w:pStyle w:val="FootnoteText"/>
        <w:rPr/>
      </w:pPr>
      <w:r>
        <w:rPr>
          <w:rStyle w:val="Style6"/>
        </w:rPr>
        <w:footnoteRef/>
      </w:r>
      <w:r>
        <w:rPr/>
      </w:r>
    </w:p>
  </w:footnote>
  <w:footnote w:id="14">
    <w:p>
      <w:pPr>
        <w:pStyle w:val="FootnoteText"/>
        <w:rPr/>
      </w:pPr>
      <w:r>
        <w:rPr>
          <w:rStyle w:val="Style6"/>
        </w:rPr>
        <w:footnoteRef/>
      </w:r>
      <w:r>
        <w:rPr/>
      </w:r>
    </w:p>
  </w:footnote>
  <w:footnote w:id="15">
    <w:p>
      <w:pPr>
        <w:pStyle w:val="FootnoteText"/>
        <w:rPr/>
      </w:pPr>
      <w:r>
        <w:rPr>
          <w:rStyle w:val="Style6"/>
        </w:rPr>
        <w:footnoteRef/>
      </w:r>
      <w:r>
        <w:rPr/>
      </w:r>
    </w:p>
  </w:footnote>
  <w:footnote w:id="16">
    <w:p>
      <w:pPr>
        <w:pStyle w:val="FootnoteText"/>
        <w:rPr/>
      </w:pPr>
      <w:r>
        <w:rPr>
          <w:rStyle w:val="Style6"/>
        </w:rPr>
        <w:footnoteRef/>
      </w:r>
      <w:r>
        <w:rPr/>
      </w:r>
    </w:p>
  </w:footnote>
  <w:footnote w:id="17">
    <w:p>
      <w:pPr>
        <w:pStyle w:val="FootnoteText"/>
        <w:rPr/>
      </w:pPr>
      <w:r>
        <w:rPr>
          <w:rStyle w:val="Style6"/>
        </w:rPr>
        <w:footnoteRef/>
      </w:r>
      <w:r>
        <w:rPr/>
      </w:r>
    </w:p>
  </w:footnote>
  <w:footnote w:id="18">
    <w:p>
      <w:pPr>
        <w:pStyle w:val="FootnoteText"/>
        <w:rPr/>
      </w:pPr>
      <w:r>
        <w:rPr>
          <w:rStyle w:val="Style6"/>
        </w:rPr>
        <w:footnoteRef/>
      </w:r>
      <w:r>
        <w:rPr/>
      </w:r>
    </w:p>
  </w:footnote>
  <w:footnote w:id="19">
    <w:p>
      <w:pPr>
        <w:pStyle w:val="FootnoteText"/>
        <w:rPr/>
      </w:pPr>
      <w:r>
        <w:rPr>
          <w:rStyle w:val="Style6"/>
        </w:rPr>
        <w:footnoteRef/>
      </w:r>
      <w:r>
        <w:rPr/>
      </w:r>
    </w:p>
  </w:footnote>
  <w:footnote w:id="20">
    <w:p>
      <w:pPr>
        <w:pStyle w:val="FootnoteText"/>
        <w:rPr/>
      </w:pPr>
      <w:r>
        <w:rPr>
          <w:rStyle w:val="Style6"/>
        </w:rPr>
        <w:t></w:t>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20">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7">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8">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9">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32">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qForma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2"/>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0">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www.cbr.ru/" TargetMode="External"/><Relationship Id="rId6" Type="http://schemas.openxmlformats.org/officeDocument/2006/relationships/hyperlink" Target="http://www.cbr.ru/"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Relationship Id="rId23" Type="http://schemas.openxmlformats.org/officeDocument/2006/relationships/customXml" Target="../customXml/item5.xml"/><Relationship Id="rId24" Type="http://schemas.openxmlformats.org/officeDocument/2006/relationships/customXml" Target="../customXml/item6.xml"/><Relationship Id="rId25"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7503F6-562C-4612-8762-E3066CD41235}">
  <ds:schemaRefs>
    <ds:schemaRef ds:uri="http://schemas.openxmlformats.org/officeDocument/2006/bibliography"/>
  </ds:schemaRefs>
</ds:datastoreItem>
</file>

<file path=customXml/itemProps2.xml><?xml version="1.0" encoding="utf-8"?>
<ds:datastoreItem xmlns:ds="http://schemas.openxmlformats.org/officeDocument/2006/customXml" ds:itemID="{B14E644C-EE7E-417E-8ED2-2CDEB61409B9}">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CE71B61-415F-4172-82CA-386CB490825B}">
  <ds:schemaRefs>
    <ds:schemaRef ds:uri="http://schemas.openxmlformats.org/officeDocument/2006/bibliography"/>
  </ds:schemaRefs>
</ds:datastoreItem>
</file>

<file path=customXml/itemProps6.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customXml/itemProps7.xml><?xml version="1.0" encoding="utf-8"?>
<ds:datastoreItem xmlns:ds="http://schemas.openxmlformats.org/officeDocument/2006/customXml" ds:itemID="{87BE7DDC-4AA1-46F4-BC99-D3A7A2B980D8}">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124</TotalTime>
  <Application>AlterOffice/3.4.0.9$Linux_X86_64 LibreOffice_project/b8daf9e823b1a5463a2f48435ddc2e8696e7d4fc</Application>
  <AppVersion>15.0000</AppVersion>
  <DocSecurity>4</DocSecurity>
  <Pages>34</Pages>
  <Words>11038</Words>
  <Characters>79024</Characters>
  <CharactersWithSpaces>89972</CharactersWithSpaces>
  <Paragraphs>566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2026-07-17T05:50:00Z</dcterms:created>
  <dc:creator>UK VoHEC</dc:creator>
  <dc:description/>
  <dc:language>ru-RU</dc:language>
  <cp:lastModifiedBy>afoninaas@corp.gidroogk.com</cp:lastModifiedBy>
  <cp:lastPrinted>2016-12-15T13:00:00Z</cp:lastPrinted>
  <dcterms:modified xsi:type="dcterms:W3CDTF">2026-07-27T08:40:54Z</dcterms:modified>
  <cp:revision>16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