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5" w:before="76" w:after="0"/>
        <w:ind w:right="516" w:hanging="0"/>
        <w:jc w:val="right"/>
        <w:rPr>
          <w:sz w:val="25"/>
        </w:rPr>
      </w:pPr>
      <w:r>
        <w:rPr>
          <w:sz w:val="25"/>
        </w:rPr>
      </w:r>
    </w:p>
    <w:p>
      <w:pPr>
        <w:pStyle w:val="Normal"/>
        <w:spacing w:lineRule="exact" w:line="285" w:before="76" w:after="0"/>
        <w:ind w:right="516" w:hanging="0"/>
        <w:jc w:val="right"/>
        <w:rPr>
          <w:sz w:val="25"/>
        </w:rPr>
      </w:pPr>
      <w:r>
        <w:rPr>
          <w:sz w:val="25"/>
        </w:rPr>
      </w:r>
    </w:p>
    <w:p>
      <w:pPr>
        <w:pStyle w:val="Normal"/>
        <w:spacing w:lineRule="exact" w:line="285" w:before="76" w:after="0"/>
        <w:ind w:right="516" w:hanging="0"/>
        <w:jc w:val="right"/>
        <w:rPr>
          <w:sz w:val="25"/>
        </w:rPr>
      </w:pPr>
      <w:r>
        <w:rPr>
          <w:sz w:val="25"/>
        </w:rPr>
      </w:r>
    </w:p>
    <w:p>
      <w:pPr>
        <w:pStyle w:val="Normal"/>
        <w:spacing w:lineRule="exact" w:line="285" w:before="76" w:after="0"/>
        <w:ind w:right="516" w:hanging="0"/>
        <w:jc w:val="right"/>
        <w:rPr>
          <w:sz w:val="25"/>
        </w:rPr>
      </w:pPr>
      <w:r>
        <w:rPr>
          <w:sz w:val="25"/>
        </w:rPr>
      </w:r>
    </w:p>
    <w:p>
      <w:pPr>
        <w:pStyle w:val="Normal"/>
        <w:spacing w:lineRule="exact" w:line="285" w:before="76" w:after="0"/>
        <w:ind w:right="516" w:hanging="0"/>
        <w:jc w:val="righ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rPr>
          <w:sz w:val="25"/>
        </w:rPr>
      </w:pPr>
      <w:r>
        <w:rPr>
          <w:sz w:val="25"/>
        </w:rPr>
      </w:r>
    </w:p>
    <w:p>
      <w:pPr>
        <w:pStyle w:val="BodyText"/>
        <w:spacing w:before="66" w:after="0"/>
        <w:rPr>
          <w:sz w:val="25"/>
        </w:rPr>
      </w:pPr>
      <w:r>
        <w:rPr>
          <w:sz w:val="25"/>
        </w:rPr>
      </w:r>
    </w:p>
    <w:p>
      <w:pPr>
        <w:pStyle w:val="BodyText"/>
        <w:spacing w:before="1" w:after="0"/>
        <w:ind w:left="218" w:right="484" w:hanging="0"/>
        <w:jc w:val="center"/>
        <w:rPr>
          <w:b/>
        </w:rPr>
      </w:pPr>
      <w:r>
        <w:rPr>
          <w:b/>
          <w:color w:val="151515"/>
          <w:w w:val="105"/>
        </w:rPr>
        <w:t>ТЕХНИЧЕСКИЕ</w:t>
      </w:r>
      <w:r>
        <w:rPr>
          <w:b/>
          <w:color w:val="151515"/>
          <w:spacing w:val="16"/>
          <w:w w:val="105"/>
        </w:rPr>
        <w:t xml:space="preserve"> </w:t>
      </w:r>
      <w:r>
        <w:rPr>
          <w:b/>
          <w:spacing w:val="-2"/>
          <w:w w:val="105"/>
        </w:rPr>
        <w:t>ТРЕБОВАНИЯ</w:t>
      </w:r>
    </w:p>
    <w:p>
      <w:pPr>
        <w:pStyle w:val="BodyText"/>
        <w:spacing w:before="204" w:after="0"/>
        <w:ind w:left="241" w:right="484" w:hanging="0"/>
        <w:jc w:val="center"/>
        <w:rPr/>
      </w:pPr>
      <w:r>
        <w:rPr>
          <w:w w:val="105"/>
        </w:rPr>
        <w:t>«</w:t>
      </w:r>
      <w:r>
        <w:rPr>
          <w:color w:val="000000"/>
          <w:spacing w:val="-4"/>
          <w:w w:val="105"/>
        </w:rPr>
        <w:t>Оказание услуг по переосвидетельствованию модулей газового пожаротушения  Филиала ПАО «РусГидро» - «Бурейская ГЭС»</w:t>
      </w:r>
      <w:r>
        <w:rPr>
          <w:spacing w:val="-4"/>
          <w:w w:val="105"/>
        </w:rPr>
        <w:t>»</w:t>
      </w:r>
    </w:p>
    <w:p>
      <w:pPr>
        <w:pStyle w:val="BodyText"/>
        <w:spacing w:before="204" w:after="0"/>
        <w:ind w:left="241" w:right="484" w:hanging="0"/>
        <w:jc w:val="center"/>
        <w:rPr>
          <w:spacing w:val="-4"/>
          <w:w w:val="105"/>
        </w:rPr>
      </w:pPr>
      <w:r>
        <w:rPr>
          <w:spacing w:val="-4"/>
          <w:w w:val="105"/>
        </w:rPr>
      </w:r>
    </w:p>
    <w:p>
      <w:pPr>
        <w:pStyle w:val="BodyText"/>
        <w:spacing w:before="204" w:after="0"/>
        <w:ind w:left="241" w:right="484" w:hanging="0"/>
        <w:jc w:val="center"/>
        <w:rPr>
          <w:spacing w:val="-4"/>
          <w:w w:val="105"/>
        </w:rPr>
      </w:pPr>
      <w:r>
        <w:rPr>
          <w:spacing w:val="-4"/>
          <w:w w:val="105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0" w:after="0"/>
        <w:rPr/>
      </w:pPr>
      <w:r>
        <w:rPr/>
      </w:r>
    </w:p>
    <w:p>
      <w:pPr>
        <w:sectPr>
          <w:type w:val="nextPage"/>
          <w:pgSz w:w="11906" w:h="16838"/>
          <w:pgMar w:left="850" w:right="425" w:gutter="0" w:header="0" w:top="560" w:footer="0" w:bottom="280"/>
          <w:pgNumType w:fmt="decimal"/>
          <w:formProt w:val="false"/>
          <w:textDirection w:val="lrTb"/>
          <w:docGrid w:type="default" w:linePitch="299" w:charSpace="8192"/>
        </w:sectPr>
        <w:pStyle w:val="BodyText"/>
        <w:spacing w:before="1" w:after="0"/>
        <w:ind w:left="254" w:right="484" w:hanging="0"/>
        <w:jc w:val="center"/>
        <w:rPr/>
      </w:pPr>
      <w:r>
        <w:rPr>
          <w:w w:val="105"/>
        </w:rPr>
        <w:t>пгт.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Талакан</w:t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0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СОДЕРЖАНИЕ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9527"/>
        <w:gridCol w:w="1102"/>
      </w:tblGrid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Общие сведения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1.1 Обозначения и сокращения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1.2. </w:t>
            </w:r>
            <w:r>
              <w:rPr>
                <w:sz w:val="28"/>
                <w:szCs w:val="28"/>
                <w:lang w:val="en-US"/>
              </w:rPr>
              <w:t>Наименование закупаемых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1.3. </w:t>
            </w:r>
            <w:r>
              <w:rPr>
                <w:sz w:val="28"/>
                <w:szCs w:val="28"/>
                <w:lang w:val="en-US"/>
              </w:rPr>
              <w:t>Цель оказания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  <w:lang w:val="en-US"/>
              </w:rPr>
              <w:t>Существующее положение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  <w:lang w:val="en-US"/>
              </w:rPr>
              <w:t xml:space="preserve">Требования к услугам 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Требования к объёмам и срокам оказания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 Требования к перечню и объёму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 Требования к срокам оказания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2.2. </w:t>
            </w:r>
            <w:r>
              <w:rPr>
                <w:sz w:val="28"/>
                <w:szCs w:val="28"/>
                <w:lang w:val="en-US"/>
              </w:rPr>
              <w:t>Требования к качеству услуг</w:t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9527" w:type="dxa"/>
            <w:tcBorders/>
          </w:tcPr>
          <w:p>
            <w:pPr>
              <w:pStyle w:val="Style14"/>
              <w:widowControl w:val="false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</w:tc>
        <w:tc>
          <w:tcPr>
            <w:tcW w:w="1102" w:type="dxa"/>
            <w:tcBorders/>
          </w:tcPr>
          <w:p>
            <w:pPr>
              <w:pStyle w:val="Style14"/>
              <w:widowControl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</w:tr>
    </w:tbl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0"/>
        <w:jc w:val="center"/>
        <w:rPr/>
      </w:pPr>
      <w:r>
        <w:rPr>
          <w:spacing w:val="-2"/>
        </w:rPr>
        <w:t>1. Общие сведения</w:t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0"/>
        <w:rPr/>
      </w:pPr>
      <w:r>
        <w:rPr>
          <w:spacing w:val="-2"/>
        </w:rPr>
        <w:t>1.1. Обозначения и сокращения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073"/>
        <w:gridCol w:w="9556"/>
      </w:tblGrid>
      <w:tr>
        <w:trPr/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rPr/>
            </w:pPr>
            <w:r>
              <w:rPr/>
              <w:t>НК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rPr/>
            </w:pPr>
            <w:r>
              <w:rPr/>
              <w:t>Неразрушающий контроль</w:t>
            </w:r>
          </w:p>
        </w:tc>
      </w:tr>
      <w:tr>
        <w:trPr/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rPr/>
            </w:pPr>
            <w:r>
              <w:rPr/>
              <w:t>НТД</w:t>
            </w:r>
          </w:p>
        </w:tc>
        <w:tc>
          <w:tcPr>
            <w:tcW w:w="9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rPr>
                <w:lang w:val="en-US"/>
              </w:rPr>
            </w:pPr>
            <w:r>
              <w:rPr/>
              <w:t xml:space="preserve">нормативно-техническая </w:t>
            </w:r>
            <w:r>
              <w:rPr>
                <w:lang w:val="en-US"/>
              </w:rPr>
              <w:t>документация</w:t>
            </w:r>
          </w:p>
        </w:tc>
      </w:tr>
      <w:tr>
        <w:trPr/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rPr>
                <w:lang w:val="en-US"/>
              </w:rPr>
            </w:pPr>
            <w:r>
              <w:rPr>
                <w:lang w:val="en-US"/>
              </w:rPr>
              <w:t>ТТ</w:t>
            </w:r>
          </w:p>
        </w:tc>
        <w:tc>
          <w:tcPr>
            <w:tcW w:w="9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rPr>
                <w:lang w:val="en-US"/>
              </w:rPr>
            </w:pPr>
            <w:r>
              <w:rPr>
                <w:lang w:val="en-US"/>
              </w:rPr>
              <w:t>Технические требования</w:t>
            </w:r>
          </w:p>
        </w:tc>
      </w:tr>
      <w:tr>
        <w:trPr/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rPr>
                <w:lang w:val="en-US"/>
              </w:rPr>
            </w:pPr>
            <w:r>
              <w:rPr>
                <w:lang w:val="en-US"/>
              </w:rPr>
              <w:t>ЭПБ</w:t>
            </w:r>
          </w:p>
        </w:tc>
        <w:tc>
          <w:tcPr>
            <w:tcW w:w="9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rPr>
                <w:lang w:val="en-US"/>
              </w:rPr>
            </w:pPr>
            <w:r>
              <w:rPr>
                <w:lang w:val="en-US"/>
              </w:rPr>
              <w:t>Экспертиза промышленной безопасности</w:t>
            </w:r>
          </w:p>
        </w:tc>
      </w:tr>
    </w:tbl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721"/>
        <w:rPr>
          <w:color w:val="313131"/>
        </w:rPr>
      </w:pPr>
      <w:r>
        <w:rPr>
          <w:color w:val="313131"/>
        </w:rPr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0"/>
        <w:rPr/>
      </w:pPr>
      <w:r>
        <w:rPr>
          <w:spacing w:val="-2"/>
        </w:rPr>
        <w:t>1.2. Наименование</w:t>
      </w:r>
      <w:r>
        <w:rPr>
          <w:spacing w:val="3"/>
        </w:rPr>
        <w:t xml:space="preserve"> </w:t>
      </w:r>
      <w:r>
        <w:rPr>
          <w:spacing w:val="-2"/>
        </w:rPr>
        <w:t>закупаемых услуг</w:t>
      </w:r>
      <w:r>
        <w:rPr>
          <w:b w:val="false"/>
          <w:spacing w:val="-2"/>
        </w:rPr>
        <w:t>.</w:t>
      </w:r>
    </w:p>
    <w:p>
      <w:pPr>
        <w:pStyle w:val="Heading1"/>
        <w:tabs>
          <w:tab w:val="clear" w:pos="720"/>
          <w:tab w:val="left" w:pos="938" w:leader="none"/>
        </w:tabs>
        <w:spacing w:lineRule="exact" w:line="275" w:before="246" w:after="0"/>
        <w:ind w:left="938" w:hanging="0"/>
        <w:rPr/>
      </w:pPr>
      <w:r>
        <w:rPr/>
      </w:r>
    </w:p>
    <w:p>
      <w:pPr>
        <w:pStyle w:val="BodyText"/>
        <w:spacing w:lineRule="exact" w:line="275"/>
        <w:jc w:val="both"/>
        <w:rPr/>
      </w:pPr>
      <w:r>
        <w:rPr>
          <w:spacing w:val="-2"/>
        </w:rPr>
        <w:tab/>
        <w:t>«</w:t>
      </w:r>
      <w:r>
        <w:rPr>
          <w:color w:val="000000"/>
          <w:spacing w:val="-4"/>
          <w:w w:val="105"/>
        </w:rPr>
        <w:t>Оказание услуг по переосвидетельствованию модулей газового пожаротушения  Филиала ПАО «РусГидро» - «Бурейская ГЭС»</w:t>
      </w:r>
      <w:r>
        <w:rPr>
          <w:spacing w:val="-2"/>
        </w:rPr>
        <w:t>».</w:t>
      </w:r>
    </w:p>
    <w:p>
      <w:pPr>
        <w:pStyle w:val="BodyText"/>
        <w:rPr/>
      </w:pPr>
      <w:r>
        <w:rPr/>
      </w:r>
    </w:p>
    <w:p>
      <w:pPr>
        <w:pStyle w:val="ListParagraph"/>
        <w:tabs>
          <w:tab w:val="clear" w:pos="720"/>
          <w:tab w:val="left" w:pos="588" w:leader="none"/>
        </w:tabs>
        <w:ind w:left="964" w:hanging="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1.3.   Цель оказания услуг</w:t>
      </w:r>
    </w:p>
    <w:p>
      <w:pPr>
        <w:pStyle w:val="ListParagraph"/>
        <w:tabs>
          <w:tab w:val="clear" w:pos="720"/>
          <w:tab w:val="left" w:pos="588" w:leader="none"/>
        </w:tabs>
        <w:ind w:left="964" w:hanging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ab/>
        <w:t>Целью оказания услуг является переосвидетельствование модулей газового пожаротушения по истечению срока службы баллона в соответствии с Таблицей 2.</w:t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jc w:val="both"/>
        <w:rPr>
          <w:sz w:val="24"/>
          <w:szCs w:val="24"/>
        </w:rPr>
      </w:pPr>
      <w:r>
        <w:rPr/>
      </w:r>
    </w:p>
    <w:p>
      <w:pPr>
        <w:pStyle w:val="ListParagraph"/>
        <w:tabs>
          <w:tab w:val="clear" w:pos="720"/>
          <w:tab w:val="left" w:pos="588" w:leader="none"/>
        </w:tabs>
        <w:ind w:left="964" w:hanging="0"/>
        <w:jc w:val="both"/>
        <w:rPr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  <w:t>1.4. Существующее положение</w:t>
      </w:r>
    </w:p>
    <w:p>
      <w:pPr>
        <w:pStyle w:val="ListParagraph"/>
        <w:tabs>
          <w:tab w:val="clear" w:pos="720"/>
          <w:tab w:val="left" w:pos="588" w:leader="none"/>
        </w:tabs>
        <w:ind w:left="964" w:hanging="737"/>
        <w:jc w:val="both"/>
        <w:rPr>
          <w:rFonts w:eastAsia="Calibri"/>
          <w:b/>
          <w:bCs/>
          <w:color w:val="000000"/>
          <w:spacing w:val="-4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</w:r>
    </w:p>
    <w:p>
      <w:pPr>
        <w:pStyle w:val="ListParagraph"/>
        <w:tabs>
          <w:tab w:val="clear" w:pos="720"/>
          <w:tab w:val="left" w:pos="588" w:leader="none"/>
        </w:tabs>
        <w:ind w:left="283" w:hanging="737"/>
        <w:jc w:val="both"/>
        <w:rPr>
          <w:sz w:val="24"/>
          <w:szCs w:val="24"/>
        </w:rPr>
      </w:pPr>
      <w:r>
        <w:rPr>
          <w:rFonts w:eastAsia="Calibri"/>
          <w:color w:val="000000"/>
          <w:spacing w:val="-4"/>
          <w:sz w:val="24"/>
          <w:szCs w:val="24"/>
        </w:rPr>
        <w:tab/>
        <w:tab/>
        <w:t xml:space="preserve">В настоящее время на </w:t>
      </w:r>
      <w:r>
        <w:rPr>
          <w:rFonts w:eastAsia="Calibri"/>
          <w:color w:val="000000"/>
          <w:spacing w:val="-4"/>
          <w:sz w:val="24"/>
          <w:szCs w:val="24"/>
        </w:rPr>
        <w:t>Нижне-Бурейской ГЭС</w:t>
      </w:r>
      <w:r>
        <w:rPr>
          <w:rFonts w:eastAsia="Calibri"/>
          <w:color w:val="000000"/>
          <w:spacing w:val="-4"/>
          <w:sz w:val="24"/>
          <w:szCs w:val="24"/>
        </w:rPr>
        <w:t xml:space="preserve"> Филиал</w:t>
      </w:r>
      <w:r>
        <w:rPr>
          <w:rFonts w:eastAsia="Calibri"/>
          <w:color w:val="000000"/>
          <w:spacing w:val="-4"/>
          <w:sz w:val="24"/>
          <w:szCs w:val="24"/>
        </w:rPr>
        <w:t>а</w:t>
      </w:r>
      <w:r>
        <w:rPr>
          <w:rFonts w:eastAsia="Calibri"/>
          <w:color w:val="000000"/>
          <w:spacing w:val="-4"/>
          <w:sz w:val="24"/>
          <w:szCs w:val="24"/>
        </w:rPr>
        <w:t xml:space="preserve"> ПАО «РусГидро» - «Бурейская ГЭС» установлен</w:t>
      </w:r>
      <w:r>
        <w:rPr>
          <w:rFonts w:eastAsia="Calibri"/>
          <w:color w:val="000000"/>
          <w:spacing w:val="-4"/>
          <w:sz w:val="24"/>
          <w:szCs w:val="24"/>
        </w:rPr>
        <w:t>ы</w:t>
      </w:r>
      <w:r>
        <w:rPr>
          <w:rFonts w:eastAsia="Calibri"/>
          <w:color w:val="000000"/>
          <w:spacing w:val="-4"/>
          <w:sz w:val="24"/>
          <w:szCs w:val="24"/>
        </w:rPr>
        <w:t xml:space="preserve"> </w:t>
      </w:r>
      <w:r>
        <w:rPr>
          <w:rFonts w:eastAsia="Calibri"/>
          <w:color w:val="000000"/>
          <w:spacing w:val="-4"/>
          <w:sz w:val="24"/>
          <w:szCs w:val="24"/>
        </w:rPr>
        <w:t>модули газового пожаротушения</w:t>
      </w:r>
      <w:r>
        <w:rPr>
          <w:rFonts w:eastAsia="Calibri"/>
          <w:color w:val="000000"/>
          <w:spacing w:val="-4"/>
          <w:sz w:val="24"/>
          <w:szCs w:val="24"/>
        </w:rPr>
        <w:t>, в отношении котор</w:t>
      </w:r>
      <w:r>
        <w:rPr>
          <w:rFonts w:eastAsia="Calibri"/>
          <w:color w:val="000000"/>
          <w:spacing w:val="-4"/>
          <w:sz w:val="24"/>
          <w:szCs w:val="24"/>
        </w:rPr>
        <w:t>ы</w:t>
      </w:r>
      <w:r>
        <w:rPr>
          <w:rFonts w:eastAsia="Calibri"/>
          <w:color w:val="000000"/>
          <w:spacing w:val="-4"/>
          <w:sz w:val="24"/>
          <w:szCs w:val="24"/>
        </w:rPr>
        <w:t>х</w:t>
      </w:r>
      <w:r>
        <w:rPr>
          <w:rFonts w:eastAsia="Calibri"/>
          <w:color w:val="000000"/>
          <w:spacing w:val="-4"/>
          <w:sz w:val="24"/>
          <w:szCs w:val="24"/>
        </w:rPr>
        <w:t xml:space="preserve"> необходимо проведение переосвидетельствовани</w:t>
      </w:r>
      <w:r>
        <w:rPr>
          <w:rFonts w:eastAsia="Calibri"/>
          <w:color w:val="000000"/>
          <w:spacing w:val="-4"/>
          <w:sz w:val="24"/>
          <w:szCs w:val="24"/>
        </w:rPr>
        <w:t>я</w:t>
      </w:r>
      <w:r>
        <w:rPr>
          <w:rFonts w:eastAsia="Calibri"/>
          <w:color w:val="000000"/>
          <w:spacing w:val="-4"/>
          <w:sz w:val="24"/>
          <w:szCs w:val="24"/>
        </w:rPr>
        <w:t xml:space="preserve"> </w:t>
      </w:r>
      <w:r>
        <w:rPr>
          <w:rFonts w:eastAsia="Calibri"/>
          <w:color w:val="000000"/>
          <w:spacing w:val="-4"/>
          <w:sz w:val="24"/>
          <w:szCs w:val="24"/>
        </w:rPr>
        <w:t>баллонов</w:t>
      </w:r>
      <w:r>
        <w:rPr>
          <w:rFonts w:eastAsia="Calibri"/>
          <w:color w:val="000000"/>
          <w:spacing w:val="-4"/>
          <w:sz w:val="24"/>
          <w:szCs w:val="24"/>
        </w:rPr>
        <w:t xml:space="preserve"> с целью </w:t>
      </w:r>
      <w:r>
        <w:rPr>
          <w:rFonts w:eastAsia="Calibri"/>
          <w:color w:val="000000"/>
          <w:spacing w:val="-4"/>
          <w:sz w:val="24"/>
          <w:szCs w:val="24"/>
        </w:rPr>
        <w:t>продления срока их эксплуатации.</w:t>
      </w:r>
    </w:p>
    <w:p>
      <w:pPr>
        <w:pStyle w:val="ListParagraph"/>
        <w:tabs>
          <w:tab w:val="clear" w:pos="720"/>
          <w:tab w:val="left" w:pos="588" w:leader="none"/>
        </w:tabs>
        <w:ind w:left="964" w:hanging="737"/>
        <w:jc w:val="both"/>
        <w:rPr>
          <w:rFonts w:eastAsia="Calibri"/>
          <w:b/>
          <w:bCs/>
          <w:color w:val="000000"/>
          <w:spacing w:val="-4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</w:r>
    </w:p>
    <w:p>
      <w:pPr>
        <w:pStyle w:val="ListParagraph"/>
        <w:tabs>
          <w:tab w:val="clear" w:pos="720"/>
          <w:tab w:val="left" w:pos="588" w:leader="none"/>
        </w:tabs>
        <w:ind w:left="964" w:hanging="737"/>
        <w:jc w:val="both"/>
        <w:rPr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  <w:t>Таблица 1. Перечень объектов Заказчика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019"/>
        <w:gridCol w:w="2949"/>
        <w:gridCol w:w="2318"/>
        <w:gridCol w:w="2387"/>
        <w:gridCol w:w="1957"/>
      </w:tblGrid>
      <w:tr>
        <w:trPr/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 (место оказания услуг)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Газовое пожаротушение Нижне-Бурейской</w:t>
            </w:r>
            <w:r>
              <w:rPr>
                <w:sz w:val="24"/>
                <w:szCs w:val="24"/>
              </w:rPr>
              <w:t xml:space="preserve"> ГЭС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ПАО «РусГидро» - «Бурейская ГЭС», Российская Федерация, Амурская область, Бурейский район, п. </w:t>
            </w:r>
            <w:r>
              <w:rPr>
                <w:sz w:val="24"/>
                <w:szCs w:val="24"/>
              </w:rPr>
              <w:t>Новобурейский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МГП</w:t>
            </w:r>
            <w:r>
              <w:rPr>
                <w:sz w:val="24"/>
                <w:szCs w:val="24"/>
              </w:rPr>
              <w:t xml:space="preserve"> 60-100-40-Л-П — </w:t>
            </w:r>
            <w:r>
              <w:rPr>
                <w:sz w:val="24"/>
                <w:szCs w:val="24"/>
              </w:rPr>
              <w:t>23 шт.;</w:t>
            </w:r>
          </w:p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60-100-40-Л-ЭР — 8 шт.; </w:t>
            </w:r>
          </w:p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</w:t>
            </w:r>
            <w:r>
              <w:rPr>
                <w:sz w:val="24"/>
                <w:szCs w:val="24"/>
              </w:rPr>
              <w:t>60-50-24-Л-ЭР — 4 шт.</w:t>
            </w:r>
          </w:p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 НПО ПАС</w:t>
            </w:r>
          </w:p>
        </w:tc>
      </w:tr>
    </w:tbl>
    <w:p>
      <w:pPr>
        <w:pStyle w:val="ListParagraph"/>
        <w:tabs>
          <w:tab w:val="clear" w:pos="720"/>
          <w:tab w:val="left" w:pos="588" w:leader="none"/>
        </w:tabs>
        <w:ind w:left="964" w:hanging="737"/>
        <w:jc w:val="both"/>
        <w:rPr>
          <w:rFonts w:eastAsia="Calibri"/>
          <w:b/>
          <w:bCs/>
          <w:color w:val="000000"/>
          <w:spacing w:val="-4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z w:val="24"/>
          <w:szCs w:val="24"/>
        </w:rPr>
        <w:t>2. Требования</w:t>
      </w:r>
      <w:r>
        <w:rPr>
          <w:b/>
          <w:color w:val="000000"/>
          <w:spacing w:val="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</w:t>
      </w:r>
      <w:r>
        <w:rPr>
          <w:b/>
          <w:color w:val="000000"/>
          <w:spacing w:val="-3"/>
          <w:sz w:val="24"/>
          <w:szCs w:val="24"/>
        </w:rPr>
        <w:t xml:space="preserve"> услугам</w:t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2.1. Требования к объёмам и срокам оказания услуг</w:t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ab/>
        <w:tab/>
        <w:t>2.1.1. Требования к перечню и объёму услуг</w:t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rPr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  <w:t>Таблица 2.  Перечень и объём оказываемых услуг</w:t>
      </w:r>
    </w:p>
    <w:tbl>
      <w:tblPr>
        <w:tblW w:w="10660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076"/>
        <w:gridCol w:w="5328"/>
        <w:gridCol w:w="2670"/>
        <w:gridCol w:w="1585"/>
      </w:tblGrid>
      <w:tr>
        <w:trPr/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ереосвидетельствованию модулей газового пожаротушения: МГП 60-100-40-Л-П —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шт.;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60-100-40-Л-ЭР —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шт.; 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60-50-24-Л-ЭР —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Переосвидетельствованию модулей газового пожаротушения: МГП 60-100-40-Л-П — 10 шт.;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60-100-40-Л-ЭР — 3 шт.; 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60-50-24-Л-ЭР —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ереосвидетельствованию модулей газового пожаротушения: МГП 60-100-40-Л-П —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шт.;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60-100-40-Л-ЭР —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шт.; </w:t>
            </w:r>
          </w:p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МГП 60-50-24-Л-ЭР —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000000"/>
          <w:spacing w:val="-2"/>
          <w:sz w:val="24"/>
          <w:szCs w:val="24"/>
        </w:rPr>
      </w:pPr>
      <w:r>
        <w:rPr>
          <w:rFonts w:eastAsia="Calibri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pacing w:val="-2"/>
          <w:sz w:val="24"/>
          <w:szCs w:val="24"/>
        </w:rPr>
        <w:tab/>
        <w:tab/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000000"/>
          <w:spacing w:val="-2"/>
          <w:sz w:val="24"/>
          <w:szCs w:val="24"/>
        </w:rPr>
      </w:pPr>
      <w:r>
        <w:rPr>
          <w:rFonts w:eastAsia="Calibri"/>
          <w:b/>
          <w:bCs/>
          <w:color w:val="000000"/>
          <w:spacing w:val="-2"/>
          <w:sz w:val="24"/>
          <w:szCs w:val="24"/>
        </w:rPr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000000"/>
          <w:spacing w:val="-2"/>
          <w:sz w:val="24"/>
          <w:szCs w:val="24"/>
        </w:rPr>
      </w:pPr>
      <w:r>
        <w:rPr>
          <w:rFonts w:eastAsia="Calibri"/>
          <w:b/>
          <w:bCs/>
          <w:color w:val="000000"/>
          <w:spacing w:val="-2"/>
          <w:sz w:val="24"/>
          <w:szCs w:val="24"/>
        </w:rPr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000000"/>
          <w:spacing w:val="-2"/>
          <w:sz w:val="24"/>
          <w:szCs w:val="24"/>
        </w:rPr>
      </w:pPr>
      <w:r>
        <w:rPr>
          <w:rFonts w:eastAsia="Calibri"/>
          <w:b/>
          <w:bCs/>
          <w:color w:val="000000"/>
          <w:spacing w:val="-2"/>
          <w:sz w:val="24"/>
          <w:szCs w:val="24"/>
        </w:rPr>
        <w:t>2.1.2. Требования к срокам оказания услуг</w:t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rPr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  <w:t>Таблица 3.  Требования к срокам оказания услуг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1075"/>
        <w:gridCol w:w="5044"/>
        <w:gridCol w:w="2499"/>
        <w:gridCol w:w="2011"/>
      </w:tblGrid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23" w:right="3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ереосвидетельствованию модулей газового пожаротушения  Филиала ПАО «РусГидро» - «Бурейская ГЭС»</w:t>
            </w: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626" w:leader="none"/>
              </w:tabs>
              <w:spacing w:before="2" w:after="0"/>
              <w:ind w:left="265" w:hanging="0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День, следующий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подписания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договора.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622" w:leader="none"/>
              </w:tabs>
              <w:spacing w:before="3" w:after="0"/>
              <w:ind w:left="270" w:hanging="0"/>
              <w:contextualSpacing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622" w:leader="none"/>
              </w:tabs>
              <w:spacing w:before="3" w:after="0"/>
              <w:ind w:left="270" w:hanging="0"/>
              <w:contextualSpacing/>
              <w:rPr>
                <w:sz w:val="24"/>
                <w:szCs w:val="24"/>
              </w:rPr>
            </w:pPr>
            <w:r>
              <w:rPr>
                <w:color w:val="161616"/>
                <w:spacing w:val="-2"/>
                <w:sz w:val="24"/>
                <w:szCs w:val="24"/>
              </w:rPr>
              <w:t>до 01.12.202</w:t>
            </w:r>
            <w:r>
              <w:rPr>
                <w:color w:val="161616"/>
                <w:spacing w:val="-2"/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851" w:right="425" w:gutter="0" w:header="283" w:top="539" w:footer="0" w:bottom="890"/>
          <w:pgNumType w:fmt="decimal"/>
          <w:formProt w:val="false"/>
          <w:textDirection w:val="lrTb"/>
          <w:docGrid w:type="default" w:linePitch="299" w:charSpace="12288"/>
        </w:sect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1D1D1D"/>
          <w:spacing w:val="-2"/>
          <w:sz w:val="28"/>
          <w:szCs w:val="28"/>
        </w:rPr>
      </w:pPr>
      <w:r>
        <w:rPr>
          <w:rFonts w:eastAsia="Calibri"/>
          <w:b/>
          <w:bCs/>
          <w:color w:val="1D1D1D"/>
          <w:spacing w:val="-2"/>
          <w:sz w:val="28"/>
          <w:szCs w:val="28"/>
        </w:rPr>
        <w:t xml:space="preserve"> </w:t>
      </w:r>
      <w:r>
        <w:rPr>
          <w:rFonts w:eastAsia="Calibri"/>
          <w:b/>
          <w:bCs/>
          <w:color w:val="1D1D1D"/>
          <w:spacing w:val="-2"/>
          <w:sz w:val="28"/>
          <w:szCs w:val="28"/>
        </w:rPr>
        <w:tab/>
        <w:tab/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rFonts w:eastAsia="Calibri"/>
          <w:b/>
          <w:bCs/>
          <w:color w:val="000000"/>
          <w:spacing w:val="-2"/>
          <w:sz w:val="28"/>
          <w:szCs w:val="28"/>
        </w:rPr>
      </w:pPr>
      <w:r>
        <w:rPr>
          <w:rFonts w:eastAsia="Calibri"/>
          <w:b/>
          <w:bCs/>
          <w:color w:val="000000"/>
          <w:spacing w:val="-2"/>
          <w:sz w:val="28"/>
          <w:szCs w:val="28"/>
        </w:rPr>
        <w:t>2.2. Требования к качеству услуг</w:t>
      </w:r>
    </w:p>
    <w:p>
      <w:pPr>
        <w:pStyle w:val="ListParagraph"/>
        <w:tabs>
          <w:tab w:val="clear" w:pos="720"/>
          <w:tab w:val="left" w:pos="583" w:leader="none"/>
        </w:tabs>
        <w:spacing w:before="272" w:after="0"/>
        <w:ind w:left="583" w:hanging="0"/>
        <w:contextualSpacing/>
        <w:rPr>
          <w:color w:val="000000"/>
        </w:rPr>
      </w:pPr>
      <w:r>
        <w:rPr>
          <w:color w:val="000000"/>
        </w:rPr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rPr>
          <w:rFonts w:eastAsia="Calibri"/>
          <w:b/>
          <w:bCs/>
          <w:color w:val="000000"/>
          <w:spacing w:val="-4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  <w:t>Таблица 4.  Требования к качеству услуг</w:t>
      </w:r>
    </w:p>
    <w:p>
      <w:pPr>
        <w:pStyle w:val="ListParagraph"/>
        <w:tabs>
          <w:tab w:val="clear" w:pos="720"/>
          <w:tab w:val="left" w:pos="588" w:leader="none"/>
        </w:tabs>
        <w:ind w:left="227" w:hanging="0"/>
        <w:rPr>
          <w:rFonts w:eastAsia="Calibri"/>
          <w:b/>
          <w:bCs/>
          <w:color w:val="000000"/>
          <w:spacing w:val="-4"/>
          <w:sz w:val="24"/>
          <w:szCs w:val="24"/>
        </w:rPr>
      </w:pPr>
      <w:r>
        <w:rPr>
          <w:rFonts w:eastAsia="Calibri"/>
          <w:b/>
          <w:bCs/>
          <w:color w:val="000000"/>
          <w:spacing w:val="-4"/>
          <w:sz w:val="24"/>
          <w:szCs w:val="24"/>
        </w:rPr>
      </w:r>
    </w:p>
    <w:tbl>
      <w:tblPr>
        <w:tblStyle w:val="af5"/>
        <w:tblW w:w="151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49"/>
        <w:gridCol w:w="3662"/>
        <w:gridCol w:w="10457"/>
      </w:tblGrid>
      <w:tr>
        <w:trPr>
          <w:trHeight w:val="690" w:hRule="atLeast"/>
        </w:trPr>
        <w:tc>
          <w:tcPr>
            <w:tcW w:w="10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п/п</w:t>
            </w:r>
          </w:p>
        </w:tc>
        <w:tc>
          <w:tcPr>
            <w:tcW w:w="36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Наименование параметра</w:t>
            </w:r>
          </w:p>
        </w:tc>
        <w:tc>
          <w:tcPr>
            <w:tcW w:w="10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kern w:val="0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36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04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3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141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kern w:val="0"/>
                <w:lang w:eastAsia="ru-RU" w:bidi="ar-SA"/>
              </w:rPr>
            </w:pPr>
            <w:r>
              <w:rPr>
                <w:b/>
                <w:kern w:val="0"/>
                <w:sz w:val="24"/>
                <w:szCs w:val="24"/>
                <w:lang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62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Общие требования к оказанию услуг</w:t>
            </w:r>
          </w:p>
        </w:tc>
        <w:tc>
          <w:tcPr>
            <w:tcW w:w="10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Услуги оказываются в отношении объектов Заказчика, указанных в Таблице №1 в соответствии</w:t>
              <w:tab/>
              <w:t>с Таблицей №2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 xml:space="preserve">Основные требования по переосвидетельствованию 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модулей 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изложены в документе “Федеральные нормы и правила в области промышленной безопасности "Правила промышленной безопасности при использовании оборудования, работающего под избыточным давлением» (далее ФНП) приказ от 15 декабря 2020г. № 536.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Переосвидетельствование модулей газового пожаротушения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 выполняется в следующей последовательности: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Слив ГОТВ из модуля;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Разборка модуля, в т.ч. разборка ЗПУ с заменой (при необходимости) колец, прокладок, клапанов с уплотнителями, пружин, мембраны предохранительной;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Техническое освидетельствование баллона;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Сборка модуля;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Испытание на герметичность;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Заправка ГОТВ;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Подготовка документов.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34" w:hanging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При оказании услуг необходимо соблюдать следующие требования: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06" w:leader="none"/>
              </w:tabs>
              <w:suppressAutoHyphens w:val="true"/>
              <w:spacing w:before="0" w:after="0"/>
              <w:ind w:left="135" w:right="122" w:firstLine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0"/>
                <w:lang w:eastAsia="ru-RU" w:bidi="ar-SA"/>
              </w:rPr>
              <w:t>Исполнитель</w:t>
            </w:r>
            <w:r>
              <w:rPr>
                <w:spacing w:val="27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обеспечивает</w:t>
            </w:r>
            <w:r>
              <w:rPr>
                <w:spacing w:val="26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соблюдение</w:t>
            </w:r>
            <w:r>
              <w:rPr>
                <w:spacing w:val="30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техники</w:t>
            </w:r>
            <w:r>
              <w:rPr>
                <w:spacing w:val="24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безопасности при оказании услуг, требований к</w:t>
            </w:r>
            <w:r>
              <w:rPr>
                <w:spacing w:val="-1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квалификации</w:t>
            </w:r>
            <w:r>
              <w:rPr>
                <w:spacing w:val="28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персонала.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0" w:after="0"/>
              <w:ind w:left="128" w:right="109" w:hanging="0"/>
              <w:contextualSpacing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  <w:lang w:eastAsia="ru-RU" w:bidi="ar-SA"/>
              </w:rPr>
              <w:t xml:space="preserve">Текущий контроль оказания услуг должен включать в себя надзор за правильностью </w:t>
            </w:r>
            <w:r>
              <w:rPr>
                <w:color w:val="161616"/>
                <w:kern w:val="0"/>
                <w:sz w:val="24"/>
                <w:szCs w:val="20"/>
                <w:lang w:eastAsia="ru-RU" w:bidi="ar-SA"/>
              </w:rPr>
              <w:t xml:space="preserve">и </w:t>
            </w:r>
            <w:r>
              <w:rPr>
                <w:kern w:val="0"/>
                <w:sz w:val="24"/>
                <w:szCs w:val="20"/>
                <w:lang w:eastAsia="ru-RU" w:bidi="ar-SA"/>
              </w:rPr>
              <w:t>последовательностью выполнения отдельных технологических операций.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0"/>
                <w:lang w:eastAsia="ru-RU" w:bidi="ar-SA"/>
              </w:rPr>
              <w:t>3</w:t>
            </w:r>
            <w:r>
              <w:rPr>
                <w:kern w:val="0"/>
                <w:sz w:val="24"/>
                <w:szCs w:val="20"/>
                <w:lang w:eastAsia="ru-RU" w:bidi="ar-SA"/>
              </w:rPr>
              <w:t xml:space="preserve">. Приемочный контроль. Перечень этапов </w:t>
            </w:r>
            <w:r>
              <w:rPr>
                <w:color w:val="2A2A2A"/>
                <w:kern w:val="0"/>
                <w:sz w:val="24"/>
                <w:szCs w:val="20"/>
                <w:lang w:eastAsia="ru-RU" w:bidi="ar-SA"/>
              </w:rPr>
              <w:t xml:space="preserve">и </w:t>
            </w:r>
            <w:r>
              <w:rPr>
                <w:kern w:val="0"/>
                <w:sz w:val="24"/>
                <w:szCs w:val="20"/>
                <w:lang w:eastAsia="ru-RU" w:bidi="ar-SA"/>
              </w:rPr>
              <w:t xml:space="preserve">видов оказания услуг, подлежащих приемке, должен быть согласован </w:t>
            </w:r>
            <w:r>
              <w:rPr>
                <w:color w:val="181818"/>
                <w:kern w:val="0"/>
                <w:sz w:val="24"/>
                <w:szCs w:val="20"/>
                <w:lang w:eastAsia="ru-RU" w:bidi="ar-SA"/>
              </w:rPr>
              <w:t xml:space="preserve">с </w:t>
            </w:r>
            <w:r>
              <w:rPr>
                <w:kern w:val="0"/>
                <w:sz w:val="24"/>
                <w:szCs w:val="20"/>
                <w:lang w:eastAsia="ru-RU" w:bidi="ar-SA"/>
              </w:rPr>
              <w:t>Заказчиком.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36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eastAsia="ru-RU" w:bidi="ar-SA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1045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132" w:hanging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0"/>
                <w:lang w:eastAsia="ru-RU" w:bidi="ar-SA"/>
              </w:rPr>
              <w:t>Услуги оказываются в</w:t>
            </w:r>
            <w:r>
              <w:rPr>
                <w:spacing w:val="-13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  <w:lang w:eastAsia="ru-RU" w:bidi="ar-SA"/>
              </w:rPr>
              <w:t>соответствии</w:t>
            </w:r>
            <w:r>
              <w:rPr>
                <w:spacing w:val="7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0"/>
                <w:lang w:eastAsia="ru-RU" w:bidi="ar-SA"/>
              </w:rPr>
              <w:t>с</w:t>
            </w:r>
            <w:r>
              <w:rPr>
                <w:spacing w:val="-10"/>
                <w:kern w:val="0"/>
                <w:sz w:val="24"/>
                <w:szCs w:val="20"/>
                <w:lang w:eastAsia="ru-RU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0"/>
                <w:lang w:eastAsia="ru-RU" w:bidi="ar-SA"/>
              </w:rPr>
              <w:t>НТД: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- Федеральные нормы и правила в области промышленной безопасности "Правила промышленной безопасности при использовании оборудования, работающего под избыточным давлением", утвержденные приказом Ростехнадзора от 15.12.2020 № 536;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- Федеральные нормы и правила в области промышленной безопасности "Правила проведения экспертизы промышленной безопасности" утвержденных Приказом Ростехнадзора от 20.10.2020 № 420;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- Технический регламент таможенного союза «О безопасности оборудования, работающего под давлением», утв. Решением совета евразийской экономической комиссии от 02.07.2013 №41.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Деятельность Исполнителя должна соответствовать вышеперечисленным нормативным документам, в том числе рекомендациям по формам используемых Исполнителем документов при оказании услуг, а также иным нормам и правилам, которые предъявляются на территории РФ к организациям, оказывающим аналогичные услуги.</w:t>
            </w:r>
          </w:p>
        </w:tc>
      </w:tr>
      <w:tr>
        <w:trPr/>
        <w:tc>
          <w:tcPr>
            <w:tcW w:w="104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36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Условия оказания услуг</w:t>
            </w:r>
          </w:p>
        </w:tc>
        <w:tc>
          <w:tcPr>
            <w:tcW w:w="10457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42" w:hanging="0"/>
              <w:contextualSpacing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kern w:val="0"/>
                <w:sz w:val="24"/>
                <w:szCs w:val="24"/>
                <w:lang w:eastAsia="ru-RU" w:bidi="ar-SA"/>
              </w:rPr>
              <w:t xml:space="preserve">Переосвидетельствование производится на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eastAsia="ru-RU" w:bidi="ar-SA"/>
              </w:rPr>
              <w:t>предприятии подрядчика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141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36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 xml:space="preserve">Наличие </w:t>
            </w: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оборудования</w:t>
            </w:r>
          </w:p>
        </w:tc>
        <w:tc>
          <w:tcPr>
            <w:tcW w:w="104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Работы по техническому освидетельствованию баллонов/модулей, заправке и ремонту МПГ могут выполняться на специализированных предприятиях, имеющих необходимое оборудование, а также специалистов, прошедших обучение в РОСТЕХНАДЗОРЕ и имеющих соответствующие подтверждающие документы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eastAsia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Участник должен подтвердить выполнение данного требования, приложив в составе заявки копии подтверждающих документов.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1411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36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en-US" w:eastAsia="ru-RU" w:bidi="ar-SA"/>
              </w:rPr>
              <w:t>Требования к персоналу</w:t>
            </w:r>
          </w:p>
        </w:tc>
        <w:tc>
          <w:tcPr>
            <w:tcW w:w="1045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570" w:leader="none"/>
                <w:tab w:val="left" w:pos="912" w:leader="none"/>
              </w:tabs>
              <w:suppressAutoHyphens w:val="true"/>
              <w:spacing w:before="0" w:after="0"/>
              <w:ind w:left="57" w:firstLine="340"/>
              <w:contextualSpacing/>
              <w:jc w:val="both"/>
              <w:rPr>
                <w:spacing w:val="3"/>
                <w:sz w:val="24"/>
                <w:szCs w:val="24"/>
              </w:rPr>
            </w:pPr>
            <w:r>
              <w:rPr>
                <w:spacing w:val="3"/>
                <w:kern w:val="0"/>
                <w:sz w:val="24"/>
                <w:szCs w:val="24"/>
                <w:lang w:eastAsia="ru-RU" w:bidi="ar-SA"/>
              </w:rPr>
              <w:t xml:space="preserve">Персонал Исполнителя должен соответствовать требования раздела II </w:t>
            </w:r>
            <w:r>
              <w:rPr>
                <w:spacing w:val="3"/>
                <w:kern w:val="0"/>
                <w:sz w:val="24"/>
                <w:szCs w:val="20"/>
                <w:lang w:eastAsia="ru-RU" w:bidi="ar-SA"/>
              </w:rPr>
              <w:t>Федеральных норм и правил в области промышленной безопасности "Правила проведения экспертизы промышленной безопасности", утвержденных Приказом Ростехнадзора от 20.10.2020 № 420</w:t>
            </w:r>
            <w:r>
              <w:rPr>
                <w:spacing w:val="3"/>
                <w:kern w:val="0"/>
                <w:sz w:val="24"/>
                <w:szCs w:val="24"/>
                <w:lang w:eastAsia="ru-RU" w:bidi="ar-SA"/>
              </w:rPr>
              <w:t xml:space="preserve">  и должен иметь удостоверения (сертификаты) установленной формы.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70" w:leader="none"/>
                <w:tab w:val="left" w:pos="912" w:leader="none"/>
              </w:tabs>
              <w:suppressAutoHyphens w:val="true"/>
              <w:spacing w:before="0" w:after="0"/>
              <w:ind w:left="113" w:firstLine="34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>Соответствие установленному требованию подтверждается путем представления Участником закупки в составе заявки сведений по форме «Справка о кадровых ресурсах», приведенной в Документации о закупке.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624"/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 xml:space="preserve">Копии документов об образовании рабочего персонала прикладываются к «Справке о кадровых ресурсах» закупочной Документации (копии дипломов о высшем/среднем профессиональном образовании, удостоверений о проверке знаний норм и Правил с группой по эл.безопасности, протоколов проверки знаний).   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hd w:fill="158466" w:val="clear"/>
              </w:rPr>
            </w:pPr>
            <w:r>
              <w:rPr>
                <w:shd w:fill="158466" w:val="clear"/>
              </w:rPr>
            </w:r>
          </w:p>
        </w:tc>
        <w:tc>
          <w:tcPr>
            <w:tcW w:w="366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Наличие Лицензии Ростехнадзора РФ на осуществление деятельности по проведению экспертизы промышленной безопасности</w:t>
            </w:r>
          </w:p>
        </w:tc>
        <w:tc>
          <w:tcPr>
            <w:tcW w:w="104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227" w:right="170" w:hanging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 xml:space="preserve">Наличие Лицензии Ростехнадзора РФ на осуществление деятельности по проведению </w:t>
            </w: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освидетельствования модулей</w:t>
            </w: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>, необходимо приложить копию документа.</w:t>
            </w:r>
          </w:p>
        </w:tc>
      </w:tr>
      <w:tr>
        <w:trPr/>
        <w:tc>
          <w:tcPr>
            <w:tcW w:w="104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14119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kern w:val="0"/>
                <w:lang w:eastAsia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Требования к документации, описывающей результат оказания услуг 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kern w:val="0"/>
                <w:sz w:val="20"/>
                <w:szCs w:val="20"/>
                <w:lang w:eastAsia="ru-RU" w:bidi="ar-SA"/>
              </w:rPr>
            </w:pPr>
            <w:r>
              <w:rPr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36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kern w:val="0"/>
                <w:lang w:eastAsia="ru-RU" w:bidi="ar-SA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lang w:eastAsia="ru-RU" w:bidi="ar-SA"/>
              </w:rPr>
              <w:t>Требования к исполнительной документации по результатам оценки соответствия</w:t>
            </w:r>
          </w:p>
        </w:tc>
        <w:tc>
          <w:tcPr>
            <w:tcW w:w="10457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 xml:space="preserve">Результатом проведения экспертизы является заключение, составленное и оформленное в соответствии с разделом </w:t>
            </w:r>
            <w:r>
              <w:rPr>
                <w:kern w:val="0"/>
                <w:sz w:val="24"/>
                <w:szCs w:val="24"/>
                <w:lang w:val="en-US" w:eastAsia="ru-RU" w:bidi="ar-SA"/>
              </w:rPr>
              <w:t>IV</w:t>
            </w:r>
            <w:r>
              <w:rPr>
                <w:color w:val="000000"/>
                <w:kern w:val="0"/>
                <w:sz w:val="24"/>
                <w:szCs w:val="24"/>
                <w:lang w:eastAsia="ru-RU" w:bidi="ar-SA"/>
              </w:rPr>
              <w:t xml:space="preserve"> Федеральных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 норм и правил в области промышленной безопасности «Правила проведения экспертизы промышленной безопасности» (утв. приказом Ростехнадзора от 20.10.2020 N 420).</w:t>
            </w:r>
            <w:r>
              <w:rPr>
                <w:bCs/>
                <w:color w:val="000000"/>
                <w:kern w:val="0"/>
                <w:sz w:val="24"/>
                <w:szCs w:val="24"/>
                <w:lang w:eastAsia="ru-RU" w:bidi="ar-SA"/>
              </w:rPr>
              <w:t xml:space="preserve"> По окончанию предоставления услуг выдается заключение на оборудование с оценкой возможности дальнейшей эксплуатации данного оборудования, </w:t>
            </w:r>
            <w:r>
              <w:rPr>
                <w:kern w:val="0"/>
                <w:sz w:val="24"/>
                <w:szCs w:val="20"/>
                <w:lang w:eastAsia="ru-RU" w:bidi="ar-SA"/>
              </w:rPr>
              <w:t>а также внесение записей в паспорта оборудования работающих под избыточным давлением о результатах проведенной экспертизы промышленной безопасности.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Документация предоставляется Заказчику в 2-х экземплярах с подписями на бумажном носителе, в 1 экземпляре с подписями на электронном носителе в сканированном виде (файлы PDF). Вся текстовая документация, также обязательно передается Заказчику в файлах редактируемых форматов: 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lang w:eastAsia="ru-RU" w:bidi="ar-SA"/>
              </w:rPr>
              <w:t>(.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lang w:val="en-US" w:eastAsia="ru-RU" w:bidi="ar-SA"/>
              </w:rPr>
              <w:t>AText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lang w:eastAsia="ru-RU" w:bidi="ar-SA"/>
              </w:rPr>
              <w:t>), (.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lang w:val="en-US" w:eastAsia="ru-RU" w:bidi="ar-SA"/>
              </w:rPr>
              <w:t>ACell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lang w:eastAsia="ru-RU" w:bidi="ar-SA"/>
              </w:rPr>
              <w:t>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eastAsia="ru-RU" w:bidi="ar-SA"/>
              </w:rPr>
            </w:pPr>
            <w:r>
              <w:rPr>
                <w:kern w:val="0"/>
                <w:sz w:val="24"/>
                <w:szCs w:val="24"/>
                <w:lang w:eastAsia="ru-RU" w:bidi="ar-SA"/>
              </w:rPr>
              <w:t xml:space="preserve">    </w:t>
            </w:r>
            <w:r>
              <w:rPr>
                <w:kern w:val="0"/>
                <w:sz w:val="24"/>
                <w:szCs w:val="24"/>
                <w:lang w:eastAsia="ru-RU" w:bidi="ar-SA"/>
              </w:rPr>
              <w:t>Чертежи, таблицы, и и</w:t>
            </w:r>
            <w:bookmarkStart w:id="0" w:name="_GoBack"/>
            <w:bookmarkEnd w:id="0"/>
            <w:r>
              <w:rPr>
                <w:kern w:val="0"/>
                <w:sz w:val="24"/>
                <w:szCs w:val="24"/>
                <w:lang w:eastAsia="ru-RU" w:bidi="ar-SA"/>
              </w:rPr>
              <w:t>ные документы, выполненные в специализированных продуктах, передаются в формате файлов соответствующих программ (DWG, CDW и т.п.) с обязательным приложением используемых шрифтов, форм и других файлов, необходимых для работы с передаваемой в электронном виде документацией. При этом предпочтительным форматом чертежей является формат Компас-3</w:t>
            </w:r>
            <w:r>
              <w:rPr>
                <w:kern w:val="0"/>
                <w:sz w:val="24"/>
                <w:szCs w:val="24"/>
                <w:lang w:val="en-US" w:eastAsia="ru-RU" w:bidi="ar-SA"/>
              </w:rPr>
              <w:t>D</w:t>
            </w:r>
            <w:r>
              <w:rPr>
                <w:kern w:val="0"/>
                <w:sz w:val="24"/>
                <w:szCs w:val="24"/>
                <w:lang w:eastAsia="ru-RU" w:bidi="ar-SA"/>
              </w:rPr>
              <w:t xml:space="preserve"> (*.</w:t>
            </w:r>
            <w:r>
              <w:rPr>
                <w:kern w:val="0"/>
                <w:sz w:val="24"/>
                <w:szCs w:val="24"/>
                <w:lang w:val="en-US" w:eastAsia="ru-RU" w:bidi="ar-SA"/>
              </w:rPr>
              <w:t>CDW</w:t>
            </w:r>
            <w:r>
              <w:rPr>
                <w:kern w:val="0"/>
                <w:sz w:val="24"/>
                <w:szCs w:val="24"/>
                <w:lang w:eastAsia="ru-RU" w:bidi="ar-SA"/>
              </w:rPr>
              <w:t>), предоставление в других форматах возможно только по предварительному согласованию с Заказчиком.</w:t>
            </w:r>
          </w:p>
        </w:tc>
      </w:tr>
    </w:tbl>
    <w:p>
      <w:pPr>
        <w:pStyle w:val="ListParagraph"/>
        <w:tabs>
          <w:tab w:val="clear" w:pos="720"/>
          <w:tab w:val="left" w:pos="588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625" w:leader="none"/>
        </w:tabs>
        <w:spacing w:lineRule="exact" w:line="275" w:before="1" w:after="0"/>
        <w:ind w:left="216" w:hang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890" w:right="539" w:gutter="0" w:header="0" w:top="851" w:footer="0" w:bottom="425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5579100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1601404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5" w:hanging="370"/>
      </w:pPr>
      <w:rPr>
        <w:sz w:val="24"/>
        <w:spacing w:val="0"/>
        <w:i w:val="false"/>
        <w:b w:val="false"/>
        <w:szCs w:val="24"/>
        <w:iCs w:val="false"/>
        <w:bCs w:val="false"/>
        <w:w w:val="93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44" w:hanging="37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8" w:hanging="37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52" w:hanging="37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56" w:hanging="37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0" w:hanging="37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64" w:hanging="37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68" w:hanging="37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72" w:hanging="37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620" w:hanging="721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7d65e5"/>
    <w:rPr>
      <w:color w:val="0000FF"/>
      <w:u w:val="single"/>
    </w:rPr>
  </w:style>
  <w:style w:type="character" w:styleId="Style8" w:customStyle="1">
    <w:name w:val="Абзац списка Знак"/>
    <w:link w:val="ListParagraph"/>
    <w:qFormat/>
    <w:locked/>
    <w:rsid w:val="007d65e5"/>
    <w:rPr>
      <w:rFonts w:ascii="Times New Roman" w:hAnsi="Times New Roman" w:eastAsia="Times New Roman" w:cs="Times New Roman"/>
      <w:lang w:val="ru-RU"/>
    </w:rPr>
  </w:style>
  <w:style w:type="character" w:styleId="Style9" w:customStyle="1">
    <w:name w:val="комментарий"/>
    <w:qFormat/>
    <w:rsid w:val="007d65e5"/>
    <w:rPr>
      <w:b/>
      <w:i/>
      <w:shd w:fill="FFFF99" w:val="clear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c6b72"/>
    <w:rPr>
      <w:rFonts w:ascii="Times New Roman" w:hAnsi="Times New Roman" w:eastAsia="Times New Roman" w:cs="Times New Roman"/>
      <w:lang w:val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c6b72"/>
    <w:rPr>
      <w:rFonts w:ascii="Times New Roman" w:hAnsi="Times New Roman" w:eastAsia="Times New Roman" w:cs="Times New Roman"/>
      <w:lang w:val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link w:val="Style8"/>
    <w:qFormat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4" w:customStyle="1">
    <w:name w:val="Содержимое таблицы"/>
    <w:basedOn w:val="Normal"/>
    <w:qFormat/>
    <w:pPr>
      <w:suppressLineNumbers/>
    </w:pPr>
    <w:rPr/>
  </w:style>
  <w:style w:type="paragraph" w:styleId="Style15" w:customStyle="1">
    <w:name w:val="Заголовок таблицы"/>
    <w:basedOn w:val="Style14"/>
    <w:qFormat/>
    <w:pPr>
      <w:jc w:val="center"/>
    </w:pPr>
    <w:rPr>
      <w:b/>
      <w:bCs/>
    </w:rPr>
  </w:style>
  <w:style w:type="paragraph" w:styleId="Style16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Cs w:val="26"/>
    </w:rPr>
  </w:style>
  <w:style w:type="paragraph" w:styleId="Style17" w:customStyle="1">
    <w:name w:val="Таблица"/>
    <w:basedOn w:val="Normal"/>
    <w:qFormat/>
    <w:rsid w:val="007d65e5"/>
    <w:pPr>
      <w:keepNext w:val="true"/>
      <w:widowControl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ac6b7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ac6b72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rsid w:val="007d65e5"/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BB74-A28D-45FA-8219-D94B8DD3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AlterOffice/3.4.0.9$Linux_X86_64 LibreOffice_project/b8daf9e823b1a5463a2f48435ddc2e8696e7d4fc</Application>
  <AppVersion>15.0000</AppVersion>
  <Pages>8</Pages>
  <Words>1058</Words>
  <Characters>7448</Characters>
  <CharactersWithSpaces>8386</CharactersWithSpaces>
  <Paragraphs>166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2025-12-09T05:49:00Z</dcterms:created>
  <dc:creator>Комлев Николай Константинович</dc:creator>
  <dc:description/>
  <dc:language>ru-RU</dc:language>
  <cp:lastModifiedBy>gladkovsl@corp.gidroogk.com</cp:lastModifiedBy>
  <dcterms:modified xsi:type="dcterms:W3CDTF">2026-07-31T17:03:58Z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