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4"/>
          <w:szCs w:val="24"/>
        </w:rPr>
      </w:pPr>
      <w:r>
        <w:rPr>
          <w:b/>
          <w:sz w:val="24"/>
          <w:szCs w:val="24"/>
        </w:rPr>
        <w:t xml:space="preserve">ПОРЯДОК ОЦЕНКИ И СОПОСТАВЛЕНИЯ ЗАЯВОК УЧАСТНИКОВ: </w:t>
      </w:r>
    </w:p>
    <w:p>
      <w:pPr>
        <w:pStyle w:val="Normal"/>
        <w:keepNext w:val="true"/>
        <w:keepLines/>
        <w:jc w:val="center"/>
        <w:rPr/>
      </w:pPr>
      <w:r>
        <w:rPr>
          <w:rFonts w:eastAsia="Calibri"/>
          <w:i/>
          <w:sz w:val="26"/>
          <w:szCs w:val="26"/>
        </w:rPr>
        <w:t xml:space="preserve">ОКПД2 27.90.33 Поставка запасных частей </w:t>
      </w:r>
      <w:r>
        <w:rPr>
          <w:i/>
          <w:sz w:val="26"/>
          <w:szCs w:val="26"/>
        </w:rPr>
        <w:t xml:space="preserve">и материалов для ремонта </w:t>
      </w:r>
      <w:r>
        <w:rPr>
          <w:i/>
          <w:sz w:val="26"/>
          <w:szCs w:val="26"/>
        </w:rPr>
        <w:t>основного</w:t>
      </w:r>
      <w:r>
        <w:rPr>
          <w:i/>
          <w:sz w:val="26"/>
          <w:szCs w:val="26"/>
        </w:rPr>
        <w:t xml:space="preserve"> электрооборудования</w:t>
      </w:r>
      <w:r>
        <w:rPr/>
        <w:t xml:space="preserve"> </w:t>
      </w:r>
    </w:p>
    <w:p>
      <w:pPr>
        <w:pStyle w:val="Normal"/>
        <w:keepNext w:val="true"/>
        <w:keepLines/>
        <w:jc w:val="center"/>
        <w:rPr>
          <w:rFonts w:eastAsia="Calibri"/>
          <w:b/>
          <w:i/>
          <w:i/>
          <w:sz w:val="26"/>
          <w:szCs w:val="26"/>
        </w:rPr>
      </w:pPr>
      <w:r>
        <w:rPr>
          <w:rFonts w:eastAsia="Calibri"/>
          <w:i/>
          <w:sz w:val="26"/>
          <w:szCs w:val="26"/>
        </w:rPr>
        <w:t xml:space="preserve">для нужд филиала ПАО «РусГидро» - «Загорская ГАЭС» </w:t>
      </w:r>
    </w:p>
    <w:tbl>
      <w:tblPr>
        <w:tblW w:w="1431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275"/>
        <w:gridCol w:w="1559"/>
        <w:gridCol w:w="2128"/>
        <w:gridCol w:w="1984"/>
        <w:gridCol w:w="1304"/>
        <w:gridCol w:w="1985"/>
        <w:gridCol w:w="4081"/>
      </w:tblGrid>
      <w:tr>
        <w:trPr>
          <w:cantSplit w:val="true"/>
        </w:trPr>
        <w:tc>
          <w:tcPr>
            <w:tcW w:w="1275"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Номер критерия оценки в структуре</w:t>
            </w:r>
          </w:p>
        </w:tc>
        <w:tc>
          <w:tcPr>
            <w:tcW w:w="1559"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bCs/>
                <w:sz w:val="20"/>
                <w:szCs w:val="20"/>
              </w:rPr>
              <w:t>Направление оценки заявок</w:t>
            </w:r>
          </w:p>
        </w:tc>
        <w:tc>
          <w:tcPr>
            <w:tcW w:w="4112" w:type="dxa"/>
            <w:gridSpan w:val="2"/>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Наименование критерия оценки</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Значимость критерия оценки</w:t>
            </w:r>
          </w:p>
        </w:tc>
        <w:tc>
          <w:tcPr>
            <w:tcW w:w="1985"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Содержание частного критерия оценки</w:t>
            </w:r>
          </w:p>
        </w:tc>
        <w:tc>
          <w:tcPr>
            <w:tcW w:w="4081"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Расчет оценки предпочтительности заявки</w:t>
            </w:r>
          </w:p>
        </w:tc>
      </w:tr>
      <w:tr>
        <w:trPr>
          <w:cantSplit w:val="true"/>
        </w:trPr>
        <w:tc>
          <w:tcPr>
            <w:tcW w:w="1275"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1559"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2128" w:type="dxa"/>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критерий оценки первого уровня</w:t>
            </w:r>
          </w:p>
        </w:tc>
        <w:tc>
          <w:tcPr>
            <w:tcW w:w="1984" w:type="dxa"/>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критерий оценки второго уровня</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1985"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4081"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r>
      <w:tr>
        <w:trPr>
          <w:trHeight w:val="5438" w:hRule="atLeast"/>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i/>
                <w:sz w:val="18"/>
                <w:szCs w:val="18"/>
                <w:shd w:fill="FFFFFF" w:val="clear"/>
              </w:rPr>
              <w:t>ЦЕНА</w:t>
            </w:r>
          </w:p>
        </w:tc>
        <w:tc>
          <w:tcPr>
            <w:tcW w:w="2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hd w:val="clear" w:color="auto" w:fill="FFFFFF"/>
              <w:spacing w:before="40" w:after="40"/>
              <w:ind w:left="0" w:hanging="0"/>
              <w:jc w:val="center"/>
              <w:rPr>
                <w:sz w:val="18"/>
                <w:szCs w:val="18"/>
              </w:rPr>
            </w:pPr>
            <w:r>
              <w:rPr>
                <w:sz w:val="18"/>
                <w:szCs w:val="18"/>
                <w:shd w:fill="FFFFFF" w:val="clear"/>
              </w:rPr>
              <w:t>Цена договора</w:t>
            </w:r>
          </w:p>
          <w:p>
            <w:pPr>
              <w:pStyle w:val="Normal"/>
              <w:widowControl w:val="false"/>
              <w:numPr>
                <w:ilvl w:val="0"/>
                <w:numId w:val="0"/>
              </w:numPr>
              <w:shd w:val="clear" w:color="auto" w:fill="FFFFFF"/>
              <w:spacing w:before="40" w:after="40"/>
              <w:ind w:left="0" w:hanging="0"/>
              <w:jc w:val="both"/>
              <w:rPr>
                <w:sz w:val="18"/>
                <w:szCs w:val="18"/>
              </w:rPr>
            </w:pPr>
            <w:r>
              <w:rPr>
                <w:sz w:val="18"/>
                <w:szCs w:val="18"/>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sz w:val="18"/>
                <w:szCs w:val="18"/>
              </w:rPr>
              <w:t>отсутствует</w:t>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85%</w:t>
              <w:br/>
              <w:t>(В</w:t>
            </w:r>
            <w:r>
              <w:rPr>
                <w:sz w:val="18"/>
                <w:szCs w:val="18"/>
                <w:vertAlign w:val="subscript"/>
              </w:rPr>
              <w:t>1</w:t>
            </w:r>
            <w:r>
              <w:rPr>
                <w:sz w:val="18"/>
                <w:szCs w:val="18"/>
              </w:rPr>
              <w:t xml:space="preserve"> = 0,85)</w:t>
            </w:r>
          </w:p>
          <w:p>
            <w:pPr>
              <w:pStyle w:val="Normal"/>
              <w:widowControl w:val="false"/>
              <w:numPr>
                <w:ilvl w:val="0"/>
                <w:numId w:val="0"/>
              </w:numPr>
              <w:spacing w:before="40" w:after="40"/>
              <w:ind w:left="0" w:hanging="0"/>
              <w:jc w:val="both"/>
              <w:rPr>
                <w:sz w:val="18"/>
                <w:szCs w:val="18"/>
              </w:rPr>
            </w:pPr>
            <w:r>
              <w:rPr>
                <w:sz w:val="18"/>
                <w:szCs w:val="18"/>
              </w:rPr>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t>Чем меньше цена договора, тем выше предпочтительность</w:t>
            </w:r>
          </w:p>
        </w:tc>
        <w:tc>
          <w:tcPr>
            <w:tcW w:w="40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pacing w:before="96" w:after="96"/>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t>
                    </m:r>
                    <m:r>
                      <w:rPr>
                        <w:rFonts w:ascii="Cambria Math" w:hAnsi="Cambria Math"/>
                      </w:rPr>
                      <m:t xml:space="preserve">min</m:t>
                    </m:r>
                  </m:num>
                  <m:den>
                    <m:r>
                      <w:rPr>
                        <w:rFonts w:ascii="Cambria Math" w:hAnsi="Cambria Math"/>
                      </w:rPr>
                      <m:t xml:space="preserve">ЦЕНА</m:t>
                    </m:r>
                    <m:r>
                      <w:rPr>
                        <w:rFonts w:ascii="Cambria Math" w:hAnsi="Cambria Math"/>
                      </w:rPr>
                      <m:t xml:space="preserve">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widowControl w:val="false"/>
              <w:spacing w:before="96" w:after="96"/>
              <w:rPr>
                <w:sz w:val="18"/>
                <w:szCs w:val="18"/>
              </w:rPr>
            </w:pPr>
            <w:r>
              <w:rPr>
                <w:sz w:val="18"/>
                <w:szCs w:val="18"/>
              </w:rPr>
              <w:t>где:</w:t>
            </w:r>
          </w:p>
          <w:p>
            <w:pPr>
              <w:pStyle w:val="Normal"/>
              <w:widowControl w:val="false"/>
              <w:spacing w:before="96" w:after="96"/>
              <w:rPr>
                <w:sz w:val="18"/>
                <w:szCs w:val="18"/>
              </w:rPr>
            </w:pPr>
            <w:r>
              <w:rPr>
                <w:sz w:val="18"/>
                <w:szCs w:val="18"/>
              </w:rPr>
              <w:t>Б</w:t>
            </w:r>
            <w:r>
              <w:rPr>
                <w:sz w:val="18"/>
                <w:szCs w:val="18"/>
                <w:vertAlign w:val="subscript"/>
              </w:rPr>
              <w:t>1</w:t>
            </w:r>
            <w:r>
              <w:rPr>
                <w:sz w:val="18"/>
                <w:szCs w:val="18"/>
              </w:rPr>
              <w:t xml:space="preserve"> – рассчитанная оценка предпочтительности по частному критерию оценки в баллах;</w:t>
            </w:r>
          </w:p>
          <w:p>
            <w:pPr>
              <w:pStyle w:val="Normal"/>
              <w:widowControl w:val="false"/>
              <w:spacing w:before="96" w:after="96"/>
              <w:rPr>
                <w:sz w:val="18"/>
                <w:szCs w:val="18"/>
              </w:rPr>
            </w:pPr>
            <w:r>
              <w:rPr>
                <w:sz w:val="18"/>
                <w:szCs w:val="18"/>
              </w:rPr>
              <w:t>ЦЕНА</w:t>
            </w:r>
            <w:r>
              <w:rPr>
                <w:i/>
                <w:iCs/>
                <w:sz w:val="18"/>
                <w:szCs w:val="18"/>
                <w:vertAlign w:val="subscript"/>
                <w:lang w:val="en-US"/>
              </w:rPr>
              <w:t>i</w:t>
            </w:r>
            <w:r>
              <w:rPr>
                <w:sz w:val="18"/>
                <w:szCs w:val="18"/>
              </w:rPr>
              <w:t> – цена договора, указанная в заявке допущенного участника, руб. без НДС;</w:t>
            </w:r>
          </w:p>
          <w:p>
            <w:pPr>
              <w:pStyle w:val="Normal"/>
              <w:widowControl w:val="false"/>
              <w:spacing w:before="96" w:after="96"/>
              <w:rPr>
                <w:sz w:val="18"/>
                <w:szCs w:val="18"/>
              </w:rPr>
            </w:pPr>
            <w:r>
              <w:rPr>
                <w:sz w:val="18"/>
                <w:szCs w:val="18"/>
              </w:rPr>
              <w:t>ЦЕНА</w:t>
            </w:r>
            <w:r>
              <w:rPr>
                <w:sz w:val="18"/>
                <w:szCs w:val="18"/>
                <w:vertAlign w:val="subscript"/>
                <w:lang w:val="en-US"/>
              </w:rPr>
              <w:t>min</w:t>
            </w:r>
            <w:r>
              <w:rPr>
                <w:sz w:val="18"/>
                <w:szCs w:val="18"/>
                <w:vertAlign w:val="subscript"/>
              </w:rPr>
              <w:t xml:space="preserve"> </w:t>
            </w:r>
            <w:r>
              <w:rPr>
                <w:sz w:val="18"/>
                <w:szCs w:val="18"/>
              </w:rPr>
              <w:t>– минимальная цена договора среди всех допущенных заявок участников, руб. без НДС;</w:t>
            </w:r>
          </w:p>
          <w:p>
            <w:pPr>
              <w:pStyle w:val="Normal"/>
              <w:widowControl w:val="false"/>
              <w:spacing w:before="96" w:after="96"/>
              <w:rPr>
                <w:sz w:val="18"/>
                <w:szCs w:val="18"/>
              </w:rPr>
            </w:pPr>
            <w:r>
              <w:rPr>
                <w:sz w:val="18"/>
                <w:szCs w:val="18"/>
              </w:rPr>
              <w:t>Ш – 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spacing w:before="96" w:after="96"/>
              <w:rPr>
                <w:sz w:val="18"/>
                <w:szCs w:val="18"/>
              </w:rPr>
            </w:pPr>
            <w:r>
              <w:rPr>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 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pPr>
              <w:pStyle w:val="Normal"/>
              <w:widowControl w:val="false"/>
              <w:numPr>
                <w:ilvl w:val="0"/>
                <w:numId w:val="0"/>
              </w:numPr>
              <w:spacing w:before="96" w:after="96"/>
              <w:ind w:left="0" w:hanging="0"/>
              <w:rPr>
                <w:sz w:val="18"/>
                <w:szCs w:val="18"/>
              </w:rPr>
            </w:pPr>
            <w:r>
              <w:rPr>
                <w:sz w:val="18"/>
                <w:szCs w:val="18"/>
              </w:rPr>
              <w:t>Шкала оценок от 0 до 5 баллов.</w:t>
            </w:r>
          </w:p>
        </w:tc>
      </w:tr>
      <w:tr>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2.</w:t>
            </w:r>
          </w:p>
          <w:p>
            <w:pPr>
              <w:pStyle w:val="Normal"/>
              <w:widowControl w:val="false"/>
              <w:numPr>
                <w:ilvl w:val="0"/>
                <w:numId w:val="0"/>
              </w:numPr>
              <w:spacing w:before="40" w:after="40"/>
              <w:ind w:left="0" w:hanging="0"/>
              <w:jc w:val="both"/>
              <w:rPr>
                <w:sz w:val="18"/>
                <w:szCs w:val="18"/>
              </w:rPr>
            </w:pPr>
            <w:r>
              <w:rPr>
                <w:sz w:val="18"/>
                <w:szCs w:val="18"/>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ТЕХ</w:t>
            </w:r>
          </w:p>
        </w:tc>
        <w:tc>
          <w:tcPr>
            <w:tcW w:w="2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Квалификация (предпочтительность) участника</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t>отсутствует</w:t>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10%</w:t>
              <w:br/>
              <w:t>(В</w:t>
            </w:r>
            <w:r>
              <w:rPr>
                <w:sz w:val="18"/>
                <w:szCs w:val="18"/>
                <w:vertAlign w:val="subscript"/>
              </w:rPr>
              <w:t>2</w:t>
            </w:r>
            <w:r>
              <w:rPr>
                <w:sz w:val="18"/>
                <w:szCs w:val="18"/>
              </w:rPr>
              <w:t xml:space="preserve"> = 0,10)</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t>Чем больше опыт поставки электротехнического оборудования или запасных частей электротехнического оборудования, тем выше предпочтительность</w:t>
            </w:r>
          </w:p>
        </w:tc>
        <w:tc>
          <w:tcPr>
            <w:tcW w:w="40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 Порядок осуществления оценки (значение оцениваемого параметра), в зависимости от информации, предоставленной в i-ой заявке в «Справка об опыте Участника» (Справка), подтверждающей наличие опыта поставки </w:t>
            </w:r>
            <w:bookmarkStart w:id="0" w:name="_GoBack"/>
            <w:bookmarkEnd w:id="0"/>
            <w:r>
              <w:rPr>
                <w:sz w:val="18"/>
                <w:szCs w:val="18"/>
              </w:rPr>
              <w:t>электротехнического оборудования или запасных частей электротехнического оборудования</w:t>
            </w:r>
            <w:r>
              <w:rPr>
                <w:bCs/>
                <w:sz w:val="18"/>
                <w:szCs w:val="18"/>
              </w:rPr>
              <w:t>, при этом за последние 5 (пять) лет, предшествующие дате подачи заявок на участие в закупке, Участником должны быть выполнены поставки запасных частей электротехнического оборудования в общем/совокупном объёме не менее 30% от начальной (максимальной) цены лота, указанной в Документации о закупке, с учётом правопреемства.</w:t>
            </w:r>
            <w:r>
              <w:rPr>
                <w:sz w:val="18"/>
                <w:szCs w:val="18"/>
              </w:rPr>
              <w:t xml:space="preserve"> </w:t>
            </w:r>
          </w:p>
          <w:p>
            <w:pPr>
              <w:pStyle w:val="Normal"/>
              <w:widowControl w:val="false"/>
              <w:spacing w:before="96" w:after="96"/>
              <w:rPr>
                <w:sz w:val="18"/>
                <w:szCs w:val="18"/>
              </w:rPr>
            </w:pPr>
            <w:r>
              <w:rPr>
                <w:sz w:val="18"/>
                <w:szCs w:val="18"/>
              </w:rPr>
              <w:t>Соответствие установленному требованию подтверждается представлением Участником в составе заявки сведений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br/>
              <w:t>∙ копии договоров, подписанных с обеих сторон;</w:t>
            </w:r>
          </w:p>
          <w:p>
            <w:pPr>
              <w:pStyle w:val="Normal"/>
              <w:widowControl w:val="false"/>
              <w:spacing w:before="96" w:after="96"/>
              <w:rPr>
                <w:sz w:val="18"/>
                <w:szCs w:val="18"/>
              </w:rPr>
            </w:pPr>
            <w:r>
              <w:rPr>
                <w:sz w:val="18"/>
                <w:szCs w:val="18"/>
              </w:rPr>
              <w:t xml:space="preserve">∙ </w:t>
            </w:r>
            <w:r>
              <w:rPr>
                <w:sz w:val="18"/>
                <w:szCs w:val="18"/>
              </w:rPr>
              <w:t>копии Актов ТОРГ-12, УПД к договору, подписанных с обеих сторон.</w:t>
            </w:r>
          </w:p>
          <w:p>
            <w:pPr>
              <w:pStyle w:val="Normal"/>
              <w:widowControl w:val="false"/>
              <w:spacing w:before="96" w:after="96"/>
              <w:rPr>
                <w:sz w:val="18"/>
                <w:szCs w:val="18"/>
              </w:rPr>
            </w:pPr>
            <w:r>
              <w:rPr>
                <w:sz w:val="18"/>
                <w:szCs w:val="18"/>
              </w:rPr>
              <w:t>К рассмотрению не принимаются подтверждающие документы, не указанные в «Справке об опыте Участника». Сведения, не позволяющие явно/однозначно определить наличие требуемого опыта у Участника, не оцениваются.</w:t>
            </w:r>
          </w:p>
          <w:p>
            <w:pPr>
              <w:pStyle w:val="Normal"/>
              <w:widowControl w:val="false"/>
              <w:spacing w:before="96" w:after="96"/>
              <w:rPr>
                <w:sz w:val="18"/>
                <w:szCs w:val="18"/>
              </w:rPr>
            </w:pPr>
            <w:r>
              <w:rPr>
                <w:sz w:val="18"/>
                <w:szCs w:val="18"/>
              </w:rPr>
              <w:t xml:space="preserve">Наличие опыта будет оцениваться, по подтверждённым сведениям, о выполнении Участником работ.  </w:t>
            </w:r>
          </w:p>
          <w:p>
            <w:pPr>
              <w:pStyle w:val="Normal"/>
              <w:widowControl w:val="false"/>
              <w:spacing w:before="96" w:after="96"/>
              <w:rPr>
                <w:sz w:val="18"/>
                <w:szCs w:val="18"/>
              </w:rPr>
            </w:pPr>
            <w:r>
              <w:rPr>
                <w:sz w:val="18"/>
                <w:szCs w:val="18"/>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99"/>
              <w:gridCol w:w="2659"/>
              <w:gridCol w:w="708"/>
            </w:tblGrid>
            <w:tr>
              <w:trPr>
                <w:trHeight w:val="302" w:hRule="atLeast"/>
                <w:cantSplit w:val="true"/>
              </w:trPr>
              <w:tc>
                <w:tcPr>
                  <w:tcW w:w="49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0</w:t>
                  </w:r>
                </w:p>
              </w:tc>
              <w:tc>
                <w:tcPr>
                  <w:tcW w:w="2659" w:type="dxa"/>
                  <w:tcBorders>
                    <w:bottom w:val="single" w:sz="8" w:space="0" w:color="000000"/>
                  </w:tcBorders>
                </w:tcPr>
                <w:p>
                  <w:pPr>
                    <w:pStyle w:val="Normal"/>
                    <w:widowControl w:val="false"/>
                    <w:spacing w:before="96" w:after="96"/>
                    <w:rPr>
                      <w:sz w:val="18"/>
                      <w:szCs w:val="18"/>
                    </w:rPr>
                  </w:pPr>
                  <w:r>
                    <w:rPr>
                      <w:sz w:val="18"/>
                      <w:szCs w:val="18"/>
                    </w:rPr>
                    <w:t>0%- 30 % НМЦ «без учета НДС» включительно; .</w:t>
                  </w:r>
                </w:p>
              </w:tc>
              <w:tc>
                <w:tcPr>
                  <w:tcW w:w="708" w:type="dxa"/>
                  <w:tcBorders/>
                  <w:tcMar>
                    <w:left w:w="0" w:type="dxa"/>
                    <w:right w:w="10" w:type="dxa"/>
                  </w:tcMar>
                </w:tcPr>
                <w:p>
                  <w:pPr>
                    <w:pStyle w:val="Normal"/>
                    <w:widowControl w:val="false"/>
                    <w:rPr/>
                  </w:pPr>
                  <w:r>
                    <w:rPr/>
                  </w:r>
                </w:p>
              </w:tc>
            </w:tr>
            <w:tr>
              <w:trPr>
                <w:cantSplit w:val="true"/>
              </w:trPr>
              <w:tc>
                <w:tcPr>
                  <w:tcW w:w="49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1</w:t>
                  </w:r>
                </w:p>
              </w:tc>
              <w:tc>
                <w:tcPr>
                  <w:tcW w:w="3367" w:type="dxa"/>
                  <w:gridSpan w:val="2"/>
                  <w:tcBorders>
                    <w:bottom w:val="single" w:sz="8" w:space="0" w:color="000000"/>
                  </w:tcBorders>
                </w:tcPr>
                <w:p>
                  <w:pPr>
                    <w:pStyle w:val="Normal"/>
                    <w:widowControl w:val="false"/>
                    <w:spacing w:before="96" w:after="96"/>
                    <w:rPr>
                      <w:sz w:val="18"/>
                      <w:szCs w:val="18"/>
                    </w:rPr>
                  </w:pPr>
                  <w:r>
                    <w:rPr>
                      <w:sz w:val="18"/>
                      <w:szCs w:val="18"/>
                    </w:rPr>
                    <w:t>Более 30 до 40  % (включительно) НМЦ «без учета НДС»,;</w:t>
                  </w:r>
                </w:p>
              </w:tc>
            </w:tr>
            <w:tr>
              <w:trPr>
                <w:cantSplit w:val="true"/>
              </w:trPr>
              <w:tc>
                <w:tcPr>
                  <w:tcW w:w="49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2</w:t>
                  </w:r>
                </w:p>
              </w:tc>
              <w:tc>
                <w:tcPr>
                  <w:tcW w:w="3367" w:type="dxa"/>
                  <w:gridSpan w:val="2"/>
                  <w:tcBorders>
                    <w:bottom w:val="single" w:sz="8" w:space="0" w:color="000000"/>
                  </w:tcBorders>
                </w:tcPr>
                <w:p>
                  <w:pPr>
                    <w:pStyle w:val="Normal"/>
                    <w:widowControl w:val="false"/>
                    <w:spacing w:before="96" w:after="96"/>
                    <w:rPr>
                      <w:sz w:val="18"/>
                      <w:szCs w:val="18"/>
                    </w:rPr>
                  </w:pPr>
                  <w:r>
                    <w:rPr>
                      <w:sz w:val="18"/>
                      <w:szCs w:val="18"/>
                    </w:rPr>
                    <w:t>Более 40 до 50 % (включительно) НМЦ «без учета НДС».;</w:t>
                  </w:r>
                </w:p>
              </w:tc>
            </w:tr>
            <w:tr>
              <w:trPr>
                <w:cantSplit w:val="true"/>
              </w:trPr>
              <w:tc>
                <w:tcPr>
                  <w:tcW w:w="49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3</w:t>
                  </w:r>
                </w:p>
              </w:tc>
              <w:tc>
                <w:tcPr>
                  <w:tcW w:w="3367" w:type="dxa"/>
                  <w:gridSpan w:val="2"/>
                  <w:tcBorders>
                    <w:bottom w:val="single" w:sz="8" w:space="0" w:color="000000"/>
                  </w:tcBorders>
                </w:tcPr>
                <w:p>
                  <w:pPr>
                    <w:pStyle w:val="Normal"/>
                    <w:widowControl w:val="false"/>
                    <w:spacing w:before="96" w:after="96"/>
                    <w:rPr>
                      <w:sz w:val="18"/>
                      <w:szCs w:val="18"/>
                    </w:rPr>
                  </w:pPr>
                  <w:r>
                    <w:rPr>
                      <w:sz w:val="18"/>
                      <w:szCs w:val="18"/>
                    </w:rPr>
                    <w:t>Более 50 до 60 % (включительно) НМЦ «без учета НДС».;</w:t>
                  </w:r>
                </w:p>
              </w:tc>
            </w:tr>
            <w:tr>
              <w:trPr>
                <w:cantSplit w:val="true"/>
              </w:trPr>
              <w:tc>
                <w:tcPr>
                  <w:tcW w:w="49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4</w:t>
                  </w:r>
                </w:p>
              </w:tc>
              <w:tc>
                <w:tcPr>
                  <w:tcW w:w="3367" w:type="dxa"/>
                  <w:gridSpan w:val="2"/>
                  <w:tcBorders>
                    <w:bottom w:val="single" w:sz="8" w:space="0" w:color="000000"/>
                  </w:tcBorders>
                </w:tcPr>
                <w:p>
                  <w:pPr>
                    <w:pStyle w:val="Normal"/>
                    <w:widowControl w:val="false"/>
                    <w:spacing w:before="96" w:after="96"/>
                    <w:rPr>
                      <w:sz w:val="18"/>
                      <w:szCs w:val="18"/>
                    </w:rPr>
                  </w:pPr>
                  <w:r>
                    <w:rPr>
                      <w:sz w:val="18"/>
                      <w:szCs w:val="18"/>
                    </w:rPr>
                    <w:t>Более 60 до 70 % (включительно) НМЦ «без учета НДС»,</w:t>
                  </w:r>
                </w:p>
              </w:tc>
            </w:tr>
            <w:tr>
              <w:trPr>
                <w:cantSplit w:val="true"/>
              </w:trPr>
              <w:tc>
                <w:tcPr>
                  <w:tcW w:w="499" w:type="dxa"/>
                  <w:tcBorders>
                    <w:top w:val="single" w:sz="8" w:space="0" w:color="000000"/>
                    <w:bottom w:val="single" w:sz="4"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5</w:t>
                  </w:r>
                </w:p>
              </w:tc>
              <w:tc>
                <w:tcPr>
                  <w:tcW w:w="3367" w:type="dxa"/>
                  <w:gridSpan w:val="2"/>
                  <w:tcBorders>
                    <w:top w:val="single" w:sz="8" w:space="0" w:color="000000"/>
                    <w:bottom w:val="single" w:sz="4" w:space="0" w:color="000000"/>
                  </w:tcBorders>
                </w:tcPr>
                <w:p>
                  <w:pPr>
                    <w:pStyle w:val="Normal"/>
                    <w:widowControl w:val="false"/>
                    <w:spacing w:before="96" w:after="96"/>
                    <w:rPr>
                      <w:sz w:val="18"/>
                      <w:szCs w:val="18"/>
                    </w:rPr>
                  </w:pPr>
                  <w:r>
                    <w:rPr>
                      <w:sz w:val="18"/>
                      <w:szCs w:val="18"/>
                    </w:rPr>
                    <w:t>выше 70 % НМЦ «без учета НДС».</w:t>
                  </w:r>
                </w:p>
              </w:tc>
            </w:tr>
            <w:tr>
              <w:trPr>
                <w:cantSplit w:val="true"/>
              </w:trPr>
              <w:tc>
                <w:tcPr>
                  <w:tcW w:w="3866" w:type="dxa"/>
                  <w:gridSpan w:val="3"/>
                  <w:tcBorders>
                    <w:top w:val="single" w:sz="4"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        рассчитанная оценка предпочтительности по данному частному критерию оценки в баллах.</w:t>
                  </w:r>
                </w:p>
                <w:p>
                  <w:pPr>
                    <w:pStyle w:val="Normal"/>
                    <w:widowControl w:val="false"/>
                    <w:spacing w:before="96" w:after="96"/>
                    <w:rPr>
                      <w:sz w:val="18"/>
                      <w:szCs w:val="18"/>
                    </w:rPr>
                  </w:pPr>
                  <w:r>
                    <w:rPr>
                      <w:b/>
                      <w:sz w:val="18"/>
                      <w:szCs w:val="18"/>
                    </w:rPr>
                    <w:t>Шкала оценок от 0 до 5 баллов.</w:t>
                  </w:r>
                </w:p>
              </w:tc>
            </w:tr>
          </w:tbl>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r>
          </w:p>
        </w:tc>
      </w:tr>
      <w:tr>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40" w:after="40"/>
              <w:jc w:val="center"/>
              <w:rPr>
                <w:rFonts w:ascii="Times New Roman" w:hAnsi="Times New Roman" w:eastAsia="Times New Roman" w:cs="Times New Roman"/>
                <w:sz w:val="18"/>
                <w:szCs w:val="18"/>
              </w:rPr>
            </w:pPr>
            <w:r>
              <w:rPr>
                <w:rFonts w:eastAsia="Times New Roman" w:cs="Times New Roman"/>
                <w:sz w:val="18"/>
                <w:szCs w:val="18"/>
                <w:lang w:val="en-US"/>
              </w:rPr>
              <w:t>3.</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rFonts w:ascii="Times New Roman" w:hAnsi="Times New Roman" w:eastAsia="Times New Roman" w:cs="Times New Roman"/>
                <w:sz w:val="18"/>
                <w:szCs w:val="18"/>
              </w:rPr>
            </w:pPr>
            <w:r>
              <w:rPr>
                <w:rFonts w:eastAsia="Times New Roman" w:cs="Times New Roman"/>
                <w:sz w:val="18"/>
                <w:szCs w:val="18"/>
                <w:lang w:val="en-US"/>
              </w:rPr>
              <w:t>ОРГ</w:t>
            </w:r>
          </w:p>
        </w:tc>
        <w:tc>
          <w:tcPr>
            <w:tcW w:w="2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rFonts w:ascii="Times New Roman" w:hAnsi="Times New Roman" w:eastAsia="Times New Roman" w:cs="Times New Roman"/>
                <w:sz w:val="18"/>
                <w:szCs w:val="18"/>
              </w:rPr>
            </w:pPr>
            <w:bookmarkStart w:id="1" w:name="Финсостояние"/>
            <w:r>
              <w:rPr>
                <w:rFonts w:eastAsia="Times New Roman" w:cs="Times New Roman"/>
                <w:sz w:val="18"/>
                <w:szCs w:val="18"/>
              </w:rPr>
              <w:t>Финансовое состояние (устойчивость) Участника</w:t>
            </w:r>
            <w:bookmarkEnd w:id="1"/>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rFonts w:ascii="Times New Roman" w:hAnsi="Times New Roman" w:eastAsia="Times New Roman" w:cs="Times New Roman"/>
                <w:i/>
                <w:i/>
                <w:sz w:val="18"/>
                <w:szCs w:val="18"/>
              </w:rPr>
            </w:pPr>
            <w:r>
              <w:rPr>
                <w:rFonts w:eastAsia="Times New Roman" w:cs="Times New Roman"/>
                <w:i/>
                <w:sz w:val="18"/>
                <w:szCs w:val="18"/>
              </w:rPr>
              <w:t>отсутствует</w:t>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rFonts w:ascii="Times New Roman" w:hAnsi="Times New Roman" w:eastAsia="Times New Roman" w:cs="Times New Roman"/>
                <w:sz w:val="18"/>
                <w:szCs w:val="18"/>
              </w:rPr>
            </w:pPr>
            <w:r>
              <w:rPr>
                <w:rFonts w:eastAsia="Times New Roman" w:cs="Times New Roman"/>
                <w:sz w:val="18"/>
                <w:szCs w:val="18"/>
              </w:rPr>
              <w:t>5%</w:t>
              <w:br/>
              <w:t>(В</w:t>
            </w:r>
            <w:r>
              <w:rPr>
                <w:rFonts w:eastAsia="Times New Roman" w:cs="Times New Roman"/>
                <w:sz w:val="18"/>
                <w:szCs w:val="18"/>
                <w:vertAlign w:val="subscript"/>
                <w:lang w:val="en-US"/>
              </w:rPr>
              <w:t>3</w:t>
            </w:r>
            <w:r>
              <w:rPr>
                <w:rFonts w:eastAsia="Times New Roman" w:cs="Times New Roman"/>
                <w:sz w:val="18"/>
                <w:szCs w:val="18"/>
              </w:rPr>
              <w:t xml:space="preserve"> = 0,05)</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both"/>
              <w:rPr>
                <w:rFonts w:ascii="Times New Roman" w:hAnsi="Times New Roman" w:eastAsia="Times New Roman" w:cs="Times New Roman"/>
                <w:sz w:val="18"/>
                <w:szCs w:val="18"/>
              </w:rPr>
            </w:pPr>
            <w:r>
              <w:rPr>
                <w:rFonts w:eastAsia="Times New Roman" w:cs="Times New Roman"/>
                <w:sz w:val="18"/>
                <w:szCs w:val="18"/>
              </w:rPr>
              <w:t>Чем выше результат оценки финансового состояния (устойчивости) Участника, тем выше предпочтительность</w:t>
            </w:r>
          </w:p>
        </w:tc>
        <w:tc>
          <w:tcPr>
            <w:tcW w:w="40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18"/>
                <w:szCs w:val="18"/>
              </w:rPr>
            </w:pPr>
            <w:r>
              <w:rPr>
                <w:rFonts w:eastAsia="Times New Roman" w:cs="Times New Roman"/>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pacing w:lineRule="auto" w:line="240" w:before="120" w:after="0"/>
              <w:rPr>
                <w:rFonts w:ascii="Times New Roman" w:hAnsi="Times New Roman" w:eastAsia="Times New Roman" w:cs="Times New Roman"/>
                <w:sz w:val="18"/>
                <w:szCs w:val="18"/>
              </w:rPr>
            </w:pPr>
            <w:r>
              <w:rPr>
                <w:rFonts w:eastAsia="Times New Roman" w:cs="Times New Roman"/>
                <w:sz w:val="18"/>
                <w:szCs w:val="18"/>
              </w:rPr>
              <w:t xml:space="preserve">Порядок осуществления оценки (значение оцениваемого параметра), в зависимости от полученного Участником (с </w:t>
            </w:r>
            <w:r>
              <w:rPr>
                <w:rFonts w:eastAsia="Times New Roman" w:cs="Times New Roman"/>
                <w:i/>
                <w:sz w:val="18"/>
                <w:szCs w:val="18"/>
                <w:lang w:val="en-US"/>
              </w:rPr>
              <w:t>i</w:t>
            </w:r>
            <w:r>
              <w:rPr>
                <w:rFonts w:eastAsia="Times New Roman" w:cs="Times New Roman"/>
                <w:sz w:val="18"/>
                <w:szCs w:val="18"/>
              </w:rPr>
              <w:t xml:space="preserve">-ой заявкой) значения расчетного балла </w:t>
            </w:r>
            <w:bookmarkStart w:id="2" w:name="_Hlk140493522"/>
            <w:r>
              <w:rPr>
                <w:rFonts w:eastAsia="Times New Roman" w:cs="Times New Roman"/>
                <w:sz w:val="18"/>
                <w:szCs w:val="18"/>
              </w:rPr>
              <w:t>(интегрального показателя финансового состояния)</w:t>
            </w:r>
            <w:bookmarkEnd w:id="2"/>
            <w:r>
              <w:rPr>
                <w:rFonts w:eastAsia="Times New Roman" w:cs="Times New Roman"/>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Normal"/>
              <w:widowControl w:val="false"/>
              <w:numPr>
                <w:ilvl w:val="0"/>
                <w:numId w:val="2"/>
              </w:numPr>
              <w:suppressAutoHyphens w:val="true"/>
              <w:spacing w:lineRule="auto" w:line="240" w:before="120" w:after="0"/>
              <w:ind w:left="346" w:hanging="284"/>
              <w:rPr>
                <w:rFonts w:ascii="Times New Roman" w:hAnsi="Times New Roman" w:eastAsia="Times New Roman" w:cs="Times New Roman"/>
                <w:sz w:val="18"/>
                <w:szCs w:val="18"/>
              </w:rPr>
            </w:pPr>
            <w:r>
              <w:rPr>
                <w:rFonts w:eastAsia="Times New Roman" w:cs="Times New Roman"/>
                <w:sz w:val="18"/>
                <w:szCs w:val="18"/>
              </w:rPr>
              <w:t>порядок проведения оценки финансового состояния (устойчивости) Участника</w:t>
            </w:r>
            <w:r>
              <w:rPr>
                <w:rStyle w:val="FootnoteReference"/>
                <w:rFonts w:eastAsia="Times New Roman" w:cs="Times New Roman"/>
                <w:sz w:val="18"/>
                <w:szCs w:val="18"/>
                <w:vertAlign w:val="superscript"/>
              </w:rPr>
              <w:footnoteReference w:id="2"/>
            </w:r>
            <w:r>
              <w:rPr>
                <w:rFonts w:eastAsia="Times New Roman" w:cs="Times New Roman"/>
                <w:sz w:val="18"/>
                <w:szCs w:val="18"/>
              </w:rPr>
              <w:t xml:space="preserve"> установлен Приложением 5 к Положению об аккредитации;</w:t>
            </w:r>
          </w:p>
          <w:p>
            <w:pPr>
              <w:pStyle w:val="Normal"/>
              <w:widowControl w:val="false"/>
              <w:numPr>
                <w:ilvl w:val="0"/>
                <w:numId w:val="2"/>
              </w:numPr>
              <w:suppressAutoHyphens w:val="true"/>
              <w:spacing w:lineRule="auto" w:line="240" w:before="120" w:after="0"/>
              <w:ind w:left="346" w:hanging="284"/>
              <w:rPr>
                <w:rFonts w:ascii="Times New Roman" w:hAnsi="Times New Roman" w:eastAsia="Times New Roman" w:cs="Times New Roman"/>
                <w:sz w:val="18"/>
                <w:szCs w:val="18"/>
              </w:rPr>
            </w:pPr>
            <w:r>
              <w:rPr>
                <w:rFonts w:eastAsia="Times New Roman" w:cs="Times New Roman"/>
                <w:sz w:val="18"/>
                <w:szCs w:val="18"/>
              </w:rPr>
              <w:t>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
              <w:r>
                <w:rPr>
                  <w:rFonts w:eastAsia="Times New Roman" w:cs="Times New Roman"/>
                  <w:color w:val="0563C1" w:themeColor="hyperlink"/>
                  <w:sz w:val="18"/>
                  <w:szCs w:val="18"/>
                  <w:u w:val="single"/>
                </w:rPr>
                <w:t>https://bo.nalog.ru</w:t>
              </w:r>
            </w:hyperlink>
            <w:r>
              <w:rPr>
                <w:rFonts w:eastAsia="Times New Roman" w:cs="Times New Roman"/>
                <w:sz w:val="18"/>
                <w:szCs w:val="18"/>
              </w:rPr>
              <w:t xml:space="preserve">) за предыдущий отчетный период (год). </w:t>
            </w:r>
          </w:p>
          <w:p>
            <w:pPr>
              <w:pStyle w:val="Normal"/>
              <w:widowControl w:val="false"/>
              <w:spacing w:lineRule="auto" w:line="240" w:before="120" w:after="0"/>
              <w:ind w:left="346" w:hanging="0"/>
              <w:rPr>
                <w:rFonts w:ascii="Times New Roman" w:hAnsi="Times New Roman" w:eastAsia="Times New Roman" w:cs="Times New Roman"/>
                <w:sz w:val="18"/>
                <w:szCs w:val="18"/>
              </w:rPr>
            </w:pPr>
            <w:r>
              <w:rPr>
                <w:rFonts w:eastAsia="Times New Roman" w:cs="Times New Roman"/>
                <w:sz w:val="18"/>
                <w:szCs w:val="18"/>
              </w:rPr>
              <w:t>Если Участник в соответствии с законодательством РФ не размещает сведения о своей бухгалтерской (финансовой) отчетности в упомянутом государственном информационном ресурсе –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numPr>
                <w:ilvl w:val="0"/>
                <w:numId w:val="2"/>
              </w:numPr>
              <w:suppressAutoHyphens w:val="true"/>
              <w:spacing w:lineRule="auto" w:line="240" w:before="120" w:after="120"/>
              <w:ind w:left="346" w:hanging="284"/>
              <w:rPr>
                <w:rFonts w:ascii="Times New Roman" w:hAnsi="Times New Roman" w:eastAsia="Times New Roman" w:cs="Times New Roman"/>
                <w:sz w:val="18"/>
                <w:szCs w:val="18"/>
              </w:rPr>
            </w:pPr>
            <w:r>
              <w:rPr>
                <w:rFonts w:eastAsia="Times New Roman" w:cs="Times New Roman"/>
                <w:sz w:val="18"/>
                <w:szCs w:val="18"/>
              </w:rPr>
              <w:t>оценки предпочтительности по частному критерию осуществляется в соответствии со шкалой:</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853"/>
              <w:gridCol w:w="3012"/>
            </w:tblGrid>
            <w:tr>
              <w:trPr>
                <w:cantSplit w:val="true"/>
              </w:trPr>
              <w:tc>
                <w:tcPr>
                  <w:tcW w:w="853" w:type="dxa"/>
                  <w:tcBorders>
                    <w:bottom w:val="single" w:sz="4" w:space="0" w:color="000000"/>
                    <w:right w:val="single" w:sz="4" w:space="0" w:color="000000"/>
                  </w:tcBorders>
                </w:tcPr>
                <w:p>
                  <w:pPr>
                    <w:pStyle w:val="Normal"/>
                    <w:widowControl w:val="false"/>
                    <w:numPr>
                      <w:ilvl w:val="7"/>
                      <w:numId w:val="11"/>
                    </w:numPr>
                    <w:suppressAutoHyphens w:val="true"/>
                    <w:spacing w:lineRule="auto" w:line="240" w:before="40" w:after="40"/>
                    <w:jc w:val="center"/>
                    <w:rPr>
                      <w:rFonts w:ascii="Calibri" w:hAnsi="Calibri" w:eastAsia="Times New Roman" w:cs="Times New Roman"/>
                      <w:sz w:val="18"/>
                      <w:szCs w:val="18"/>
                    </w:rPr>
                  </w:pPr>
                  <w:r>
                    <w:rPr>
                      <w:rFonts w:eastAsia="Times New Roman" w:cs="Times New Roman"/>
                      <w:sz w:val="18"/>
                      <w:szCs w:val="18"/>
                    </w:rPr>
                    <w:t>Б</w:t>
                  </w:r>
                  <w:r>
                    <w:rPr>
                      <w:rFonts w:eastAsia="Times New Roman" w:cs="Times New Roman"/>
                      <w:sz w:val="18"/>
                      <w:szCs w:val="18"/>
                      <w:vertAlign w:val="subscript"/>
                      <w:lang w:val="en-US"/>
                    </w:rPr>
                    <w:t>3</w:t>
                  </w:r>
                  <w:r>
                    <w:rPr>
                      <w:rFonts w:eastAsia="Times New Roman" w:cs="Times New Roman"/>
                      <w:sz w:val="18"/>
                      <w:szCs w:val="18"/>
                    </w:rPr>
                    <w:t xml:space="preserve"> = 0</w:t>
                  </w:r>
                </w:p>
              </w:tc>
              <w:tc>
                <w:tcPr>
                  <w:tcW w:w="3012"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eastAsia="Times New Roman" w:cs="Times New Roman"/>
                      <w:sz w:val="18"/>
                      <w:szCs w:val="18"/>
                    </w:rPr>
                  </w:pPr>
                  <w:r>
                    <w:rPr>
                      <w:rFonts w:eastAsia="Times New Roman" w:cs="Times New Roman"/>
                      <w:sz w:val="18"/>
                      <w:szCs w:val="18"/>
                    </w:rPr>
                    <w:t>Результат оценки финансового состояния (устойчивости): менее 0,45 балла – Кризисное финансовое состояние;</w:t>
                  </w:r>
                </w:p>
                <w:p>
                  <w:pPr>
                    <w:pStyle w:val="Normal"/>
                    <w:widowControl w:val="false"/>
                    <w:spacing w:lineRule="auto" w:line="240" w:before="0" w:after="0"/>
                    <w:rPr>
                      <w:rFonts w:ascii="Times New Roman" w:hAnsi="Times New Roman" w:eastAsia="Times New Roman" w:cs="Times New Roman"/>
                      <w:i/>
                      <w:i/>
                      <w:iCs/>
                      <w:sz w:val="18"/>
                      <w:szCs w:val="18"/>
                    </w:rPr>
                  </w:pPr>
                  <w:r>
                    <w:rPr>
                      <w:rFonts w:eastAsia="Times New Roman" w:cs="Times New Roman"/>
                      <w:i/>
                      <w:iCs/>
                      <w:sz w:val="18"/>
                      <w:szCs w:val="18"/>
                    </w:rPr>
                    <w:t>или</w:t>
                  </w:r>
                </w:p>
                <w:p>
                  <w:pPr>
                    <w:pStyle w:val="Normal"/>
                    <w:widowControl w:val="false"/>
                    <w:spacing w:lineRule="auto" w:line="240" w:before="0" w:after="0"/>
                    <w:rPr>
                      <w:rFonts w:ascii="Times New Roman" w:hAnsi="Times New Roman" w:eastAsia="Times New Roman" w:cs="Times New Roman"/>
                      <w:sz w:val="18"/>
                      <w:szCs w:val="18"/>
                    </w:rPr>
                  </w:pPr>
                  <w:r>
                    <w:rPr>
                      <w:rFonts w:eastAsia="Times New Roman" w:cs="Times New Roman"/>
                      <w:sz w:val="18"/>
                      <w:szCs w:val="18"/>
                    </w:rPr>
                    <w:t xml:space="preserve">в случае отсутствия исходных данных для оценки финансового состояния Участника, в том числе если он является: </w:t>
                  </w:r>
                </w:p>
                <w:p>
                  <w:pPr>
                    <w:pStyle w:val="Normal"/>
                    <w:widowControl w:val="false"/>
                    <w:numPr>
                      <w:ilvl w:val="4"/>
                      <w:numId w:val="12"/>
                    </w:numPr>
                    <w:tabs>
                      <w:tab w:val="left" w:pos="708" w:leader="none"/>
                    </w:tabs>
                    <w:suppressAutoHyphens w:val="true"/>
                    <w:spacing w:lineRule="auto" w:line="240" w:before="40" w:after="40"/>
                    <w:ind w:left="209" w:hanging="209"/>
                    <w:outlineLvl w:val="4"/>
                    <w:rPr>
                      <w:rFonts w:ascii="Times New Roman" w:hAnsi="Times New Roman" w:cs="Times New Roman"/>
                      <w:sz w:val="18"/>
                      <w:szCs w:val="18"/>
                    </w:rPr>
                  </w:pPr>
                  <w:r>
                    <w:rPr>
                      <w:rFonts w:cs="Times New Roman"/>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Normal"/>
                    <w:widowControl w:val="false"/>
                    <w:numPr>
                      <w:ilvl w:val="4"/>
                      <w:numId w:val="13"/>
                    </w:numPr>
                    <w:tabs>
                      <w:tab w:val="left" w:pos="708" w:leader="none"/>
                    </w:tabs>
                    <w:suppressAutoHyphens w:val="true"/>
                    <w:spacing w:lineRule="auto" w:line="240" w:before="40" w:after="40"/>
                    <w:ind w:left="209" w:hanging="209"/>
                    <w:outlineLvl w:val="4"/>
                    <w:rPr>
                      <w:rFonts w:ascii="Times New Roman" w:hAnsi="Times New Roman" w:cs="Times New Roman"/>
                      <w:sz w:val="18"/>
                      <w:szCs w:val="18"/>
                      <w:lang w:eastAsia="ru-RU"/>
                    </w:rPr>
                  </w:pPr>
                  <w:r>
                    <w:rPr>
                      <w:rFonts w:cs="Times New Roman"/>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cantSplit w:val="true"/>
              </w:trPr>
              <w:tc>
                <w:tcPr>
                  <w:tcW w:w="853" w:type="dxa"/>
                  <w:tcBorders>
                    <w:top w:val="single" w:sz="4" w:space="0" w:color="000000"/>
                    <w:bottom w:val="single" w:sz="4" w:space="0" w:color="000000"/>
                    <w:right w:val="single" w:sz="4" w:space="0" w:color="000000"/>
                  </w:tcBorders>
                </w:tcPr>
                <w:p>
                  <w:pPr>
                    <w:pStyle w:val="Normal"/>
                    <w:widowControl w:val="false"/>
                    <w:numPr>
                      <w:ilvl w:val="7"/>
                      <w:numId w:val="14"/>
                    </w:numPr>
                    <w:suppressAutoHyphens w:val="true"/>
                    <w:spacing w:lineRule="auto" w:line="240" w:before="40" w:after="40"/>
                    <w:jc w:val="center"/>
                    <w:rPr>
                      <w:rFonts w:ascii="Times New Roman" w:hAnsi="Times New Roman" w:eastAsia="Times New Roman" w:cs="Times New Roman"/>
                      <w:sz w:val="18"/>
                      <w:szCs w:val="18"/>
                    </w:rPr>
                  </w:pPr>
                  <w:r>
                    <w:rPr>
                      <w:rFonts w:eastAsia="Times New Roman" w:cs="Times New Roman"/>
                      <w:sz w:val="18"/>
                      <w:szCs w:val="18"/>
                    </w:rPr>
                    <w:t>Б</w:t>
                  </w:r>
                  <w:r>
                    <w:rPr>
                      <w:rFonts w:eastAsia="Times New Roman" w:cs="Times New Roman"/>
                      <w:sz w:val="18"/>
                      <w:szCs w:val="18"/>
                      <w:vertAlign w:val="subscript"/>
                      <w:lang w:val="en-US"/>
                    </w:rPr>
                    <w:t>3</w:t>
                  </w:r>
                  <w:r>
                    <w:rPr>
                      <w:rFonts w:eastAsia="Times New Roman" w:cs="Times New Roman"/>
                      <w:sz w:val="18"/>
                      <w:szCs w:val="18"/>
                    </w:rPr>
                    <w:t xml:space="preserve"> = 3</w:t>
                  </w:r>
                </w:p>
              </w:tc>
              <w:tc>
                <w:tcPr>
                  <w:tcW w:w="3012" w:type="dxa"/>
                  <w:tcBorders>
                    <w:top w:val="single" w:sz="4" w:space="0" w:color="000000"/>
                    <w:left w:val="single" w:sz="4" w:space="0" w:color="000000"/>
                    <w:bottom w:val="single" w:sz="4" w:space="0" w:color="000000"/>
                  </w:tcBorders>
                </w:tcPr>
                <w:p>
                  <w:pPr>
                    <w:pStyle w:val="Normal"/>
                    <w:widowControl w:val="false"/>
                    <w:numPr>
                      <w:ilvl w:val="0"/>
                      <w:numId w:val="0"/>
                    </w:numPr>
                    <w:tabs>
                      <w:tab w:val="left" w:pos="360" w:leader="none"/>
                      <w:tab w:val="left" w:pos="708" w:leader="none"/>
                    </w:tabs>
                    <w:suppressAutoHyphens w:val="true"/>
                    <w:spacing w:lineRule="auto" w:line="240" w:before="40" w:after="40"/>
                    <w:ind w:left="0" w:hanging="0"/>
                    <w:outlineLvl w:val="4"/>
                    <w:rPr>
                      <w:rFonts w:ascii="Times New Roman" w:hAnsi="Times New Roman" w:cs="Times New Roman"/>
                      <w:sz w:val="18"/>
                      <w:szCs w:val="18"/>
                      <w:lang w:eastAsia="ru-RU"/>
                    </w:rPr>
                  </w:pPr>
                  <w:r>
                    <w:rPr>
                      <w:rFonts w:cs="Times New Roman"/>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cantSplit w:val="true"/>
              </w:trPr>
              <w:tc>
                <w:tcPr>
                  <w:tcW w:w="853" w:type="dxa"/>
                  <w:tcBorders>
                    <w:top w:val="single" w:sz="4" w:space="0" w:color="000000"/>
                    <w:bottom w:val="single" w:sz="4" w:space="0" w:color="000000"/>
                    <w:right w:val="single" w:sz="4" w:space="0" w:color="000000"/>
                  </w:tcBorders>
                </w:tcPr>
                <w:p>
                  <w:pPr>
                    <w:pStyle w:val="Normal"/>
                    <w:widowControl w:val="false"/>
                    <w:numPr>
                      <w:ilvl w:val="7"/>
                      <w:numId w:val="15"/>
                    </w:numPr>
                    <w:suppressAutoHyphens w:val="true"/>
                    <w:spacing w:lineRule="auto" w:line="240" w:before="40" w:after="40"/>
                    <w:jc w:val="center"/>
                    <w:rPr>
                      <w:rFonts w:ascii="Times New Roman" w:hAnsi="Times New Roman" w:eastAsia="Times New Roman" w:cs="Times New Roman"/>
                      <w:sz w:val="18"/>
                      <w:szCs w:val="18"/>
                    </w:rPr>
                  </w:pPr>
                  <w:r>
                    <w:rPr>
                      <w:rFonts w:eastAsia="Times New Roman" w:cs="Times New Roman"/>
                      <w:sz w:val="18"/>
                      <w:szCs w:val="18"/>
                    </w:rPr>
                    <w:t>Б</w:t>
                  </w:r>
                  <w:r>
                    <w:rPr>
                      <w:rFonts w:eastAsia="Times New Roman" w:cs="Times New Roman"/>
                      <w:sz w:val="18"/>
                      <w:szCs w:val="18"/>
                      <w:vertAlign w:val="subscript"/>
                      <w:lang w:val="en-US"/>
                    </w:rPr>
                    <w:t>3</w:t>
                  </w:r>
                  <w:r>
                    <w:rPr>
                      <w:rFonts w:eastAsia="Times New Roman" w:cs="Times New Roman"/>
                      <w:sz w:val="18"/>
                      <w:szCs w:val="18"/>
                    </w:rPr>
                    <w:t xml:space="preserve"> = 5</w:t>
                  </w:r>
                </w:p>
              </w:tc>
              <w:tc>
                <w:tcPr>
                  <w:tcW w:w="3012" w:type="dxa"/>
                  <w:tcBorders>
                    <w:top w:val="single" w:sz="4" w:space="0" w:color="000000"/>
                    <w:left w:val="single" w:sz="4" w:space="0" w:color="000000"/>
                    <w:bottom w:val="single" w:sz="4" w:space="0" w:color="000000"/>
                  </w:tcBorders>
                </w:tcPr>
                <w:p>
                  <w:pPr>
                    <w:pStyle w:val="Normal"/>
                    <w:widowControl w:val="false"/>
                    <w:numPr>
                      <w:ilvl w:val="0"/>
                      <w:numId w:val="0"/>
                    </w:numPr>
                    <w:tabs>
                      <w:tab w:val="left" w:pos="360" w:leader="none"/>
                      <w:tab w:val="left" w:pos="708" w:leader="none"/>
                    </w:tabs>
                    <w:suppressAutoHyphens w:val="true"/>
                    <w:spacing w:lineRule="auto" w:line="240" w:before="40" w:after="40"/>
                    <w:ind w:left="0" w:hanging="0"/>
                    <w:outlineLvl w:val="4"/>
                    <w:rPr>
                      <w:rFonts w:ascii="Times New Roman" w:hAnsi="Times New Roman" w:cs="Times New Roman"/>
                      <w:sz w:val="18"/>
                      <w:szCs w:val="18"/>
                      <w:lang w:eastAsia="ru-RU"/>
                    </w:rPr>
                  </w:pPr>
                  <w:r>
                    <w:rPr>
                      <w:rFonts w:cs="Times New Roman"/>
                      <w:sz w:val="18"/>
                      <w:szCs w:val="18"/>
                    </w:rPr>
                    <w:t>Результат оценки финансового состояния (устойчивости): более 0,90 балла – Удовлетворительное финансовое состояние.</w:t>
                  </w:r>
                </w:p>
              </w:tc>
            </w:tr>
          </w:tbl>
          <w:p>
            <w:pPr>
              <w:pStyle w:val="Normal"/>
              <w:widowControl w:val="false"/>
              <w:numPr>
                <w:ilvl w:val="6"/>
                <w:numId w:val="16"/>
              </w:numPr>
              <w:suppressAutoHyphens w:val="true"/>
              <w:spacing w:lineRule="auto" w:line="240" w:before="96" w:after="0"/>
              <w:rPr>
                <w:rFonts w:ascii="Times New Roman" w:hAnsi="Times New Roman" w:cs="Times New Roman"/>
                <w:sz w:val="18"/>
                <w:szCs w:val="18"/>
                <w:lang w:eastAsia="ru-RU"/>
              </w:rPr>
            </w:pPr>
            <w:r>
              <w:rPr>
                <w:rFonts w:cs="Times New Roman"/>
                <w:sz w:val="18"/>
                <w:szCs w:val="18"/>
                <w:lang w:eastAsia="ru-RU"/>
              </w:rPr>
              <w:t>где:</w:t>
            </w:r>
          </w:p>
          <w:p>
            <w:pPr>
              <w:pStyle w:val="Normal"/>
              <w:widowControl w:val="false"/>
              <w:numPr>
                <w:ilvl w:val="6"/>
                <w:numId w:val="17"/>
              </w:numPr>
              <w:tabs>
                <w:tab w:val="clear" w:pos="708"/>
                <w:tab w:val="left" w:pos="742" w:leader="none"/>
                <w:tab w:val="left" w:pos="1167" w:leader="none"/>
              </w:tabs>
              <w:suppressAutoHyphens w:val="true"/>
              <w:spacing w:lineRule="auto" w:line="240" w:before="0" w:after="0"/>
              <w:ind w:left="349" w:hanging="349"/>
              <w:rPr>
                <w:rFonts w:ascii="Times New Roman" w:hAnsi="Times New Roman" w:cs="Times New Roman"/>
                <w:sz w:val="18"/>
                <w:szCs w:val="18"/>
                <w:lang w:eastAsia="ru-RU"/>
              </w:rPr>
            </w:pPr>
            <w:r>
              <w:rPr>
                <w:rFonts w:cs="Times New Roman"/>
                <w:sz w:val="18"/>
                <w:szCs w:val="18"/>
                <w:lang w:eastAsia="ru-RU"/>
              </w:rPr>
              <w:t>Б</w:t>
            </w:r>
            <w:r>
              <w:rPr>
                <w:rFonts w:cs="Times New Roman"/>
                <w:sz w:val="18"/>
                <w:szCs w:val="18"/>
                <w:vertAlign w:val="subscript"/>
                <w:lang w:eastAsia="ru-RU"/>
              </w:rPr>
              <w:t>3</w:t>
            </w:r>
            <w:r>
              <w:rPr>
                <w:rFonts w:cs="Times New Roman"/>
                <w:sz w:val="18"/>
                <w:szCs w:val="18"/>
                <w:lang w:eastAsia="ru-RU"/>
              </w:rPr>
              <w:tab/>
              <w:t>–</w:t>
              <w:tab/>
              <w:t>рассчитанная оценка предпочтительности по данному частному критерию оценки в баллах.</w:t>
            </w:r>
          </w:p>
          <w:p>
            <w:pPr>
              <w:pStyle w:val="Normal"/>
              <w:widowControl w:val="false"/>
              <w:numPr>
                <w:ilvl w:val="0"/>
                <w:numId w:val="0"/>
              </w:numPr>
              <w:tabs>
                <w:tab w:val="left" w:pos="360" w:leader="none"/>
                <w:tab w:val="left" w:pos="708" w:leader="none"/>
              </w:tabs>
              <w:suppressAutoHyphens w:val="true"/>
              <w:spacing w:lineRule="auto" w:line="240" w:before="120" w:after="160"/>
              <w:ind w:left="0" w:hanging="0"/>
              <w:jc w:val="both"/>
              <w:outlineLvl w:val="2"/>
              <w:rPr>
                <w:rFonts w:ascii="Times New Roman" w:hAnsi="Times New Roman" w:eastAsia="Times New Roman" w:cs="Times New Roman"/>
                <w:color w:val="000000" w:themeColor="text1"/>
                <w:sz w:val="18"/>
                <w:szCs w:val="18"/>
              </w:rPr>
            </w:pPr>
            <w:bookmarkStart w:id="3" w:name="_Toc151555394"/>
            <w:r>
              <w:rPr>
                <w:rFonts w:eastAsia="Times New Roman" w:cs="Times New Roman"/>
                <w:color w:val="000000" w:themeColor="text1"/>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
          </w:p>
          <w:p>
            <w:pPr>
              <w:pStyle w:val="Normal"/>
              <w:widowControl w:val="false"/>
              <w:numPr>
                <w:ilvl w:val="7"/>
                <w:numId w:val="18"/>
              </w:numPr>
              <w:suppressAutoHyphens w:val="true"/>
              <w:spacing w:lineRule="auto" w:line="240" w:before="40" w:after="40"/>
              <w:rPr>
                <w:rFonts w:ascii="Times New Roman" w:hAnsi="Times New Roman" w:cs="Times New Roman"/>
                <w:sz w:val="18"/>
                <w:szCs w:val="18"/>
                <w:lang w:eastAsia="ru-RU"/>
              </w:rPr>
            </w:pPr>
            <w:r>
              <w:rPr>
                <w:rFonts w:cs="Times New Roman"/>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объемов поставки продукции (форма №</w:t>
            </w:r>
            <w:r>
              <w:rPr>
                <w:rFonts w:cs="Times New Roman"/>
                <w:sz w:val="18"/>
                <w:szCs w:val="18"/>
                <w:lang w:eastAsia="ru-RU"/>
              </w:rPr>
              <w:t xml:space="preserve"> 11)</w:t>
            </w:r>
            <w:r>
              <w:rPr>
                <w:rFonts w:cs="Times New Roman"/>
                <w:sz w:val="18"/>
                <w:szCs w:val="18"/>
              </w:rPr>
              <w:t>.</w:t>
            </w:r>
          </w:p>
          <w:p>
            <w:pPr>
              <w:pStyle w:val="Normal"/>
              <w:widowControl w:val="false"/>
              <w:spacing w:lineRule="auto" w:line="240" w:before="96" w:after="96"/>
              <w:rPr>
                <w:rFonts w:ascii="Times New Roman" w:hAnsi="Times New Roman" w:eastAsia="Times New Roman" w:cs="Times New Roman"/>
                <w:sz w:val="18"/>
                <w:szCs w:val="18"/>
              </w:rPr>
            </w:pPr>
            <w:r>
              <w:rPr>
                <w:rFonts w:eastAsia="Times New Roman" w:cs="Times New Roman"/>
                <w:sz w:val="18"/>
                <w:szCs w:val="18"/>
              </w:rPr>
              <w:t>Шкала оценок от 0 до 5 баллов.</w:t>
            </w:r>
          </w:p>
        </w:tc>
      </w:tr>
      <w:tr>
        <w:trPr/>
        <w:tc>
          <w:tcPr>
            <w:tcW w:w="6946"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right"/>
              <w:rPr>
                <w:sz w:val="18"/>
                <w:szCs w:val="18"/>
              </w:rPr>
            </w:pPr>
            <w:r>
              <w:rPr>
                <w:sz w:val="18"/>
                <w:szCs w:val="18"/>
              </w:rPr>
              <w:t>Итоговая оценка предпочтительности заявки:</w:t>
            </w:r>
          </w:p>
        </w:tc>
        <w:tc>
          <w:tcPr>
            <w:tcW w:w="737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120" w:after="0"/>
              <w:ind w:left="0" w:hanging="0"/>
              <w:rPr>
                <w:sz w:val="18"/>
                <w:szCs w:val="18"/>
              </w:rPr>
            </w:pPr>
            <w:r>
              <w:rPr>
                <w:sz w:val="18"/>
                <w:szCs w:val="18"/>
              </w:rPr>
              <w:t xml:space="preserve">Расчет итоговой оценки предпочтительности </w:t>
            </w:r>
            <w:r>
              <w:rPr>
                <w:i/>
                <w:sz w:val="18"/>
                <w:szCs w:val="18"/>
                <w:lang w:val="en-US"/>
              </w:rPr>
              <w:t>i</w:t>
            </w:r>
            <w:r>
              <w:rPr>
                <w:sz w:val="18"/>
                <w:szCs w:val="18"/>
              </w:rPr>
              <w:t>-ой заявки:</w:t>
            </w:r>
          </w:p>
          <w:p>
            <w:pPr>
              <w:pStyle w:val="Normal"/>
              <w:keepNext w:val="true"/>
              <w:widowControl w:val="false"/>
              <w:numPr>
                <w:ilvl w:val="0"/>
                <w:numId w:val="0"/>
              </w:numPr>
              <w:spacing w:before="120" w:after="0"/>
              <w:ind w:left="0" w:hanging="0"/>
              <w:jc w:val="center"/>
              <w:rPr>
                <w:sz w:val="18"/>
                <w:szCs w:val="18"/>
              </w:rPr>
            </w:pPr>
            <w:r>
              <w:rPr>
                <w:sz w:val="18"/>
                <w:szCs w:val="18"/>
              </w:rPr>
            </w:r>
          </w:p>
          <w:p>
            <w:pPr>
              <w:pStyle w:val="Normal"/>
              <w:keepNext w:val="true"/>
              <w:widowControl w:val="false"/>
              <w:numPr>
                <w:ilvl w:val="0"/>
                <w:numId w:val="0"/>
              </w:numPr>
              <w:spacing w:before="96" w:after="0"/>
              <w:ind w:left="0" w:hanging="0"/>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e>
                    </m:d>
                  </m:e>
                </m:nary>
                <m:r>
                  <w:rPr>
                    <w:rFonts w:ascii="Cambria Math" w:hAnsi="Cambria Math"/>
                  </w:rPr>
                  <m:t xml:space="preserve">,</m:t>
                </m:r>
              </m:oMath>
            </m:oMathPara>
          </w:p>
          <w:p>
            <w:pPr>
              <w:pStyle w:val="Normal"/>
              <w:keepNext w:val="true"/>
              <w:widowControl w:val="false"/>
              <w:numPr>
                <w:ilvl w:val="0"/>
                <w:numId w:val="0"/>
              </w:numPr>
              <w:spacing w:before="96" w:after="0"/>
              <w:ind w:left="0" w:hanging="0"/>
              <w:rPr>
                <w:sz w:val="18"/>
                <w:szCs w:val="18"/>
              </w:rPr>
            </w:pPr>
            <w:r>
              <w:rPr>
                <w:sz w:val="18"/>
                <w:szCs w:val="18"/>
              </w:rPr>
              <w:t>где:</w:t>
            </w:r>
          </w:p>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t>Б</w:t>
            </w:r>
            <w:r>
              <w:rPr>
                <w:sz w:val="18"/>
                <w:szCs w:val="18"/>
                <w:vertAlign w:val="subscript"/>
              </w:rPr>
              <w:t>ИТОГ</w:t>
            </w:r>
            <w:r>
              <w:rPr>
                <w:sz w:val="18"/>
                <w:szCs w:val="18"/>
              </w:rPr>
              <w:tab/>
              <w:t>–</w:t>
              <w:tab/>
              <w:t>рассчитанная итоговая оценка предпочтительности в баллах;</w:t>
            </w:r>
          </w:p>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t>Б</w:t>
            </w:r>
            <w:r>
              <w:rPr>
                <w:sz w:val="18"/>
                <w:szCs w:val="18"/>
                <w:vertAlign w:val="subscript"/>
              </w:rPr>
              <w:t>1 уровень k</w:t>
            </w:r>
            <w:r>
              <w:rPr>
                <w:sz w:val="18"/>
                <w:szCs w:val="18"/>
              </w:rPr>
              <w:tab/>
              <w:t>–</w:t>
              <w:tab/>
              <w:t>оценка предпочтительности по k-тому критерию оценки первого уровня в баллах;</w:t>
            </w:r>
          </w:p>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t>В</w:t>
            </w:r>
            <w:r>
              <w:rPr>
                <w:sz w:val="18"/>
                <w:szCs w:val="18"/>
                <w:vertAlign w:val="subscript"/>
              </w:rPr>
              <w:t>1 уровень k</w:t>
            </w:r>
            <w:r>
              <w:rPr>
                <w:sz w:val="18"/>
                <w:szCs w:val="18"/>
              </w:rPr>
              <w:tab/>
              <w:t>–</w:t>
              <w:tab/>
              <w:t>значимость k-ого критерия оценки первого уровня, выраженная в диапазоне от 1% до 100% (или от 0,01 до 1,00) – вес k-ого критерия оценки первого уровня.</w:t>
            </w:r>
          </w:p>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r>
          </w:p>
        </w:tc>
      </w:tr>
    </w:tbl>
    <w:p>
      <w:pPr>
        <w:pStyle w:val="Normal"/>
        <w:widowControl w:val="false"/>
        <w:tabs>
          <w:tab w:val="clear" w:pos="708"/>
          <w:tab w:val="left" w:pos="426" w:leader="none"/>
        </w:tabs>
        <w:spacing w:before="120" w:after="120"/>
        <w:jc w:val="both"/>
        <w:rPr>
          <w:i/>
          <w:i/>
          <w:iCs/>
          <w:sz w:val="24"/>
          <w:szCs w:val="24"/>
          <w:shd w:fill="FFFF99" w:val="clear"/>
        </w:rPr>
      </w:pPr>
      <w:r>
        <w:rPr>
          <w:i/>
          <w:iCs/>
          <w:sz w:val="24"/>
          <w:szCs w:val="24"/>
          <w:shd w:fill="FFFF99" w:val="clear"/>
        </w:rPr>
      </w:r>
    </w:p>
    <w:p>
      <w:pPr>
        <w:pStyle w:val="Normal"/>
        <w:jc w:val="center"/>
        <w:rPr>
          <w:i/>
          <w:i/>
          <w:iCs/>
          <w:sz w:val="24"/>
          <w:szCs w:val="24"/>
          <w:shd w:fill="FFFF99" w:val="clear"/>
        </w:rPr>
      </w:pPr>
      <w:r>
        <w:rPr>
          <w:i/>
          <w:iCs/>
          <w:sz w:val="24"/>
          <w:szCs w:val="24"/>
          <w:shd w:fill="FFFF99" w:val="clear"/>
        </w:rPr>
      </w:r>
    </w:p>
    <w:p>
      <w:pPr>
        <w:pStyle w:val="Normal"/>
        <w:rPr/>
      </w:pPr>
      <w:r>
        <w:rPr/>
      </w:r>
    </w:p>
    <w:sectPr>
      <w:footnotePr>
        <w:numFmt w:val="decimal"/>
      </w:footnotePr>
      <w:type w:val="nextPage"/>
      <w:pgSz w:orient="landscape" w:w="16838" w:h="11906"/>
      <w:pgMar w:left="992" w:right="1134" w:gutter="0" w:header="0" w:top="1134" w:footer="0" w:bottom="851"/>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widowControl w:val="false"/>
        <w:rPr/>
      </w:pPr>
      <w:r>
        <w:rPr>
          <w:rStyle w:val="Style11"/>
        </w:rPr>
        <w:footnoteRef/>
      </w:r>
      <w:r>
        <w:rPr/>
        <w:tab/>
        <w:t xml:space="preserve"> </w:t>
      </w:r>
      <w:r>
        <w:rPr/>
        <w:t>В Положении об аккредитации используется термин «Заявитель».</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3">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6">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7">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8">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9">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10">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3"/>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3"/>
  </w:num>
  <w:num w:numId="16">
    <w:abstractNumId w:val="3"/>
  </w:num>
  <w:num w:numId="17">
    <w:abstractNumId w:val="3"/>
  </w:num>
  <w:num w:numId="18">
    <w:abstractNumId w:val="3"/>
  </w:num>
</w:numbering>
</file>

<file path=word/settings.xml><?xml version="1.0" encoding="utf-8"?>
<w:settings xmlns:w="http://schemas.openxmlformats.org/wordprocessingml/2006/main">
  <w:zoom w:percent="100"/>
  <w:trackRevision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readOnly"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d7765"/>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8"/>
      <w:lang w:val="ru-RU" w:eastAsia="ru-RU"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semiHidden/>
    <w:qFormat/>
    <w:rsid w:val="00ed7765"/>
    <w:rPr>
      <w:sz w:val="16"/>
      <w:szCs w:val="16"/>
    </w:rPr>
  </w:style>
  <w:style w:type="character" w:styleId="Style9" w:customStyle="1">
    <w:name w:val="Текст примечания Знак"/>
    <w:basedOn w:val="DefaultParagraphFont"/>
    <w:link w:val="Annotationtext"/>
    <w:semiHidden/>
    <w:qFormat/>
    <w:rsid w:val="00ed7765"/>
    <w:rPr>
      <w:rFonts w:ascii="Times New Roman" w:hAnsi="Times New Roman" w:eastAsia="Times New Roman" w:cs="Times New Roman"/>
      <w:sz w:val="20"/>
      <w:szCs w:val="20"/>
      <w:lang w:eastAsia="ru-RU"/>
    </w:rPr>
  </w:style>
  <w:style w:type="character" w:styleId="Style10" w:customStyle="1">
    <w:name w:val="Текст выноски Знак"/>
    <w:basedOn w:val="DefaultParagraphFont"/>
    <w:link w:val="BalloonText"/>
    <w:uiPriority w:val="99"/>
    <w:semiHidden/>
    <w:qFormat/>
    <w:rsid w:val="00a142f3"/>
    <w:rPr>
      <w:rFonts w:ascii="Segoe UI" w:hAnsi="Segoe UI" w:eastAsia="Times New Roman" w:cs="Segoe UI"/>
      <w:sz w:val="18"/>
      <w:szCs w:val="18"/>
      <w:lang w:eastAsia="ru-RU"/>
    </w:rPr>
  </w:style>
  <w:style w:type="character" w:styleId="LineNumber">
    <w:name w:val="Line Number"/>
    <w:rPr/>
  </w:style>
  <w:style w:type="character" w:styleId="Hyperlink">
    <w:name w:val="Hyperlink"/>
    <w:rPr>
      <w:color w:val="000080"/>
      <w:u w:val="single"/>
    </w:rPr>
  </w:style>
  <w:style w:type="character" w:styleId="Style11">
    <w:name w:val="Символ сноски"/>
    <w:qFormat/>
    <w:rPr>
      <w:vertAlign w:val="superscript"/>
    </w:rPr>
  </w:style>
  <w:style w:type="character" w:styleId="FootnoteReference">
    <w:name w:val="Footnote Reference"/>
    <w:rPr>
      <w:vertAlign w:val="superscript"/>
    </w:rPr>
  </w:style>
  <w:style w:type="character" w:styleId="Style12">
    <w:name w:val="Символ концевой сноски"/>
    <w:qFormat/>
    <w:rPr>
      <w:vertAlign w:val="superscript"/>
    </w:rPr>
  </w:style>
  <w:style w:type="character" w:styleId="EndnoteReference">
    <w:name w:val="Endnote Reference"/>
    <w:rPr>
      <w:vertAlign w:val="superscript"/>
    </w:rPr>
  </w:style>
  <w:style w:type="paragraph" w:styleId="Style13">
    <w:name w:val="Заголовок"/>
    <w:basedOn w:val="Normal"/>
    <w:next w:val="BodyText"/>
    <w:qFormat/>
    <w:pPr>
      <w:keepNext w:val="true"/>
      <w:spacing w:before="240" w:after="120"/>
    </w:pPr>
    <w:rPr>
      <w:rFonts w:ascii="Times New Roman" w:hAnsi="Times New Roman"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rPr>
  </w:style>
  <w:style w:type="paragraph" w:styleId="Caption">
    <w:name w:val="Caption"/>
    <w:basedOn w:val="Normal"/>
    <w:qFormat/>
    <w:pPr>
      <w:suppressLineNumbers/>
      <w:spacing w:before="120" w:after="120"/>
    </w:pPr>
    <w:rPr>
      <w:rFonts w:ascii="Times New Roman" w:hAnsi="Times New Roman"/>
      <w:i/>
      <w:iCs/>
      <w:sz w:val="24"/>
      <w:szCs w:val="24"/>
    </w:rPr>
  </w:style>
  <w:style w:type="paragraph" w:styleId="Style14">
    <w:name w:val="Указатель"/>
    <w:basedOn w:val="Normal"/>
    <w:qFormat/>
    <w:pPr>
      <w:suppressLineNumbers/>
    </w:pPr>
    <w:rPr>
      <w:rFonts w:ascii="Times New Roman" w:hAnsi="Times New Roman"/>
    </w:rPr>
  </w:style>
  <w:style w:type="paragraph" w:styleId="Annotationtext">
    <w:name w:val="annotation text"/>
    <w:basedOn w:val="Normal"/>
    <w:link w:val="Style9"/>
    <w:semiHidden/>
    <w:qFormat/>
    <w:rsid w:val="00ed7765"/>
    <w:pPr/>
    <w:rPr>
      <w:sz w:val="20"/>
      <w:szCs w:val="20"/>
    </w:rPr>
  </w:style>
  <w:style w:type="paragraph" w:styleId="BalloonText">
    <w:name w:val="Balloon Text"/>
    <w:basedOn w:val="Normal"/>
    <w:link w:val="Style10"/>
    <w:uiPriority w:val="99"/>
    <w:semiHidden/>
    <w:unhideWhenUsed/>
    <w:qFormat/>
    <w:rsid w:val="00a142f3"/>
    <w:pPr/>
    <w:rPr>
      <w:rFonts w:ascii="Segoe UI" w:hAnsi="Segoe UI" w:cs="Segoe UI"/>
      <w:sz w:val="18"/>
      <w:szCs w:val="18"/>
    </w:rPr>
  </w:style>
  <w:style w:type="paragraph" w:styleId="FootnoteText">
    <w:name w:val="Footnote Text"/>
    <w:basedOn w:val="Normal"/>
    <w:pPr>
      <w:suppressLineNumbers/>
      <w:ind w:left="340" w:hanging="34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o.nalog.ru/"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Application>AlterOffice/3.4.0.9$Linux_X86_64 LibreOffice_project/b8daf9e823b1a5463a2f48435ddc2e8696e7d4fc</Application>
  <AppVersion>15.0000</AppVersion>
  <Pages>6</Pages>
  <Words>945</Words>
  <Characters>6488</Characters>
  <CharactersWithSpaces>7389</CharactersWithSpaces>
  <Paragraphs>86</Paragraphs>
  <Company>RusHydro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2024-07-23T08:09:00Z</dcterms:created>
  <dc:creator>Царьков Иван Сергеевич</dc:creator>
  <dc:description/>
  <dc:language>ru-RU</dc:language>
  <cp:lastModifiedBy>seryshevav@corp.gidroogk.com</cp:lastModifiedBy>
  <dcterms:modified xsi:type="dcterms:W3CDTF">2026-07-31T08:31:19Z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