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1.xml" ContentType="application/vnd.openxmlformats-officedocument.wordprocessingml.footer+xml"/>
  <Override PartName="/word/footer9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15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oter14.xml" ContentType="application/vnd.openxmlformats-officedocument.wordprocessingml.footer+xml"/>
  <Override PartName="/word/footer4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ТЕХНИЧЕСКОЕ </w:t>
      </w:r>
      <w:bookmarkStart w:id="0" w:name="_Hlk158795558"/>
      <w:r>
        <w:rPr>
          <w:rFonts w:cs="Times New Roman" w:ascii="Times New Roman" w:hAnsi="Times New Roman"/>
          <w:b/>
          <w:sz w:val="24"/>
          <w:szCs w:val="24"/>
        </w:rPr>
        <w:t>ЗАДАНИЕ</w:t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на оказание услуг по техническому обслуживанию судовой сигнализации и аэросигнализации</w:t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ПОЛОЖЕНИЯ: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Услуги оказываются на объектах: 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мостовой переход «Фрунзенский» через реку Самару с выходом на автомобильную дорогу «Автодорожный маршрут “Центр-Поволжье-Урал” г.о. Самара. 1 этап (очередь)»</w:t>
      </w:r>
      <w:r>
        <w:rPr>
          <w:rFonts w:ascii="Times New Roman" w:hAnsi="Times New Roman"/>
          <w:bCs/>
          <w:sz w:val="24"/>
          <w:szCs w:val="24"/>
        </w:rPr>
        <w:t>;</w:t>
      </w:r>
    </w:p>
    <w:p>
      <w:pPr>
        <w:pStyle w:val="ListParagraph"/>
        <w:spacing w:lineRule="auto" w:line="276" w:before="0" w:after="200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мостовой переход «Кировский» через р. Самару; 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мостовой переход через реку Сок на участке автомобильной дороги общего пользования регионального значения в Самарской области Волжский – Курумоч – "Урал".</w:t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firstLine="414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оказания услуг: поддержание в нормативном, работоспособном состоянии судовой сигнализации (СС) и аэросигнализации (АС) на мостовых переходах. </w:t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В процессе содержания АС и СС необходимо выполнять ежемесячное техническое обслуживание (далее - ТО), а также необходимые ремонтные работы. Перечень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работ представлен в приложении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№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ru-RU"/>
        </w:rPr>
        <w:t>1 к Техническому заданию.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Ежемесячное ТО предусматривает оказание услуг, объемы и особенности организации которых указаны в таблицах настоящего технического задания:</w:t>
      </w:r>
    </w:p>
    <w:p>
      <w:pPr>
        <w:pStyle w:val="ListParagraph"/>
        <w:spacing w:lineRule="auto" w:line="276" w:before="0" w:after="200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м. п. </w:t>
      </w:r>
      <w:r>
        <w:rPr>
          <w:rFonts w:ascii="Times New Roman" w:hAnsi="Times New Roman"/>
          <w:bCs/>
          <w:sz w:val="24"/>
          <w:szCs w:val="24"/>
        </w:rPr>
        <w:t>«Фрунзенский» через р. Самара:</w:t>
      </w:r>
    </w:p>
    <w:p>
      <w:pPr>
        <w:pStyle w:val="ListParagraph"/>
        <w:spacing w:lineRule="auto" w:line="276" w:before="0" w:after="200"/>
        <w:ind w:firstLine="850"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судовая сигнализация, техническое обслуживание – Таблица № 1;</w:t>
      </w:r>
    </w:p>
    <w:p>
      <w:pPr>
        <w:pStyle w:val="ListParagraph"/>
        <w:spacing w:lineRule="auto" w:line="276" w:before="0" w:after="200"/>
        <w:ind w:firstLine="850"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аэросигнализация, техническое обслуживание – Таблица № 2;</w:t>
      </w:r>
    </w:p>
    <w:p>
      <w:pPr>
        <w:pStyle w:val="ListParagraph"/>
        <w:spacing w:lineRule="auto" w:line="276" w:before="0" w:after="200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м. п. «Кировский» через р. Самара; </w:t>
      </w:r>
    </w:p>
    <w:p>
      <w:pPr>
        <w:pStyle w:val="ListParagraph"/>
        <w:spacing w:lineRule="auto" w:line="276" w:before="0" w:after="200"/>
        <w:ind w:firstLine="850"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судовая сигнализация, техническое обслуживание – Таблица № 3;</w:t>
      </w:r>
    </w:p>
    <w:p>
      <w:pPr>
        <w:pStyle w:val="ListParagraph"/>
        <w:spacing w:lineRule="auto" w:line="276" w:before="0" w:after="200"/>
        <w:ind w:firstLine="850"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аэросигнализация, техническое обслуживание – Таблица № 4;</w:t>
      </w:r>
    </w:p>
    <w:p>
      <w:pPr>
        <w:pStyle w:val="ListParagraph"/>
        <w:spacing w:lineRule="auto" w:line="276" w:before="0" w:after="200"/>
        <w:ind w:hanging="142" w:left="1418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система резервного питания на базе электроагрегата дизельного (ЭАД) – Таблица 5;</w:t>
      </w:r>
    </w:p>
    <w:p>
      <w:pPr>
        <w:pStyle w:val="ListParagraph"/>
        <w:spacing w:lineRule="auto" w:line="276" w:before="0" w:after="200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м. п. через р. Сок.</w:t>
      </w:r>
    </w:p>
    <w:p>
      <w:pPr>
        <w:pStyle w:val="ListParagraph"/>
        <w:spacing w:lineRule="auto" w:line="276" w:before="0" w:after="200"/>
        <w:ind w:firstLine="850"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судовая сигнализация, техническое обслуживание – Таблица № 6.</w:t>
      </w:r>
    </w:p>
    <w:p>
      <w:pPr>
        <w:pStyle w:val="ListParagraph"/>
        <w:spacing w:lineRule="auto" w:line="276" w:before="0" w:after="200"/>
        <w:ind w:firstLine="850"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БЕЗОПАСНОСТИ:</w:t>
      </w:r>
    </w:p>
    <w:p>
      <w:pPr>
        <w:pStyle w:val="ListParagraph"/>
        <w:spacing w:lineRule="auto" w:line="276" w:before="0" w:after="200"/>
        <w:ind w:left="45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ТО обслуживающий персонал обязан соблюдать и обеспечивать соблюдение требований техники безопасности, экологической безопасности оказываемых услуг, действующих норм пожарной и электробезопасности, охраны труда, в том числе работы на высоте, пребывания на проезжей части и др.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 наличие у сотрудников Исполнителя, оказывающих услуги на электрооборудовании, группы по электробезопасности не ниже III до 1000В.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ТО обслуживающий персонал обязан находиться на объектах в оранжевых жилетах с наименованием организации Исполнителя. 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оказания услуг Заказчик не несет никакой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Оказанные услуги должны соответствовать требованиям законодательства Российской Федерации.</w:t>
      </w:r>
    </w:p>
    <w:p>
      <w:pPr>
        <w:pStyle w:val="ListParagraph"/>
        <w:spacing w:lineRule="auto" w:line="276" w:before="0" w:after="200"/>
        <w:ind w:left="45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ОКАЗАНИЮ УСЛУГ:</w:t>
      </w:r>
    </w:p>
    <w:p>
      <w:pPr>
        <w:pStyle w:val="ListParagraph"/>
        <w:spacing w:lineRule="auto" w:line="276" w:before="0" w:after="200"/>
        <w:ind w:left="45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техническое задание устанавливает совокупность организационных и технических требований, обеспечивающих постоянную и непрерывную работу судовой сигнализации, аэросигнализации и системы резервного питания в течение всего срока действия Договора.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должны быть оказаны в соответствии с настоящим техническим заданием, с соблюдением правил техники безопасности, противопожарными, санитарно-гигиеническими и экологическими нормами и правилами.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собственными силами производит ежемесячный мониторинг судовой сигнализации, аэросигнализации и системы резервного питания на предмет работоспособности. 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используемые материалы и применяемое оборудование должны соответствовать требованиям: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Технического регламента Таможенного союза ТР ТС 014/2011 «Безопасность автомобильных дорог», 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ГОСТ 26600-98 «Знаки навигационные внутренних судоходных путей», М4159 «Указания по проектированию светового ограждения высотных препятствий», ГОСТ 55006-2012 «Стационарные дизельные и газопоршневые электростанции с двигателями внутреннего сгорания. Общие технические условия» и другой действующей нормативной документации.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обслуживание судовой сигнализации, аэросигнализации и системы резервного питания должно гарантировать их непрерывное функционирование в полностью работоспособном состоянии, которое включает в себя, в том числе: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техническую работоспособность оборудования;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поддержание электропитания от источников электроэнергии;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целостность и нормативное расположение оборудования, кабельного хозяйства и линий электроснабжения.</w:t>
      </w:r>
    </w:p>
    <w:p>
      <w:pPr>
        <w:pStyle w:val="ListParagraph"/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color w:themeColor="text1" w:val="000000"/>
          <w:sz w:val="24"/>
          <w:szCs w:val="24"/>
        </w:rPr>
      </w:pPr>
      <w:r>
        <w:rPr>
          <w:rFonts w:ascii="Times New Roman" w:hAnsi="Times New Roman"/>
          <w:color w:themeColor="text1" w:val="000000"/>
          <w:sz w:val="24"/>
          <w:szCs w:val="24"/>
        </w:rPr>
        <w:t>3.5.1. Заправка и обслуживанию ЭАД должны осуществляться квалифицированным специалистом, имеющим все необходимые разрешения в соответствии с законодательством РФ.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Безопасность работ в электроустановках должна осуществляться в строгом соответствии с Правилами техники безопасности при эксплуатации электроустановок.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 безопасность при оказании услуг по техническому обслуживанию судовой сигнализации, аэросигнализации и системы резервного питания несет Исполнитель.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 техническому обслуживанию не должны приводить к ухудшению состояния судовой сигнализации, аэросигнализации и системы резервного питания.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устранения неисправностей исчисляется с момента выявления неисправности. При получении от представителя Заказчика вызова для устранения неисправностей на объекте представитель Исполнителя прибывает на объект в кратчайший срок. 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проведения ТО обслуживающий персонал должен произвести проверку работоспособности оборудования.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качества оказанных услуг осуществляется Исполнителем и представителем Заказчика в порядке, установленном Договором.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несет ответственность за качество и сроки оказанных услуг.</w:t>
      </w:r>
    </w:p>
    <w:p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ТЕХНИЧЕСКОГО ОБСЛУЖИВАНИЯ:</w:t>
      </w:r>
    </w:p>
    <w:p>
      <w:pPr>
        <w:pStyle w:val="ListParagraph"/>
        <w:spacing w:lineRule="auto" w:line="276" w:before="0" w:after="200"/>
        <w:ind w:left="45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проведения всех видов ТО и необходимых ремонтных работ персонал Исполнителя обязан вести исполнительную документацию: акты освидетельствования скрытых работ, акты освидетельствования ответственных конструкций, общий журнал работ, журнал учета работы дизельной электростанции, кабельный журнал, журнал проведения технического обслуживания с ведомостью выявленных дефектов, имеющий произвольную табличную форму и содержащей обязательные пункты: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наименование видов работ для проведения ТО;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напротив каждого вида работ должна стоять отметка «+» или «-», свидетельствующие о выполненном или невыполненном виде работ;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элемент системы, на котором выявлен дефект;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описание и характер дефектов;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предполагаемые причины возникновения дефекта;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меры, принятые для устранения дефекта;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рекомендации по дальнейшей эксплуатации, предотвращающие возникновения дефектов;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должность, ФИО и подпись лиц, производивших работы.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Приложением к журналу проведения ТО являются: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материалы фотофиксации дефектов;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материалы фотофиксации устранения дефекта.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Журнал проведения ТО ведется в бумажном варианте. Форма журнала разрабатывается исполнителем и согласовывается Заказчиком. Фотоматериалы сдаются Заказчику совместно с исполнительной документацией в электронном виде.</w:t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требованию Заказчика исполнительная документация должна быть представлена в течение 1 рабочего дня на все оказанные услуги на дату запроса.</w:t>
      </w:r>
    </w:p>
    <w:p>
      <w:pPr>
        <w:pStyle w:val="ListParagraph"/>
        <w:numPr>
          <w:ilvl w:val="1"/>
          <w:numId w:val="1"/>
        </w:numPr>
        <w:spacing w:lineRule="auto" w:line="276" w:before="0" w:after="20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проведения ТО и необходимому ремонту обслуживающий персонал должен произвести проверку работоспособности систем и ее элементов.</w:t>
      </w:r>
      <w:bookmarkEnd w:id="0"/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ремонтных работ Исполнитель предоставляет все необходимые материалы для проведения восстановительных работ.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24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themeColor="text1" w:val="000000"/>
          <w:sz w:val="24"/>
          <w:szCs w:val="24"/>
        </w:rPr>
        <w:t xml:space="preserve">Виды ремонтных работ и материалов указаны в Приложении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№1 к Техническому заданию. 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themeColor="text1" w:val="000000"/>
          <w:sz w:val="24"/>
          <w:szCs w:val="24"/>
        </w:rPr>
        <w:t>ТЕХНИЧЕСКОЕ ОБСЛУЖИВАНИЕ СИСТЕМ СУДОВОЙ СИГНАЛИЗАЦИИ, АЭРОСИГНАЛИЗАЦИИ И СИСТЕМЫ РЕЗЕРВНОГО ПИТАНИЯ НА БАЗЕ ЭАД.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Исполнитель обязан своими силами получать от региональных ведомств информацию о датах начала и окончания сроков судовой навигации.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закрытия навигации Исполнитель осуществляет ежемесячное техническое обслуживание судовой сигнализации.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закрытия навигации Исполнитель осуществляет контрольное включение судовой сигнализации на предмет выявления дефектов в работе судовой сигнализации, не реже одного раза в месяц.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Контрольное включение судовой сигнализации осуществляется в вечернее время, обеспечивающее наилучшую видимость.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элементов судовой сигнализации регистрируется посредством фотофиксации и оформляется согласно п. 4.1.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время прекращения навигации Исполнитель обеспечивает бесперебойную работу светильников «кососвет», при этом навигационные огни и светофоры отключаются, за исключением времени проведения работ, согласно п. 5.3. – 5.4.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две недели до начала навигации Исполнитель осуществляет полный технический осмотр судовой сигнализации и производит тестовое включение с целью выявления дефектов в работе судовой сигнализации.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выявления дефектов в работе судовой сигнализации, Исполнитель осуществляет их устранение в течение 24 часов. 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left" w:pos="1418" w:leader="none"/>
        </w:tabs>
        <w:spacing w:lineRule="auto" w:line="276" w:before="0" w:after="160"/>
        <w:ind w:firstLine="426" w:left="0"/>
        <w:contextualSpacing/>
        <w:jc w:val="both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left="1247" w:right="851" w:gutter="0" w:header="0" w:top="899" w:footer="0" w:bottom="1258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ascii="Times New Roman" w:hAnsi="Times New Roman"/>
          <w:sz w:val="24"/>
          <w:szCs w:val="24"/>
        </w:rPr>
        <w:t>Обслуживание систем аэросигнализации, судовой сигнализации и системы резервного питания на базе ЭАД осуществляется круглогодично.</w:t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Таблица №1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Мостовой переход «Фрунзенский» через р. Самара, Судовая сигнализация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услуг и работ по техническому обслуживанию</w:t>
      </w:r>
    </w:p>
    <w:tbl>
      <w:tblPr>
        <w:tblStyle w:val="a3"/>
        <w:tblW w:w="1051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3116"/>
        <w:gridCol w:w="882"/>
        <w:gridCol w:w="5953"/>
      </w:tblGrid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Элемент системы</w:t>
            </w:r>
          </w:p>
        </w:tc>
        <w:tc>
          <w:tcPr>
            <w:tcW w:w="8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Перечень услуг и работ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Шкаф комплектных распределительных устройств 1300х1800х400 с выключателем напряжением 6-10 кВ, на ток до 3200 в том числе: счетчик 3х фазный Меркурий 230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ART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-01, контроллер управления освещением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DEP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PLXc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переключатель режимов, комплект автоматических выключателей, Шкаф АВР ЩАП-23М/25,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IP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шкафа,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шкафа с признаками коррозии.</w:t>
            </w:r>
          </w:p>
        </w:tc>
      </w:tr>
      <w:tr>
        <w:trPr>
          <w:trHeight w:val="170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Навигационные огни на светоизлучающих диодах напряжением 36В. (Зеленого цвета).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 светоотражающим фоновым щитом размером 1000Х1000. Указатель высоты подмостового габарита и кромок судового хода.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шт.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навигационных огней,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щита или огня.</w:t>
            </w:r>
          </w:p>
        </w:tc>
      </w:tr>
      <w:tr>
        <w:trPr>
          <w:trHeight w:val="619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элемента.</w:t>
            </w:r>
          </w:p>
        </w:tc>
      </w:tr>
      <w:tr>
        <w:trPr>
          <w:trHeight w:val="56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Навигационные огни на светоизлучающих диодах напряжением 36В. (Красного цвета).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 светоотражающим фоновым щитом размером 2000Х2000.Указатель оси судового хода.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шт.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навигационных огней, узлов крепления, герметичности разъемов, целостности кабельных линий и т.п.</w:t>
            </w:r>
          </w:p>
        </w:tc>
      </w:tr>
      <w:tr>
        <w:trPr>
          <w:trHeight w:val="380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8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986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щита или огня.</w:t>
            </w:r>
          </w:p>
        </w:tc>
      </w:tr>
      <w:tr>
        <w:trPr>
          <w:trHeight w:val="1251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Навигационные огни на светоизлучающих диодах напряжением 36В. (Красного цвета).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шт.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навигационных огней, узлов крепления, герметичности разъемов, целостности кабельных линий и т.п.</w:t>
            </w:r>
          </w:p>
        </w:tc>
      </w:tr>
      <w:tr>
        <w:trPr>
          <w:trHeight w:val="351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светоизлучающих элементов.</w:t>
            </w:r>
          </w:p>
        </w:tc>
      </w:tr>
      <w:tr>
        <w:trPr>
          <w:trHeight w:val="269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огня.</w:t>
            </w:r>
          </w:p>
        </w:tc>
      </w:tr>
      <w:tr>
        <w:trPr>
          <w:trHeight w:val="128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Щит 2000х2000 знак «Соблюдать надводный габарит»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4шт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щита, узлов крепления, целостности отражающего покрытия.</w:t>
            </w:r>
          </w:p>
        </w:tc>
      </w:tr>
      <w:tr>
        <w:trPr>
          <w:trHeight w:val="40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9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95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покрытия или щита.</w:t>
            </w:r>
          </w:p>
        </w:tc>
      </w:tr>
      <w:tr>
        <w:trPr>
          <w:trHeight w:val="1279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Щит 1000х1000 Указатель высоты подмостового габарита и кромок судового хода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16шт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щита, узлов крепления, целостности отражающего покрытия.</w:t>
            </w:r>
          </w:p>
        </w:tc>
      </w:tr>
      <w:tr>
        <w:trPr>
          <w:trHeight w:val="41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9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83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покрытия или щита.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Светильник «Кососвет»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8шт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светильников «Кососвет»,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кронштейна крепления светильника «Кососвет».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светильника.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Металлоконструкции щитов размером 2000х2000/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Металлоконструкции щитов размером 1000х1000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8шт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/16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МК, узлов крепления, метизов, мест сварки, зачистка и окраска очагов коррозии, подтяжка ослабленных креплений.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МК щитов.</w:t>
            </w:r>
          </w:p>
        </w:tc>
      </w:tr>
      <w:tr>
        <w:trPr>
          <w:trHeight w:val="848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Трансформатор понижающий мощностью 0,25кВА ЯТП-0,25 220/36В в щитке металлическом</w:t>
            </w:r>
          </w:p>
        </w:tc>
        <w:tc>
          <w:tcPr>
            <w:tcW w:w="8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6шт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щитка, узлов крепления, герметичности разъемов, целостности обмотки трансформатора, работоспособности автоматических выключателей, наличия конденсата, нарушения герметичности.</w:t>
            </w:r>
          </w:p>
        </w:tc>
      </w:tr>
      <w:tr>
        <w:trPr>
          <w:trHeight w:val="276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сеч.5х16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(От ТП до моста)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50м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 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сеч.5х4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80м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сеч.3х2,5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20м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 2х2,5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20м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канализация, по внешней стороне моста, под консолью (Труба водогазопроводная)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20м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канализации,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559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поверхностей труб с признаками коррозии.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и элементов канализации.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Ящик протяжной К654У2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ящиков, узлов крепления, герметичности разъемов, целостности кабельных линий и т.п. Замена ящиков в количестве 3 шт. при необходимости в рамках содержания.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элементов канализации.</w:t>
            </w:r>
          </w:p>
        </w:tc>
      </w:tr>
      <w:tr>
        <w:trPr>
          <w:trHeight w:val="848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Коробка протяжная У995У2</w:t>
            </w:r>
          </w:p>
        </w:tc>
        <w:tc>
          <w:tcPr>
            <w:tcW w:w="8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коробок, узлов крепления, герметичности разъемов, целостности кабельных линий и т.п.</w:t>
            </w:r>
          </w:p>
        </w:tc>
      </w:tr>
      <w:tr>
        <w:trPr>
          <w:trHeight w:val="91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Рейка вертикальной разметки безопасности на лицевой части опор судоходных пролетов.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(Полоса уровня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/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водомерная рейка)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115м2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/33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,86м2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визуального осмотра состояния разметки, ее яркости, читаемости, целостности.</w:t>
            </w:r>
          </w:p>
        </w:tc>
      </w:tr>
      <w:tr>
        <w:trPr>
          <w:trHeight w:val="370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Нанесение разметки при необходимости.</w:t>
            </w:r>
          </w:p>
        </w:tc>
      </w:tr>
      <w:tr>
        <w:trPr>
          <w:trHeight w:val="70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уровня энергоснабжения системы</w:t>
            </w:r>
          </w:p>
        </w:tc>
        <w:tc>
          <w:tcPr>
            <w:tcW w:w="88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системы, включение системы, проверка работоспособности.</w:t>
            </w:r>
          </w:p>
        </w:tc>
      </w:tr>
      <w:tr>
        <w:trPr>
          <w:trHeight w:val="301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Восстановление подачи энергоснабжения</w:t>
            </w:r>
          </w:p>
        </w:tc>
      </w:tr>
      <w:tr>
        <w:trPr>
          <w:trHeight w:val="53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247" w:right="851" w:gutter="0" w:header="0" w:top="899" w:footer="709" w:bottom="125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Таблица №2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Мостовой переход «Фрунзенский» через р. Самара, Аэросигнализация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услуг и работ по техническому обслуживанию</w:t>
      </w:r>
    </w:p>
    <w:tbl>
      <w:tblPr>
        <w:tblStyle w:val="a3"/>
        <w:tblW w:w="1051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3116"/>
        <w:gridCol w:w="871"/>
        <w:gridCol w:w="5964"/>
      </w:tblGrid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Элемент системы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Перечень услуг и работ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Комплект щита блока управления на опоре 2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шкафа,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шкафа с признаками коррозии.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Диагностика корректности работы фотодатчика освещенности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кабелей, автоматических выключателей и элементов крепления.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Коробка клеммная электромонтажная КЗНС-08,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IP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65 (На внешней кабельной трассе под консолью)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коробок,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коробки с признаками коррозии при необходимости.</w:t>
            </w:r>
          </w:p>
        </w:tc>
      </w:tr>
      <w:tr>
        <w:trPr>
          <w:trHeight w:val="85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>
          <w:trHeight w:val="127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Коробка клеммная электромонтажная КЗНС-08,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IP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65 (На вершине пилона)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коробок, узлов крепления, герметичности разъемов, целостности кабельных линий и т.п.</w:t>
            </w:r>
          </w:p>
        </w:tc>
      </w:tr>
      <w:tr>
        <w:trPr>
          <w:trHeight w:val="693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коробки с признаками коррозии при необходимости.</w:t>
            </w:r>
          </w:p>
        </w:tc>
      </w:tr>
      <w:tr>
        <w:trPr>
          <w:trHeight w:val="987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Заградительный огонь ЗОМ красного цвета со светодиодной лампой (На вершине пилона)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ЗОМ,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Замена ламп ЗОМ при необходимости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опорной стойки ОС-50-3/4 ЗОМ с признаками коррозии при необходимости.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ВВГнг ,сеч.5х2,5 (По внешним кабельным каналам под консолью)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кабеля,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линия, сеч. 4х2,5 (По верху пилонов через проезжую часть)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кабеля,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53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Замена 8 метров кабеля при необходимости в рамках содержания.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сеч. 3х2,5 (На вершине пилонов, от клеммной коробки до ЗОМ)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кабеля,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41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Замена 5 метров кабеля при необходимости в рамках содержания.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>
          <w:trHeight w:val="42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канализация (по внешней стороне моста, под консолью, труба водогазопроводная)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канализации,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55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поверхностей труб с признаками коррозии при необходимости.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 5х16 (От ТП2 до шкафа блока управления)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 и замены испорченного оборудования, кабелей и элементов крепления.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Марка ОП (ограждение пилона)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Включающее: Ограждение, стойка перил, поручни, заполнение перил, косоур, прокладка, метизы.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2шт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металлоконструкций, узлов крепления.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поверхностей металлоконструкций с признаками коррозии при необходимости.</w:t>
            </w:r>
          </w:p>
        </w:tc>
      </w:tr>
      <w:tr>
        <w:trPr>
          <w:trHeight w:val="613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уровня энергоснабжения системы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системы, включение системы, проверка работоспособности.</w:t>
            </w:r>
          </w:p>
        </w:tc>
      </w:tr>
      <w:tr>
        <w:trPr>
          <w:trHeight w:val="340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Восстановление подачи энергоснабжения</w:t>
            </w:r>
          </w:p>
        </w:tc>
      </w:tr>
      <w:tr>
        <w:trPr>
          <w:trHeight w:val="30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</w:t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247" w:right="851" w:gutter="0" w:header="0" w:top="899" w:footer="709" w:bottom="125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Таблица №3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Мостовой переход «Кировский» через р. Самара, Судовая сигнализация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услуг и работ по техническому обслуживанию</w:t>
      </w:r>
    </w:p>
    <w:tbl>
      <w:tblPr>
        <w:tblStyle w:val="a3"/>
        <w:tblW w:w="1051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3116"/>
        <w:gridCol w:w="851"/>
        <w:gridCol w:w="5984"/>
      </w:tblGrid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Элемент системы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Перечень услуг и работ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Шкаф комплектных распределительных устройств (Щит 1)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шкафа,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шкафа с признаками коррозии.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Навигационные огни на светоизлучающих диодах напряжением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 В (Зеленого цвета).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 светоотражающим фоновым щитом размером 1000Х1000.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шт</w:t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навигационных огней, узлов крепления, герметичности разъемов, целостности кабельных линий, целостности отражающего покрытия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80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56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Навигационные огни на светоизлучающих диодах напряжением 36В.(Красного цвета).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 светоотражающим фоновым щитом размером 2000Х2000.Указатель оси судового хода.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шт.</w:t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навигационных огней, узлов крепления, герметичности разъемов, целостности кабельных линий и т.п.</w:t>
            </w:r>
          </w:p>
        </w:tc>
      </w:tr>
      <w:tr>
        <w:trPr>
          <w:trHeight w:val="49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8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70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128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Щит 2000х2000 знак «Соблюдать надводный габарит»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2шт</w:t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щита, узлов крепления, целостности отражающего покрытия.</w:t>
            </w:r>
          </w:p>
        </w:tc>
      </w:tr>
      <w:tr>
        <w:trPr>
          <w:trHeight w:val="40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9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95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1279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Щит 1000х1000 Указатель высоты подмостового габарита и кромок судового хода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2шт</w:t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щита, узлов крепления, целостности отражающего покрытия.</w:t>
            </w:r>
          </w:p>
        </w:tc>
      </w:tr>
      <w:tr>
        <w:trPr>
          <w:trHeight w:val="390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9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69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Светильник «Кососвет»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2шт</w:t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светильников «Кососвет»,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кронштейна крепления светильника «Кососвет».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светильника.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Металлоконструкции щитов размером 2000х2000/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Металлоконструкции щитов размером 1000х1000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/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МК, узлов крепления, метизов, мест сварки, зачистка и окраска очагов коррозии, подтяжка ослабленных креплений.</w:t>
            </w:r>
          </w:p>
        </w:tc>
      </w:tr>
      <w:tr>
        <w:trPr>
          <w:trHeight w:val="736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48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Трансформатор понижающий мощностью 0,25кВт/36В в щитке металлическом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3шт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щитка, узлов крепления, герметичности разъемов, целостности обмотки трансформатора, работоспособности автоматических выключателей, наличия конденсата, нарушения герметичности.</w:t>
            </w:r>
          </w:p>
        </w:tc>
      </w:tr>
      <w:tr>
        <w:trPr>
          <w:trHeight w:val="276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C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сеч.4х10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30м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 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Кабельная линия сеч.3х1.5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30м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701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канализация (по оси моста, труба водогазопроводная)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20м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канализации,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559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поверхностей труб с признаками коррозии.</w:t>
            </w:r>
          </w:p>
        </w:tc>
      </w:tr>
      <w:tr>
        <w:trPr>
          <w:trHeight w:val="65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Ящик протяжной К654У2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4шт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ящиков, узлов крепления, герметичности разъемов, целостности кабельных линий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элементов канализации.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Коробка протяжная У995У2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10шт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коробок, узлов крепления, герметичности разъемов, целостности кабельных линий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элементов канализации.</w:t>
            </w:r>
          </w:p>
        </w:tc>
      </w:tr>
      <w:tr>
        <w:trPr>
          <w:trHeight w:val="939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Рейка вертикальной разметки безопасности на лицевой части опор судоходных пролетов.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(Полоса уровня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/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водомерная рейка)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24м2</w:t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визуального осмотра состояния разметки, ее яркости, читаемости, целостности.</w:t>
            </w:r>
          </w:p>
        </w:tc>
      </w:tr>
      <w:tr>
        <w:trPr>
          <w:trHeight w:val="33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Нанесение разметки при необходимости.</w:t>
            </w:r>
          </w:p>
        </w:tc>
      </w:tr>
      <w:tr>
        <w:trPr>
          <w:trHeight w:val="706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55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уровня энергоснабжения системы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системы, включение системы, проверка работоспособности.</w:t>
            </w:r>
          </w:p>
        </w:tc>
      </w:tr>
      <w:tr>
        <w:trPr>
          <w:trHeight w:val="420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Восстановление подачи энергоснабжения.</w:t>
            </w:r>
          </w:p>
        </w:tc>
      </w:tr>
      <w:tr>
        <w:trPr>
          <w:trHeight w:val="696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</w:tbl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Таблица №4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Мостовой переход «Кировский» через р. Сок, Аэросигнализация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услуг и работ по техническому обслуживанию</w:t>
      </w:r>
    </w:p>
    <w:tbl>
      <w:tblPr>
        <w:tblStyle w:val="a3"/>
        <w:tblW w:w="1051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3116"/>
        <w:gridCol w:w="871"/>
        <w:gridCol w:w="5964"/>
      </w:tblGrid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Элемент системы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Перечень услуг и работ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Комплект блока ТП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шкафа,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шкафа с признаками коррозии.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Диагностика корректности работы фотодатчика освещенности.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Блок управления, КМПн-5 ip65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коробок,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коробки с признаками коррозии при необходимости.</w:t>
            </w:r>
          </w:p>
        </w:tc>
      </w:tr>
      <w:tr>
        <w:trPr>
          <w:trHeight w:val="61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>
          <w:trHeight w:val="127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Коробка распределительная IP56 (На вершине/середине пилона)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коробок, узлов крепления, герметичности разъемов, целостности кабельных линий и т.п.</w:t>
            </w:r>
          </w:p>
        </w:tc>
      </w:tr>
      <w:tr>
        <w:trPr>
          <w:trHeight w:val="693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коробки с признаками коррозии при необходимости.</w:t>
            </w:r>
          </w:p>
        </w:tc>
      </w:tr>
      <w:tr>
        <w:trPr>
          <w:trHeight w:val="66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>
          <w:trHeight w:val="1387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Заградительный огонь ЗОМ красного цвета  со светодиодной лампой (В середине и на вершине пилона)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ЗОМ,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опорной стойки ЗОМ с признаками коррозии при необходимости.</w:t>
            </w:r>
          </w:p>
        </w:tc>
      </w:tr>
      <w:tr>
        <w:trPr>
          <w:trHeight w:val="62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Кабельная линия (По внешним кабельным каналам по оси моста)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кабеля,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67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>
          <w:trHeight w:val="42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канализация (по оси моста, труба водогазопроводная)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280м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канализации, визуальный осмотр трассы, узлов крепления, проверка герметичности разъемов  и т.п.</w:t>
            </w:r>
          </w:p>
        </w:tc>
      </w:tr>
      <w:tr>
        <w:trPr>
          <w:trHeight w:val="55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поверхностей труб с признаками коррозии при необходимости.</w:t>
            </w:r>
          </w:p>
        </w:tc>
      </w:tr>
      <w:tr>
        <w:trPr>
          <w:trHeight w:val="72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>
          <w:trHeight w:val="699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(От ТП2 до шкафа блока управления)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10м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67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>
          <w:trHeight w:val="601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уровня энергоснабжения системы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системы</w:t>
            </w:r>
          </w:p>
        </w:tc>
      </w:tr>
      <w:tr>
        <w:trPr>
          <w:trHeight w:val="35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Восстановление подачи энергоснабжения.</w:t>
            </w:r>
          </w:p>
        </w:tc>
      </w:tr>
      <w:tr>
        <w:trPr>
          <w:trHeight w:val="31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  <w:tr>
        <w:trPr>
          <w:trHeight w:val="533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11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Фотодатчик</w:t>
            </w:r>
          </w:p>
        </w:tc>
        <w:tc>
          <w:tcPr>
            <w:tcW w:w="87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фотодатчика, узлов крепления, герметичности разъемов, целостности кабельных линий и т.п.</w:t>
            </w:r>
          </w:p>
        </w:tc>
      </w:tr>
      <w:tr>
        <w:trPr>
          <w:trHeight w:val="590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внеплановых ремонтных работ.</w:t>
            </w:r>
          </w:p>
        </w:tc>
      </w:tr>
    </w:tbl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247" w:right="851" w:gutter="0" w:header="0" w:top="899" w:footer="709" w:bottom="125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Таблица №5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Мостовой переход «Кировский» через р. Сок, 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Система резервного питания на базе ЭАД.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регламентных работ</w:t>
      </w:r>
    </w:p>
    <w:tbl>
      <w:tblPr>
        <w:tblStyle w:val="a3"/>
        <w:tblW w:w="1020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0"/>
        <w:gridCol w:w="3064"/>
        <w:gridCol w:w="864"/>
        <w:gridCol w:w="5772"/>
      </w:tblGrid>
      <w:tr>
        <w:trPr/>
        <w:tc>
          <w:tcPr>
            <w:tcW w:w="50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0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Электроагрегат дизельный (ЭАД)</w:t>
            </w:r>
          </w:p>
        </w:tc>
        <w:tc>
          <w:tcPr>
            <w:tcW w:w="8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ЭАД, узлов крепления, герметичности разъемов, целостности кабельных линий, проверка уровня масла, ОЖ, топлива, сохранности и работоспособности оборудования и т.п.</w:t>
            </w:r>
          </w:p>
        </w:tc>
      </w:tr>
      <w:tr>
        <w:trPr/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запуск, контроль показателей двигателя, учет моточасов, очистка, продувка от пыли узлов и агрегатов. Заполнение бака топливом до верхнего уровня.</w:t>
            </w:r>
          </w:p>
        </w:tc>
      </w:tr>
      <w:tr>
        <w:trPr/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/>
        <w:tc>
          <w:tcPr>
            <w:tcW w:w="50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064" w:type="dxa"/>
            <w:vMerge w:val="restart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uppressAutoHyphens w:val="true"/>
              <w:spacing w:lineRule="auto" w:line="240" w:before="300" w:after="150"/>
              <w:ind w:hanging="0" w:left="0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24"/>
                <w:lang w:val="ru-RU" w:eastAsia="ru-RU" w:bidi="ar-SA"/>
              </w:rPr>
              <w:t xml:space="preserve">Помещение для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электроагрегата дизельного</w:t>
            </w:r>
          </w:p>
        </w:tc>
        <w:tc>
          <w:tcPr>
            <w:tcW w:w="8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шт</w:t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помещения, системы вентиляции, обогрева, освещения, пожаротушения.</w:t>
            </w:r>
          </w:p>
        </w:tc>
      </w:tr>
      <w:tr>
        <w:trPr>
          <w:trHeight w:val="235" w:hRule="atLeast"/>
        </w:trPr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Окраска металлоконструкций помещения, зачистка металлоконструкций от ржавчины вандальных надписей.</w:t>
            </w:r>
          </w:p>
        </w:tc>
      </w:tr>
      <w:tr>
        <w:trPr>
          <w:trHeight w:val="585" w:hRule="atLeast"/>
        </w:trPr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необходимости проведения внеплановых ремонтных работ.</w:t>
            </w:r>
          </w:p>
        </w:tc>
      </w:tr>
      <w:tr>
        <w:trPr>
          <w:trHeight w:val="1038" w:hRule="atLeast"/>
        </w:trPr>
        <w:tc>
          <w:tcPr>
            <w:tcW w:w="5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0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Проверочное ТО</w:t>
            </w:r>
          </w:p>
        </w:tc>
        <w:tc>
          <w:tcPr>
            <w:tcW w:w="8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 раз в год или по моточасам</w:t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Замена масла, охлаждающей жидкости. Проверка топлива, приводных ремней, контроль емкости АКБ, их зарядка и добавление дистиллята при необходимости.</w:t>
            </w:r>
          </w:p>
        </w:tc>
      </w:tr>
      <w:tr>
        <w:trPr>
          <w:trHeight w:val="612" w:hRule="atLeast"/>
        </w:trPr>
        <w:tc>
          <w:tcPr>
            <w:tcW w:w="5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394" w:hRule="atLeast"/>
        </w:trPr>
        <w:tc>
          <w:tcPr>
            <w:tcW w:w="5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0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Кабельная линия (кабель питания от ТП до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ЭАД)</w:t>
            </w:r>
          </w:p>
        </w:tc>
        <w:tc>
          <w:tcPr>
            <w:tcW w:w="8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 м</w:t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7" w:left="3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455" w:hRule="atLeast"/>
        </w:trPr>
        <w:tc>
          <w:tcPr>
            <w:tcW w:w="5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7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/>
        <w:tc>
          <w:tcPr>
            <w:tcW w:w="50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0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Уличная камера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IP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CMOS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2МП,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PZT</w:t>
            </w:r>
          </w:p>
        </w:tc>
        <w:tc>
          <w:tcPr>
            <w:tcW w:w="8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шт</w:t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камеры,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/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внешней поверхности камеры</w:t>
            </w:r>
          </w:p>
        </w:tc>
      </w:tr>
      <w:tr>
        <w:trPr/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кабелей, автоматических выключателей и элементов крепления.</w:t>
            </w:r>
          </w:p>
        </w:tc>
      </w:tr>
      <w:tr>
        <w:trPr>
          <w:trHeight w:val="986" w:hRule="atLeast"/>
        </w:trPr>
        <w:tc>
          <w:tcPr>
            <w:tcW w:w="50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0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Камера для помещений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IP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CMOS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,2МП</w:t>
            </w:r>
          </w:p>
        </w:tc>
        <w:tc>
          <w:tcPr>
            <w:tcW w:w="8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шт</w:t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камеры,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>
          <w:trHeight w:val="440" w:hRule="atLeast"/>
        </w:trPr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внешней поверхности камеры.</w:t>
            </w:r>
          </w:p>
        </w:tc>
      </w:tr>
      <w:tr>
        <w:trPr>
          <w:trHeight w:val="986" w:hRule="atLeast"/>
        </w:trPr>
        <w:tc>
          <w:tcPr>
            <w:tcW w:w="5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кабелей, автоматических выключателей и элементов крепления.</w:t>
            </w:r>
          </w:p>
        </w:tc>
      </w:tr>
      <w:tr>
        <w:trPr>
          <w:trHeight w:val="699" w:hRule="atLeast"/>
        </w:trPr>
        <w:tc>
          <w:tcPr>
            <w:tcW w:w="5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Шкаф коммуникационный</w:t>
            </w:r>
          </w:p>
        </w:tc>
        <w:tc>
          <w:tcPr>
            <w:tcW w:w="8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шт</w:t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шкафа,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>
          <w:trHeight w:val="519" w:hRule="atLeast"/>
        </w:trPr>
        <w:tc>
          <w:tcPr>
            <w:tcW w:w="5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покраска внешней поверхности шкафа.</w:t>
            </w:r>
          </w:p>
        </w:tc>
      </w:tr>
      <w:tr>
        <w:trPr>
          <w:trHeight w:val="820" w:hRule="atLeast"/>
        </w:trPr>
        <w:tc>
          <w:tcPr>
            <w:tcW w:w="5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20" w:hRule="atLeast"/>
        </w:trPr>
        <w:tc>
          <w:tcPr>
            <w:tcW w:w="5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0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Коммутатор камер</w:t>
            </w:r>
          </w:p>
        </w:tc>
        <w:tc>
          <w:tcPr>
            <w:tcW w:w="8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1шт</w:t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устройства,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>
          <w:trHeight w:val="636" w:hRule="atLeast"/>
        </w:trPr>
        <w:tc>
          <w:tcPr>
            <w:tcW w:w="5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1255" w:hRule="atLeast"/>
        </w:trPr>
        <w:tc>
          <w:tcPr>
            <w:tcW w:w="5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0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Кабельная линия питания (энергоснабжения системы видеонаблюдения)</w:t>
            </w:r>
          </w:p>
        </w:tc>
        <w:tc>
          <w:tcPr>
            <w:tcW w:w="8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150 м</w:t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678" w:hRule="atLeast"/>
        </w:trPr>
        <w:tc>
          <w:tcPr>
            <w:tcW w:w="5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0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57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рекомендаций о необходимости проведения внепланового ТО.</w:t>
            </w:r>
          </w:p>
        </w:tc>
      </w:tr>
    </w:tbl>
    <w:p>
      <w:pPr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247" w:right="851" w:gutter="0" w:header="0" w:top="899" w:footer="709" w:bottom="125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Таблица №6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Мостовой переход через р. Сок, Судовая сигнализация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услуг и работ по техническому обслуживанию</w:t>
      </w:r>
    </w:p>
    <w:tbl>
      <w:tblPr>
        <w:tblStyle w:val="a3"/>
        <w:tblW w:w="1051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3117"/>
        <w:gridCol w:w="852"/>
        <w:gridCol w:w="5982"/>
      </w:tblGrid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Шкаф комплектных распределительных устройств ПУ ЩШМ1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шт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шкафа, узлов крепления, герметичности разъемов, целостности кабельных линий, сохранности и работоспособности оборудования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внешней поверхности шкафа.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Навигационные огни на светоизлучающих диодах напряжением 36В. (Зеленого цвета).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 светоотражающим фоновым щитом размером 1000Х1000. Указатель высоты подмостового габарита и кромок судового хода.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шт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навигационных огней,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112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56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Навигационные огни на светоизлучающих диодах напряжением 36В. (Красного цвета).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 светоотражающим фоновым щитом размером 2000Х2000.Указатель оси судового хода.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шт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навигационных огней, узлов крепления, герметичности разъемов, целостности кабельных линий и т.п.</w:t>
            </w:r>
          </w:p>
        </w:tc>
      </w:tr>
      <w:tr>
        <w:trPr>
          <w:trHeight w:val="357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8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70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1280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Щит 2000х2000 знак «Соблюдать надводный габарит»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шт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щита, узлов крепления, целостности отражающего покрытия.</w:t>
            </w:r>
          </w:p>
        </w:tc>
      </w:tr>
      <w:tr>
        <w:trPr>
          <w:trHeight w:val="405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9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803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1279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Щит 1000х1000 Указатель высоты подмостового габарита и кромок судового хода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шт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щита, узлов крепления, целостности отражающего покрытия.</w:t>
            </w:r>
          </w:p>
        </w:tc>
      </w:tr>
      <w:tr>
        <w:trPr>
          <w:trHeight w:val="39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фонового щита знака.</w:t>
            </w:r>
          </w:p>
        </w:tc>
      </w:tr>
      <w:tr>
        <w:trPr>
          <w:trHeight w:val="99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обратной стороны щита при появлении коррозии или загрязнения хим. составами.</w:t>
            </w:r>
          </w:p>
        </w:tc>
      </w:tr>
      <w:tr>
        <w:trPr>
          <w:trHeight w:val="69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Светильник «Кососвет»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6шт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светильников «Кососвет», узлов крепления, герметичности разъемов, целостности кабельных линий и т.п.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кронштейна крепления светильника «Кососвет».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Очистка от грязи светильника.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Металлоконструкции щитов размером 2000х2000/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Металлоконструкции щитов размером 1000х1000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/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МК, узлов крепления, метизов, мест сварки, зачистка и окраска очагов коррозии.</w:t>
            </w:r>
          </w:p>
        </w:tc>
      </w:tr>
      <w:tr>
        <w:trPr>
          <w:trHeight w:val="72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2270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Трансформатор понижающий мощностью 0,25кВт/36В в щитке металлическом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12шт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щитка, узлов крепления, герметичности разъемов, целостности обмотки трансформатора, работоспособности автоматических выключателей, наличия конденсата, нарушения герметичности.</w:t>
            </w:r>
          </w:p>
        </w:tc>
      </w:tr>
      <w:tr>
        <w:trPr>
          <w:trHeight w:val="276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сеч.4х3.5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100м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 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 сеч.2х2.5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50м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линия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сеч.4х4.0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50м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видимого состояния кабеля и кабель-каналов, узлов крепления, герметичности разъемов и т.п.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 и замены испорченного оборудования, кабелей кабель-каналов, узлов крепления, разъемов.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Кабельная канализация (труба водогазопроводная,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мосту)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50м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канализации, визуальный осмотр трассы, узлов крепления, проверка герметичности разъемов и т.п.</w:t>
            </w:r>
          </w:p>
        </w:tc>
      </w:tr>
      <w:tr>
        <w:trPr>
          <w:trHeight w:val="559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Зачистка и окраска поверхностей труб с признаками коррозии.</w:t>
            </w:r>
          </w:p>
        </w:tc>
      </w:tr>
      <w:tr>
        <w:trPr>
          <w:trHeight w:val="688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848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Шкаф управления с АВР 1200х800х280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2шт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шкафов, узлов крепления, герметичности разъемов, целостности кабельных линий и т.п.</w:t>
            </w:r>
          </w:p>
        </w:tc>
      </w:tr>
      <w:tr>
        <w:trPr>
          <w:trHeight w:val="676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1266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Коробка разветви тельная наружная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6шт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натурного обследования состояния коробок, узлов крепления, герметичности разъемов, целостности кабельных линий и т.п.</w:t>
            </w:r>
          </w:p>
        </w:tc>
      </w:tr>
      <w:tr>
        <w:trPr>
          <w:trHeight w:val="674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  <w:tr>
        <w:trPr>
          <w:trHeight w:val="914" w:hRule="atLeast"/>
        </w:trPr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Рейка вертикальной разметки безопасности на лицевой части опор судоходных пролетов.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(Полоса уровня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/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водомерная рейка)</w:t>
            </w:r>
          </w:p>
        </w:tc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18м2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на объект с проведением визуального осмотра состояния разметки, ее яркости, читаемости, целостности.</w:t>
            </w:r>
          </w:p>
        </w:tc>
      </w:tr>
      <w:tr>
        <w:trPr>
          <w:trHeight w:val="361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Нанесение разметки при необходимости.</w:t>
            </w:r>
          </w:p>
        </w:tc>
      </w:tr>
      <w:tr>
        <w:trPr>
          <w:trHeight w:val="632" w:hRule="atLeast"/>
        </w:trPr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заключения о необходимости проведения внеплановых ремонтных работ.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ОЦЕНКА КАЧЕСТВА УСЛУГ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6.1.</w:t>
      </w:r>
      <w:r>
        <w:rPr>
          <w:rFonts w:cs="Times New Roman" w:ascii="Times New Roman" w:hAnsi="Times New Roman"/>
          <w:color w:val="000000"/>
        </w:rPr>
        <w:t xml:space="preserve"> Требования Заказчика для оценки качества оказанных услуг по техническому обслуживанию </w:t>
      </w:r>
      <w:r>
        <w:rPr>
          <w:rFonts w:cs="Times New Roman" w:ascii="Times New Roman" w:hAnsi="Times New Roman"/>
          <w:bCs/>
          <w:sz w:val="24"/>
          <w:szCs w:val="24"/>
        </w:rPr>
        <w:t>судовой сигнализации и аэросигнализации</w:t>
      </w:r>
      <w:r>
        <w:rPr>
          <w:rFonts w:cs="Times New Roman" w:ascii="Times New Roman" w:hAnsi="Times New Roman"/>
          <w:color w:val="000000"/>
        </w:rPr>
        <w:t xml:space="preserve"> указаны в Таблице № 7.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iCs/>
          <w:spacing w:val="-2"/>
        </w:rPr>
        <w:t>Таблица № 7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7"/>
        <w:gridCol w:w="3590"/>
        <w:gridCol w:w="2053"/>
        <w:gridCol w:w="1985"/>
        <w:gridCol w:w="1902"/>
      </w:tblGrid>
      <w:tr>
        <w:trPr>
          <w:trHeight w:val="465" w:hRule="atLeast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Объект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Уровень содержания в зависимости от сроков устранения</w:t>
            </w:r>
          </w:p>
        </w:tc>
      </w:tr>
      <w:tr>
        <w:trPr>
          <w:trHeight w:val="291" w:hRule="atLeast"/>
        </w:trPr>
        <w:tc>
          <w:tcPr>
            <w:tcW w:w="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3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Высокий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Допустимый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Недопустимый</w:t>
            </w:r>
          </w:p>
        </w:tc>
      </w:tr>
      <w:tr>
        <w:trPr>
          <w:trHeight w:val="71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Судовая сигнализация м.п. "Фрунзенский"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24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72 часов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Свыше 72 часов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</w:rPr>
              <w:t>Аэросигнализация м.п. "Фрунзенский"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24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72 часов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Свыше 72 часов</w:t>
            </w:r>
          </w:p>
        </w:tc>
      </w:tr>
      <w:tr>
        <w:trPr>
          <w:trHeight w:val="41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</w:rPr>
              <w:t>Судовая сигнализация м.п. "Кировский"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24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72 часов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Свыше 72 часов</w:t>
            </w:r>
          </w:p>
        </w:tc>
      </w:tr>
      <w:tr>
        <w:trPr>
          <w:trHeight w:val="63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</w:rPr>
              <w:t>Аэросигнализация м.п. "Кировский"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24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72 часов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Свыше 72 часов</w:t>
            </w:r>
          </w:p>
        </w:tc>
      </w:tr>
      <w:tr>
        <w:trPr>
          <w:trHeight w:val="70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</w:rPr>
              <w:t>Система резервного питания на базе ЭАД  м.п. "Кировский"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24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72 часов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Свыше 72 часов</w:t>
            </w:r>
          </w:p>
        </w:tc>
      </w:tr>
      <w:tr>
        <w:trPr>
          <w:trHeight w:val="614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</w:rPr>
              <w:t>Судовая сигнализация м.п. через р. Сок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24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течении 72 часов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Свыше 72 часов</w:t>
            </w:r>
          </w:p>
        </w:tc>
      </w:tr>
    </w:tbl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</w:rPr>
        <w:t>6.2.</w:t>
      </w:r>
      <w:r>
        <w:rPr>
          <w:rFonts w:cs="Times New Roman" w:ascii="Times New Roman" w:hAnsi="Times New Roman"/>
        </w:rPr>
        <w:t xml:space="preserve"> Понижающие коэффициенты по оценке качества </w:t>
      </w:r>
      <w:r>
        <w:rPr>
          <w:rFonts w:cs="Times New Roman" w:ascii="Times New Roman" w:hAnsi="Times New Roman"/>
          <w:color w:val="000000"/>
        </w:rPr>
        <w:t xml:space="preserve">услуг по техническому обслуживанию </w:t>
      </w:r>
      <w:r>
        <w:rPr>
          <w:rFonts w:cs="Times New Roman" w:ascii="Times New Roman" w:hAnsi="Times New Roman"/>
          <w:bCs/>
          <w:sz w:val="24"/>
          <w:szCs w:val="24"/>
        </w:rPr>
        <w:t>судовой сигнализации и аэросигнализации</w:t>
      </w:r>
      <w:r>
        <w:rPr>
          <w:rFonts w:cs="Times New Roman" w:ascii="Times New Roman" w:hAnsi="Times New Roman"/>
          <w:color w:val="000000"/>
        </w:rPr>
        <w:t xml:space="preserve"> указаны в Таблице № 8.</w:t>
      </w:r>
    </w:p>
    <w:p>
      <w:pPr>
        <w:pStyle w:val="Normal"/>
        <w:shd w:val="clear" w:color="auto" w:fill="FFFFFF"/>
        <w:spacing w:lineRule="auto" w:line="276"/>
        <w:jc w:val="right"/>
        <w:rPr>
          <w:rFonts w:ascii="Times New Roman" w:hAnsi="Times New Roman" w:cs="Times New Roman"/>
          <w:bCs/>
          <w:iCs/>
          <w:spacing w:val="-2"/>
        </w:rPr>
      </w:pPr>
      <w:r>
        <w:rPr>
          <w:rFonts w:cs="Times New Roman" w:ascii="Times New Roman" w:hAnsi="Times New Roman"/>
          <w:bCs/>
          <w:iCs/>
          <w:spacing w:val="-2"/>
        </w:rPr>
        <w:t>Таблица № 8</w:t>
      </w:r>
    </w:p>
    <w:tbl>
      <w:tblPr>
        <w:tblW w:w="1036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5"/>
        <w:gridCol w:w="3943"/>
        <w:gridCol w:w="5445"/>
      </w:tblGrid>
      <w:tr>
        <w:trPr>
          <w:trHeight w:val="1140" w:hRule="atLeast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cs="Times New Roman" w:ascii="Times New Roman" w:hAnsi="Times New Roman"/>
              </w:rPr>
              <w:br/>
              <w:t>п/п</w:t>
            </w:r>
          </w:p>
        </w:tc>
        <w:tc>
          <w:tcPr>
            <w:tcW w:w="39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Уровень содержания</w:t>
            </w:r>
          </w:p>
        </w:tc>
        <w:tc>
          <w:tcPr>
            <w:tcW w:w="5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Коэффициент</w:t>
            </w:r>
          </w:p>
        </w:tc>
      </w:tr>
      <w:tr>
        <w:trPr>
          <w:trHeight w:val="380" w:hRule="atLeast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9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Высокий</w:t>
            </w:r>
          </w:p>
        </w:tc>
        <w:tc>
          <w:tcPr>
            <w:tcW w:w="54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</w:t>
            </w:r>
          </w:p>
        </w:tc>
      </w:tr>
      <w:tr>
        <w:trPr>
          <w:trHeight w:val="380" w:hRule="atLeast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9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Допустимый</w:t>
            </w:r>
          </w:p>
        </w:tc>
        <w:tc>
          <w:tcPr>
            <w:tcW w:w="54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0,50</w:t>
            </w:r>
          </w:p>
        </w:tc>
      </w:tr>
      <w:tr>
        <w:trPr>
          <w:trHeight w:val="380" w:hRule="atLeast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39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Недопустимый</w:t>
            </w:r>
          </w:p>
        </w:tc>
        <w:tc>
          <w:tcPr>
            <w:tcW w:w="54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</w:tbl>
    <w:p>
      <w:pPr>
        <w:pStyle w:val="Normal"/>
        <w:shd w:val="clear" w:color="auto" w:fill="FFFFFF"/>
        <w:spacing w:lineRule="auto" w:line="276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right"/>
        <w:rPr>
          <w:rFonts w:ascii="Times New Roman" w:hAnsi="Times New Roman" w:eastAsia="Calibri" w:cs="Times New Roman"/>
        </w:rPr>
      </w:pPr>
      <w:r>
        <w:rPr>
          <w:rFonts w:cs="Times New Roman" w:ascii="Times New Roman" w:hAnsi="Times New Roman"/>
          <w:sz w:val="24"/>
          <w:szCs w:val="24"/>
        </w:rPr>
        <w:t>Приложение №1 к Техническому заданию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Times New Roman" w:hAnsi="Times New Roman" w:eastAsia="Calibri" w:cs="Times New Roman"/>
        </w:rPr>
      </w:pPr>
      <w:r>
        <w:rPr>
          <w:rFonts w:cs="Times New Roman" w:ascii="Times New Roman" w:hAnsi="Times New Roman"/>
          <w:sz w:val="24"/>
          <w:szCs w:val="24"/>
        </w:rPr>
        <w:t>Перечень оказываемых услуг/работ, применяемых материалов и оборудования</w:t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eastAsia="Calibri" w:cs="Times New Roman"/>
        </w:rPr>
      </w:pPr>
      <w:r>
        <w:rPr>
          <w:rFonts w:cs="Times New Roman" w:ascii="Times New Roman" w:hAnsi="Times New Roman"/>
          <w:sz w:val="24"/>
          <w:szCs w:val="24"/>
        </w:rPr>
        <w:t>Таблица №1</w:t>
      </w:r>
    </w:p>
    <w:tbl>
      <w:tblPr>
        <w:tblW w:w="9840" w:type="dxa"/>
        <w:jc w:val="left"/>
        <w:tblInd w:w="-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6"/>
        <w:gridCol w:w="7294"/>
        <w:gridCol w:w="735"/>
        <w:gridCol w:w="1245"/>
      </w:tblGrid>
      <w:tr>
        <w:trPr>
          <w:trHeight w:val="480" w:hRule="atLeast"/>
        </w:trPr>
        <w:tc>
          <w:tcPr>
            <w:tcW w:w="9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Наименование  услуг/работ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9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859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Arial" w:hAnsi="Arial"/>
                <w:b/>
                <w:i/>
                <w:u w:val="single"/>
              </w:rPr>
              <w:t>I. Виды работ по техническому обслуживанию: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Оказание услуг по техническому обслуживанию судовой сигнализации м.п. "Фрунзенский" за 1 месяц, усл.ед.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Оказание услуг по техническому обслуживанию аэросигнализации м.п. "Фрунзенский" за 1 месяц, усл.ед.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Оказание услуг по техническому обслуживанию судовой сигнализации м.п. "Кировский" за 1 месяц, усл.ед.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Оказание услуг по техническому обслуживанию аэросигнализации м.п. "Кировский" за 1 месяц, усл.ед.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449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Оказание услуг по техническому обслуживанию системы резервного питания на базе ЭАД  м.п. "Кировский" на 1 месяц, усл.ед.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Оказание услуг по техническому обслуживанию судовой сигнализации м.п. через р. Сок за 1 месяц, усл.ед.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9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Arial" w:hAnsi="Arial"/>
                <w:b/>
                <w:i/>
                <w:u w:val="single"/>
              </w:rPr>
              <w:t>II. Ремонтные работы: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шкафа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шкафа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контроллера управления судоходой сигнализацией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22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контроллера управления судоходой сигнализацией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контроллера управления аэро сигнализацией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контроллера управления аэро сигнализацией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фонового щита с применением манипулятора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фонового щита с применением манипулятора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0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трубы водогазопроводной с применением платформы мостовой консольной (Кабельная канализация по внешней стороне моста под консолью)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трубы водогазопроводной с применением платформы мостовой консольной(Кабельная канализация,по внешней стороне моста ,под консолью)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протяжной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протяжной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протяжной с применение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протяжной с применение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протяжной К654У2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протяжной К654У2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протяжной К654У2 с применение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протяжной К654У2 с применение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протяжной У995У2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протяжной У995У2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протяжной У995У2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протяжной У995У2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автоматического выключателя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автоматического выключателя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клеммной электромонтажной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клеммной электромонтажной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клеммной электромонтажной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клеммной электромонтажной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кабеля силового методом подвеса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кабеля силового методом подвеса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кабеля силового траншейным способом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кабеля силового траншейным способом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кабеля силового по конструкциям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кабеля силового по конструкциям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кабеля силового в гофре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кабеля силового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оптического кабеля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оптического кабеля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лампы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лампы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лампы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ламы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прожектора «кососвет»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прожектора «кососвет»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разетвительной наружней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разетвительной наружней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2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коробки разетвительной наружней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2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коробки разетвительной наружней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стойки ЗОМ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стойки  ЗОМ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стойки ЗОМ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стойки ЗОМ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79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источника бесперебойного питания в комплекте с батареями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источника бесперебойного питания в комплекте с батареями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трубы водогазопроводной (кабельной канализации по оси моста)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</w:tr>
      <w:tr>
        <w:trPr>
          <w:trHeight w:val="116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трубы водогазопроводной (кабельной канализации по оси моста)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фотодатчика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фотодатчика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системы обогрева помещения ЭАД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системы обогрева помещения ЭАД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блока управления ЭАД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блока управления ЭАД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генератора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генератора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генераторной установки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генераторной установки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электропроводки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электропроводки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системы автоматического управления резервным питанием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системы автоматического управления резервным питанием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форсунки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форсунки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1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топливного фильтра тонкой отчистки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топливного фильтра тонкой отчистки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топливных трубок высокого давления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топливных трубок высокого давления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топливного насоса двигателя МТЗ 242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топливного насоса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топливных трубок низкого давления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1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топливных трубок низкого давления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2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топливного фильтра грубой отчистки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топливного фильтра грубой отчистки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4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топливного фильтра тонкой отчистки двигателя МТЗ 244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8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топливного фильтра тонкой отчистки двигателя МТЗ 245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АКБ системы пожаротушения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АКБ системы пожаротушения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модуля порошкового пожаротушения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модуля порошкового пожаротушения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жалюзи  (система вентиляции помещения)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жалюзи  (система вентиляции помещения)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электропривода  (система вентиляции помещения)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электропривода  (система вентиляции помещения)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прибора приемно-контрольный и управления автоматическими средствами пожаротушения и оповещателями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8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прибора приемно-контрольного и управления автоматическими средствами пожаротушения и оповещателями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извещателя дымового оптико-электронного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извещателя дымового оптико-электронного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извещателя магнитоконтактного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извещатели магнитоконтактного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уличной камеры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уличной камеры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8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уличной камеры с комплектом креплений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уличной камеры с применением АГП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мачты крепления камеры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мачты крепления камеры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камеры  в помещении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камеры в помещении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коммутатора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коммутатора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видеорегистратора камеры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видеорегистратора камеры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трансформатора понижающего напряжение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трансформатора понижающего напряжение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Разварка оптического кабеля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 монтажных лапок для шкафа 800х600х400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Демонтаж монтажных лапок для шкафа 800х600х400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Разработка регламента технического обслуживания аэросигнализации м.п. Фрунзенский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3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Разработка регламента технического обслуживания судовой сигнализации м.п. Фрунзенский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6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Разработка регламента технического обслуживания аэросигнализации м.п. Кировский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9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Разработка регламента технического обслуживания судовой сигнализации м.п. Кировский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2" w:hRule="atLeast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7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Разработка регламента технического обслуживания судовой сигнализации моста через р. Сок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№2</w:t>
      </w:r>
    </w:p>
    <w:tbl>
      <w:tblPr>
        <w:tblW w:w="9840" w:type="dxa"/>
        <w:jc w:val="left"/>
        <w:tblInd w:w="-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5"/>
        <w:gridCol w:w="7295"/>
        <w:gridCol w:w="735"/>
        <w:gridCol w:w="1245"/>
      </w:tblGrid>
      <w:tr>
        <w:trPr>
          <w:trHeight w:val="705" w:hRule="atLeast"/>
        </w:trPr>
        <w:tc>
          <w:tcPr>
            <w:tcW w:w="9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Перечень применяемых материалов и оборудования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3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03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Arial" w:hAnsi="Arial"/>
                <w:b/>
                <w:i/>
                <w:u w:val="single"/>
              </w:rPr>
              <w:t>III. Материалы, оборудование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Arial" w:hAnsi="Arial"/>
                <w:b/>
                <w:i/>
                <w:u w:val="single"/>
              </w:rPr>
            </w:pPr>
            <w:r>
              <w:rPr>
                <w:rFonts w:ascii="Arial" w:hAnsi="Arial"/>
                <w:b/>
                <w:i/>
                <w:u w:val="single"/>
              </w:rPr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Камера уличная IP, СMOS, 2МП, PTZ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Камера для помещения IP, CMOS,2МП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Коммутатор 8 портовый, 100МБ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Блок питания камеры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Автоматический выключатель С1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Автоматический выключатель С6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Автоматический выключатель С10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Автоматический выключатель С16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Автоматический выключатель С20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Автоматический выключатель С25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протяжная пластик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протяжная металл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3х1,5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2х2,5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3х2,5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4х4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5х4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4х10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5х10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5х16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4х25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Силовой кабель сечением 4х35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Сигнальный кабель UTP кат.5e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Кабель оптический П-04У-2.7кН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Кабель сигнальный комбинированый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Габаритный огонь красного цвета БЭПА-9 Р347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Габаритный огонь зеленого цвета БЭПА-9 Р347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Заградительтный огонь малоинтенсивный ЗОМ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Лампа диодная аэро 35 220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протяжная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протяжная У995У2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протяжная К654У2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Прожектор «кососвет»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Лампа металлогалогенная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Навигационный щит 2000х2000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Навигационный щит 1000х1000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клеммная электромонтажная металлическая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клеммная электромонтажная КЗНС-08, IP65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Опорная стойка ОС-50-3/4 ЗОМ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Коробка распределительная IP56 190х140х70мм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Шкаф КМПн-5 ip65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Источник бесперебойного питания в комплекте с батареями SMALLT2A1OS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Блок управления БУЗО с АВР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Фотодатчик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Первичная заправка бака ЭАД дизельным топливом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л.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79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Конвектор обогрева помещения 2000вт, до 25кв.м нержавеющая сталь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6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Форсунка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27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Фильтр грубой отчиски топлива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7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Фильтр тонкой отчиски топлива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Трубка топливная высокого давления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9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Топивный насос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7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Трубка топливная низкого давления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Приводной ремень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Охлаждающая жидкость (Тосол А40)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л.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Моторное масло API CF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л.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Генератор двигателя МТЗ 243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Модуль порошкового пожаротушения «Тунгус-6»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AKБ  12в 4.5AH (система пожаротушения)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6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АКБ 12в 95 АН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9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Прибор приемно-контрольный и управления автоматическими средствами пожаротушения и оповещателями «С2000-АСПТ»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Блок индикации пожаротушения «С2000-ПТ»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32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Извещатели дымовые оптико-электронные - ИП 212-41М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3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Извещателб магнитоконтактный ИО-102-20 А-2П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34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Замок магнитный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Шкаф управления ЭАД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36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Электропривод Belimo NM24A (система вентиляции)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Жалюзи SMT50 (система вентиляции)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3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Светозвуковое табло (система пожаротушения)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Монитор 24 дюйма 1920х1080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4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Крепление камеры на столб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1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Мачта крепления камеры металлическая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42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Видеорегистратор NVR, 10TB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3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Шкаф управления с АВР 1200х800х280 в сборе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4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Трансформатор понижающий мощностью 220/36В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5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ПНД Труба SDR17 Д160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6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Труба гофрированная ПНД 25мм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7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Труба оцинкованая Д76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8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Шкаф IP66 800х600х400 металл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19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Монтажные лапки для шкафа 800х600х400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Гермоввод 24-34мм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Гермоввод 30-40мм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92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72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</w:rPr>
              <w:t>Гермоввод 44-54мм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№2 к Техническому заданию</w:t>
      </w:r>
    </w:p>
    <w:p>
      <w:pPr>
        <w:pStyle w:val="Normal"/>
        <w:shd w:val="clear" w:color="auto" w:fill="FFFFFF"/>
        <w:spacing w:lineRule="auto" w:line="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360"/>
        <w:jc w:val="right"/>
        <w:rPr>
          <w:rFonts w:ascii="Times New Roman" w:hAnsi="Times New Roman"/>
          <w:bCs/>
          <w:iCs/>
          <w:spacing w:val="-2"/>
        </w:rPr>
      </w:pPr>
      <w:r>
        <w:rPr>
          <w:rFonts w:ascii="Times New Roman" w:hAnsi="Times New Roman"/>
          <w:bCs/>
          <w:iCs/>
          <w:spacing w:val="-2"/>
        </w:rPr>
        <w:t>ФОРМА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АКТ</w:t>
      </w:r>
    </w:p>
    <w:p>
      <w:pPr>
        <w:pStyle w:val="Normal"/>
        <w:spacing w:before="0"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проверки уровня содержания</w:t>
      </w:r>
    </w:p>
    <w:p>
      <w:pPr>
        <w:pStyle w:val="Normal"/>
        <w:spacing w:lineRule="auto" w:line="276" w:before="0" w:after="200"/>
        <w:rPr>
          <w:rFonts w:ascii="Times New Roman" w:hAnsi="Times New Roman"/>
        </w:rPr>
      </w:pPr>
      <w:r>
        <w:rPr>
          <w:rFonts w:ascii="Times New Roman" w:hAnsi="Times New Roman"/>
        </w:rPr>
        <w:t>«____» _________20___г.</w:t>
      </w:r>
    </w:p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Комиссия в составе</w:t>
      </w:r>
    </w:p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осуществила проверку уровня содержания в рамках государственного контракта № ___ от _____ на оказание услуг по содержанию судовой сигнализации и аэросигнализации</w:t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отчетный период с «_____» ___________20___г. по «____» _____________20___г.</w:t>
      </w:r>
    </w:p>
    <w:p>
      <w:pPr>
        <w:pStyle w:val="Normal"/>
        <w:spacing w:lineRule="auto" w:line="276" w:before="0" w:after="200"/>
        <w:ind w:hanging="142" w:left="142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установила следующее: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7231"/>
        <w:gridCol w:w="2428"/>
      </w:tblGrid>
      <w:tr>
        <w:trPr>
          <w:trHeight w:val="517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Объект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содержания</w:t>
            </w:r>
          </w:p>
        </w:tc>
      </w:tr>
    </w:tbl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7288"/>
        <w:gridCol w:w="2371"/>
      </w:tblGrid>
      <w:tr>
        <w:trPr>
          <w:trHeight w:val="23" w:hRule="atLeast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23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Судовая сигнализация м.п. "Фрунзенский"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</w:tr>
      <w:tr>
        <w:trPr>
          <w:trHeight w:val="23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Аэросигнализация м.п. "Фрунзенский"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</w:tr>
      <w:tr>
        <w:trPr>
          <w:trHeight w:val="23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Судовая сигнализация м.п. "Кировский"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</w:tr>
      <w:tr>
        <w:trPr>
          <w:trHeight w:val="23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Аэросигнализация м.п. "Кировский"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</w:tr>
      <w:tr>
        <w:trPr>
          <w:trHeight w:val="23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Система резервного питания на базе ЭАД  м.п. "Кировский"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</w:tr>
      <w:tr>
        <w:trPr>
          <w:trHeight w:val="23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Судовая сигнализация м.п. через р. Сок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Нарушения, выявленные при приемке работ:_________________________________________</w:t>
        <w:br/>
        <w:t>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Члены комиссии:  ___________________________</w:t>
      </w:r>
    </w:p>
    <w:p>
      <w:pPr>
        <w:pStyle w:val="Normal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footerReference w:type="even" r:id="rId14"/>
      <w:footerReference w:type="default" r:id="rId15"/>
      <w:footerReference w:type="first" r:id="rId16"/>
      <w:type w:val="nextPage"/>
      <w:pgSz w:w="11906" w:h="16838"/>
      <w:pgMar w:left="993" w:right="566" w:gutter="0" w:header="0" w:top="851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18</w:t>
    </w:r>
    <w:r>
      <w:rPr>
        <w:rStyle w:val="PageNumber"/>
        <w:sz w:val="18"/>
      </w:rPr>
      <w:fldChar w:fldCharType="end"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18</w:t>
    </w:r>
    <w:r>
      <w:rPr>
        <w:rStyle w:val="PageNumber"/>
        <w:sz w:val="18"/>
      </w:rPr>
      <w:fldChar w:fldCharType="end"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28</w:t>
    </w:r>
    <w:r>
      <w:rPr>
        <w:rStyle w:val="PageNumber"/>
        <w:sz w:val="18"/>
      </w:rPr>
      <w:fldChar w:fldCharType="end"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28</w:t>
    </w:r>
    <w:r>
      <w:rPr>
        <w:rStyle w:val="PageNumber"/>
        <w:sz w:val="18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11</w:t>
    </w:r>
    <w:r>
      <w:rPr>
        <w:rStyle w:val="PageNumber"/>
        <w:sz w:val="18"/>
      </w:rPr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11</w:t>
    </w:r>
    <w:r>
      <w:rPr>
        <w:rStyle w:val="PageNumber"/>
        <w:sz w:val="18"/>
      </w:rPr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16</w:t>
    </w:r>
    <w:r>
      <w:rPr>
        <w:rStyle w:val="PageNumber"/>
        <w:sz w:val="18"/>
      </w:rPr>
      <w:fldChar w:fldCharType="end"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sz w:val="18"/>
      </w:rPr>
      <w:t>16</w:t>
    </w:r>
    <w:r>
      <w:rPr>
        <w:rStyle w:val="PageNumber"/>
        <w:sz w:val="18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d561ba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Абзац списка Знак"/>
    <w:link w:val="ListParagraph"/>
    <w:uiPriority w:val="34"/>
    <w:qFormat/>
    <w:locked/>
    <w:rsid w:val="006837ee"/>
    <w:rPr>
      <w:rFonts w:ascii="Calibri" w:hAnsi="Calibri" w:eastAsia="Calibri" w:cs="Times New Roman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7588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45b75"/>
    <w:rPr>
      <w:b/>
      <w:bCs/>
    </w:rPr>
  </w:style>
  <w:style w:type="character" w:styleId="1" w:customStyle="1">
    <w:name w:val="Заголовок 1 Знак"/>
    <w:basedOn w:val="DefaultParagraphFont"/>
    <w:uiPriority w:val="9"/>
    <w:qFormat/>
    <w:rsid w:val="00d561b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11dc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PageNumber">
    <w:name w:val="page number"/>
    <w:basedOn w:val="DefaultParagraphFont"/>
    <w:uiPriority w:val="99"/>
    <w:rsid w:val="00411dc1"/>
    <w:rPr>
      <w:rFonts w:cs="Times New Roman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8f5bf5"/>
    <w:rPr/>
  </w:style>
  <w:style w:type="character" w:styleId="Style17" w:customStyle="1">
    <w:name w:val="_Основной с красной строки Знак"/>
    <w:link w:val="Style21"/>
    <w:qFormat/>
    <w:rsid w:val="002e525d"/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3"/>
    <w:uiPriority w:val="34"/>
    <w:qFormat/>
    <w:rsid w:val="006837ee"/>
    <w:pPr>
      <w:spacing w:lineRule="auto" w:line="240" w:before="0" w:after="0"/>
      <w:ind w:left="720"/>
    </w:pPr>
    <w:rPr>
      <w:rFonts w:ascii="Calibri" w:hAnsi="Calibri" w:eastAsia="Calibri" w:cs="Times New Roman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7588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Footer">
    <w:name w:val="footer"/>
    <w:basedOn w:val="Normal"/>
    <w:link w:val="Style15"/>
    <w:uiPriority w:val="99"/>
    <w:rsid w:val="00411dc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Header">
    <w:name w:val="header"/>
    <w:basedOn w:val="Normal"/>
    <w:link w:val="Style16"/>
    <w:uiPriority w:val="99"/>
    <w:unhideWhenUsed/>
    <w:rsid w:val="008f5b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2e525d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Style21" w:customStyle="1">
    <w:name w:val="_Основной с красной строки"/>
    <w:basedOn w:val="Normal"/>
    <w:link w:val="Style17"/>
    <w:qFormat/>
    <w:rsid w:val="002e525d"/>
    <w:pPr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sz w:val="24"/>
      <w:szCs w:val="24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5e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BA6CC-7C87-4F65-959D-9BE96B8C9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LibreOffice/25.8.7.3$Linux_X86_64 LibreOffice_project/30742500f2d3eb4366ac312fa33d3dcabdb3eba5</Application>
  <AppVersion>15.0000</AppVersion>
  <Pages>28</Pages>
  <Words>6652</Words>
  <Characters>45176</Characters>
  <CharactersWithSpaces>50345</CharactersWithSpaces>
  <Paragraphs>1492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2026-06-17T05:59:00Z</dcterms:created>
  <dc:creator>Дмитрий</dc:creator>
  <dc:description/>
  <dc:language>ru-RU</dc:language>
  <cp:lastModifiedBy/>
  <cp:lastPrinted>2025-02-10T05:29:00Z</cp:lastPrinted>
  <dcterms:modified xsi:type="dcterms:W3CDTF">2026-07-16T11:11:30Z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