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media/image2.png" ContentType="image/png"/>
  <Override PartName="/word/media/image3.png" ContentType="image/png"/>
  <Override PartName="/word/media/image1.png" ContentType="image/png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25772" w:type="dxa"/>
        <w:jc w:val="left"/>
        <w:tblInd w:w="-1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958"/>
        <w:gridCol w:w="10961"/>
        <w:gridCol w:w="3853"/>
      </w:tblGrid>
      <w:tr>
        <w:trPr/>
        <w:tc>
          <w:tcPr>
            <w:tcW w:w="10958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- Главный инженер Воткинского филиала</w:t>
            </w:r>
          </w:p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 xml:space="preserve">АО «Гидроремонт-ВКК» </w:t>
            </w:r>
          </w:p>
        </w:tc>
        <w:tc>
          <w:tcPr>
            <w:tcW w:w="10961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 xml:space="preserve">Зам. главного инженера Воткинского филиала АО «Гидроремонт-ВКК» </w:t>
            </w:r>
          </w:p>
        </w:tc>
        <w:tc>
          <w:tcPr>
            <w:tcW w:w="3853" w:type="dxa"/>
            <w:tcBorders/>
          </w:tcPr>
          <w:p>
            <w:pPr>
              <w:pStyle w:val="Normal"/>
              <w:widowControl w:val="false"/>
              <w:spacing w:lineRule="auto" w:line="276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</w:tc>
      </w:tr>
      <w:tr>
        <w:trPr/>
        <w:tc>
          <w:tcPr>
            <w:tcW w:w="10958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__________________ Э.В. Сальников</w:t>
            </w:r>
          </w:p>
        </w:tc>
        <w:tc>
          <w:tcPr>
            <w:tcW w:w="10961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__________________ Д.И. Новиков</w:t>
            </w:r>
          </w:p>
        </w:tc>
        <w:tc>
          <w:tcPr>
            <w:tcW w:w="3853" w:type="dxa"/>
            <w:tcBorders/>
          </w:tcPr>
          <w:p>
            <w:pPr>
              <w:pStyle w:val="Normal"/>
              <w:widowControl w:val="false"/>
              <w:spacing w:lineRule="auto" w:line="276"/>
              <w:jc w:val="righ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10958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«_____» ______________ 2026  г.</w:t>
            </w:r>
          </w:p>
        </w:tc>
        <w:tc>
          <w:tcPr>
            <w:tcW w:w="10961" w:type="dxa"/>
            <w:tcBorders/>
          </w:tcPr>
          <w:p>
            <w:pPr>
              <w:pStyle w:val="Normal"/>
              <w:widowControl w:val="false"/>
              <w:spacing w:lineRule="auto" w:line="276"/>
              <w:ind w:left="6521" w:hanging="0"/>
              <w:rPr>
                <w:lang w:eastAsia="en-US"/>
              </w:rPr>
            </w:pPr>
            <w:r>
              <w:rPr>
                <w:lang w:eastAsia="en-US"/>
              </w:rPr>
              <w:t>«_____» ______________ 2022  г.</w:t>
            </w:r>
          </w:p>
        </w:tc>
        <w:tc>
          <w:tcPr>
            <w:tcW w:w="3853" w:type="dxa"/>
            <w:tcBorders/>
          </w:tcPr>
          <w:p>
            <w:pPr>
              <w:pStyle w:val="Normal"/>
              <w:widowControl w:val="false"/>
              <w:spacing w:lineRule="auto" w:line="276"/>
              <w:jc w:val="right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jc w:val="right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ind w:left="360" w:hanging="36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>
      <w:pPr>
        <w:pStyle w:val="Normal"/>
        <w:ind w:left="360" w:hanging="360"/>
        <w:jc w:val="center"/>
        <w:rPr/>
      </w:pPr>
      <w:r>
        <w:rPr/>
        <w:t xml:space="preserve">ОКПД 2: 25.12 Поставка металлических дверей </w:t>
      </w:r>
    </w:p>
    <w:p>
      <w:pPr>
        <w:pStyle w:val="Normal"/>
        <w:ind w:left="360" w:hanging="360"/>
        <w:jc w:val="center"/>
        <w:rPr/>
      </w:pPr>
      <w:r>
        <w:rPr/>
        <w:t>для нужд Воткинского филиала</w:t>
      </w:r>
    </w:p>
    <w:p>
      <w:pPr>
        <w:pStyle w:val="Normal"/>
        <w:ind w:left="360" w:hanging="360"/>
        <w:jc w:val="center"/>
        <w:rPr>
          <w:lang w:val="en-US"/>
        </w:rPr>
      </w:pPr>
      <w:r>
        <w:rPr>
          <w:lang w:val="en-US"/>
        </w:rPr>
        <w:t>ЛОТ №</w:t>
      </w:r>
      <w:r>
        <w:rPr/>
        <w:t xml:space="preserve"> </w:t>
      </w:r>
      <w:r>
        <w:rPr>
          <w:lang w:val="en-US"/>
        </w:rPr>
        <w:t>0068-РЕМ ДОХ-2026-ГРВКК-ВотФ</w:t>
      </w:r>
    </w:p>
    <w:p>
      <w:pPr>
        <w:pStyle w:val="Normal"/>
        <w:ind w:left="360" w:hanging="360"/>
        <w:jc w:val="center"/>
        <w:rPr/>
      </w:pPr>
      <w:r>
        <w:rPr/>
      </w:r>
    </w:p>
    <w:p>
      <w:pPr>
        <w:pStyle w:val="Normal"/>
        <w:ind w:left="360" w:hanging="360"/>
        <w:jc w:val="center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TOC1"/>
        <w:spacing w:lineRule="auto" w:line="360" w:before="0" w:after="0"/>
        <w:ind w:hanging="0"/>
        <w:rPr>
          <w:rFonts w:cs="Times New Roman"/>
          <w:color w:val="000000"/>
          <w:sz w:val="24"/>
          <w:szCs w:val="24"/>
          <w:shd w:fill="FFFFFF" w:val="clear"/>
        </w:rPr>
      </w:pPr>
      <w:r>
        <w:rPr>
          <w:rFonts w:cs="Times New Roman"/>
          <w:color w:val="000000"/>
          <w:sz w:val="24"/>
          <w:szCs w:val="24"/>
          <w:shd w:fill="FFFFFF" w:val="clear"/>
        </w:rPr>
        <w:t>1. Общие сведения…………………………………………………………………………………….3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1.1.</w:t>
        <w:tab/>
        <w:t>Обозначения и сокращения</w:t>
        <w:tab/>
        <w:t>…………………………………………………………………....3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1.2.</w:t>
        <w:tab/>
        <w:t>Наименование закупаемой продукции………………………………………………………..3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1.3.</w:t>
        <w:tab/>
        <w:t>Цель использования закупаемой продукции…………………………………………………3</w:t>
      </w:r>
    </w:p>
    <w:p>
      <w:pPr>
        <w:pStyle w:val="Normal"/>
        <w:spacing w:lineRule="auto" w:line="360"/>
        <w:rPr/>
      </w:pPr>
      <w:r>
        <w:rPr>
          <w:rStyle w:val="Hyperlink"/>
          <w:b/>
          <w:bCs/>
          <w:color w:val="000000"/>
          <w:u w:val="none"/>
          <w:shd w:fill="FFFFFF" w:val="clear"/>
        </w:rPr>
        <w:t>2. Требования к продукции………………………………………………………………………….3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2.1.</w:t>
        <w:tab/>
        <w:t>Требования к объемам и срокам поставки…………………………………………………....3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2.1.1.</w:t>
        <w:tab/>
        <w:t>Перечень и объем закупаемой продукции…………………………………………………....3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Таблица 1. Перечень и объем закупаемой продукции……………………………………………….3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2.1.2.</w:t>
        <w:tab/>
        <w:t>Требования к срокам поставки продукции и оказания сопутствующих услуг…………….4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Таблица 2. Требования по срокам поставки продукции</w:t>
        <w:tab/>
        <w:t>……………………………………………4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2.2. Требования к качеству продукции…………………………………………………………….....4</w:t>
      </w:r>
    </w:p>
    <w:p>
      <w:pPr>
        <w:pStyle w:val="Normal"/>
        <w:spacing w:lineRule="auto" w:line="360"/>
        <w:rPr/>
      </w:pPr>
      <w:r>
        <w:rPr>
          <w:rStyle w:val="Hyperlink"/>
          <w:color w:val="000000"/>
          <w:u w:val="none"/>
          <w:shd w:fill="FFFFFF" w:val="clear"/>
        </w:rPr>
        <w:t>Таблица 3. Требования к продукции………………………………………………………………….4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rPr>
          <w:shd w:fill="FFFFFF" w:val="clear"/>
        </w:rPr>
      </w:pPr>
      <w:r>
        <w:rPr>
          <w:b/>
          <w:shd w:fill="FFFFFF" w:val="clear"/>
        </w:rPr>
        <w:t>3. Приложения…………………………………………………………………………..……………..7</w:t>
      </w:r>
    </w:p>
    <w:sdt>
      <w:sdtPr>
        <w:docPartObj>
          <w:docPartGallery w:val="Table of Contents"/>
          <w:docPartUnique w:val="true"/>
        </w:docPartObj>
        <w:id w:val="1289330550"/>
      </w:sdtPr>
      <w:sdtContent>
        <w:p>
          <w:pPr>
            <w:pStyle w:val="Normal"/>
            <w:spacing w:lineRule="auto" w:line="360"/>
            <w:rPr>
              <w:rFonts w:eastAsia="" w:eastAsiaTheme="minorEastAsia"/>
            </w:rPr>
          </w:pPr>
          <w:r>
            <w:rPr>
              <w:rFonts w:eastAsia="" w:eastAsiaTheme="minorEastAsia"/>
            </w:rPr>
          </w:r>
        </w:p>
      </w:sdtContent>
    </w:sdt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3"/>
        </w:numPr>
        <w:ind w:left="0" w:hanging="0"/>
        <w:jc w:val="left"/>
        <w:rPr>
          <w:rFonts w:ascii="Times New Roman" w:hAnsi="Times New Roman"/>
          <w:b/>
          <w:bCs/>
          <w:sz w:val="24"/>
          <w:szCs w:val="24"/>
          <w:lang w:val="x-none"/>
        </w:rPr>
      </w:pPr>
      <w:bookmarkStart w:id="2" w:name="_Toc46743505"/>
      <w:bookmarkStart w:id="3" w:name="_Toc75446567"/>
      <w:r>
        <w:rPr>
          <w:rFonts w:ascii="Times New Roman" w:hAnsi="Times New Roman"/>
          <w:b/>
          <w:bCs/>
          <w:sz w:val="24"/>
          <w:szCs w:val="24"/>
          <w:lang w:val="x-none"/>
        </w:rPr>
        <w:t>Обозначения и сокращения</w:t>
      </w:r>
      <w:bookmarkEnd w:id="2"/>
      <w:bookmarkEnd w:id="3"/>
      <w:r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ПУ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Производственный участок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Межгосударственный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мм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миллиметр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шт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bCs/>
                <w:iCs/>
                <w:shd w:fill="FFFFFF" w:val="clear"/>
              </w:rPr>
              <w:t>штука</w:t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3"/>
        </w:numPr>
        <w:ind w:left="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>
      <w:pPr>
        <w:pStyle w:val="Normal"/>
        <w:ind w:firstLine="567"/>
        <w:jc w:val="both"/>
        <w:rPr/>
      </w:pPr>
      <w:r>
        <w:rPr/>
        <w:t>ОКПД 2: 25.12 поставка металлических дверей для нужд Воткинского филиала (далее продукция).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3"/>
        </w:numPr>
        <w:ind w:left="0" w:hanging="0"/>
        <w:rPr>
          <w:rFonts w:ascii="Times New Roman" w:hAnsi="Times New Roman"/>
          <w:b/>
          <w:sz w:val="24"/>
          <w:szCs w:val="24"/>
        </w:rPr>
      </w:pPr>
      <w:bookmarkStart w:id="4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4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>
      <w:pPr>
        <w:pStyle w:val="NormalWeb"/>
        <w:spacing w:beforeAutospacing="0" w:before="0" w:afterAutospacing="0" w:after="0"/>
        <w:ind w:right="-1" w:firstLine="567"/>
        <w:jc w:val="both"/>
        <w:rPr/>
      </w:pPr>
      <w:r>
        <w:rPr/>
        <w:t>Исполнение договора № 1180-267-2023 от 02.11.2023 г «Капитальный и текущий ремонт оборудования, зданий, сооружений филиала ПАО «РусГидро» – «Камская ГЭС»», заключенный между ПАО «Федеральная гидрогенерирующая компания – РусГидро» и Воткинским филиалом АО «Гидроремонт-ВКК» в г. Чайковский.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>
      <w:pPr>
        <w:pStyle w:val="ListParagraph"/>
        <w:numPr>
          <w:ilvl w:val="0"/>
          <w:numId w:val="0"/>
        </w:numPr>
        <w:ind w:left="72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ind w:left="360" w:hanging="360"/>
        <w:rPr>
          <w:b/>
        </w:rPr>
      </w:pPr>
      <w:r>
        <w:rPr>
          <w:b/>
        </w:rPr>
        <w:t>2.1.</w:t>
        <w:tab/>
        <w:t>Требования к объемам и срокам поставки.</w:t>
      </w:r>
    </w:p>
    <w:p>
      <w:pPr>
        <w:pStyle w:val="ListParagraph"/>
        <w:numPr>
          <w:ilvl w:val="0"/>
          <w:numId w:val="0"/>
        </w:numPr>
        <w:spacing w:lineRule="auto" w:line="360"/>
        <w:ind w:left="72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  <w:tab/>
        <w:t>Перечень и объем закупаемой продукции.</w:t>
      </w:r>
    </w:p>
    <w:p>
      <w:pPr>
        <w:pStyle w:val="Normal"/>
        <w:keepNext w:val="true"/>
        <w:keepLines/>
        <w:numPr>
          <w:ilvl w:val="0"/>
          <w:numId w:val="0"/>
        </w:numPr>
        <w:outlineLvl w:val="0"/>
        <w:rPr>
          <w:rFonts w:eastAsia="Calibri"/>
          <w:b/>
          <w:lang w:eastAsia="x-none"/>
        </w:rPr>
      </w:pPr>
      <w:bookmarkStart w:id="5" w:name="_Toc75446576"/>
      <w:bookmarkStart w:id="6" w:name="_Toc51339695"/>
      <w:r>
        <w:rPr>
          <w:rFonts w:eastAsia="Calibri"/>
          <w:b/>
          <w:lang w:val="x-none" w:eastAsia="x-none"/>
        </w:rPr>
        <w:t xml:space="preserve">Таблица </w:t>
      </w:r>
      <w:r>
        <w:rPr>
          <w:rFonts w:eastAsia="Calibri"/>
          <w:b/>
          <w:lang w:eastAsia="x-none"/>
        </w:rPr>
        <w:t>1.</w:t>
      </w:r>
      <w:r>
        <w:rPr>
          <w:rFonts w:eastAsia="Calibri"/>
          <w:b/>
          <w:lang w:val="x-none" w:eastAsia="x-none"/>
        </w:rPr>
        <w:t xml:space="preserve"> </w:t>
      </w:r>
      <w:r>
        <w:rPr>
          <w:rFonts w:eastAsia="Calibri"/>
          <w:b/>
          <w:lang w:eastAsia="x-none"/>
        </w:rPr>
        <w:t xml:space="preserve">Перечень </w:t>
      </w:r>
      <w:bookmarkEnd w:id="6"/>
      <w:r>
        <w:rPr>
          <w:rFonts w:eastAsia="Calibri"/>
          <w:b/>
          <w:lang w:eastAsia="x-none"/>
        </w:rPr>
        <w:t>и объем закупаемой продукции</w:t>
      </w:r>
      <w:bookmarkEnd w:id="5"/>
      <w:r>
        <w:rPr>
          <w:rFonts w:eastAsia="Calibri"/>
          <w:b/>
          <w:lang w:eastAsia="x-none"/>
        </w:rPr>
        <w:t>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632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31"/>
        <w:gridCol w:w="3664"/>
        <w:gridCol w:w="2977"/>
        <w:gridCol w:w="1838"/>
        <w:gridCol w:w="1422"/>
      </w:tblGrid>
      <w:tr>
        <w:trPr>
          <w:tblHeader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/>
              <w:t>п/п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57" w:hanging="0"/>
              <w:jc w:val="center"/>
              <w:rPr>
                <w:b/>
              </w:rPr>
            </w:pPr>
            <w:r>
              <w:rPr/>
              <w:t>Наименование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/>
              <w:t>Тип, марка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/>
              <w:t>Единица измерения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/>
              <w:t>Количество</w:t>
            </w:r>
          </w:p>
        </w:tc>
      </w:tr>
      <w:tr>
        <w:trPr>
          <w:tblHeader w:val="true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57" w:hanging="0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140"/>
              <w:ind w:right="-57" w:hanging="0"/>
              <w:jc w:val="center"/>
              <w:rPr/>
            </w:pPr>
            <w:r>
              <w:rPr>
                <w:color w:val="2C2D2E"/>
              </w:rPr>
              <w:t xml:space="preserve">Дверь металлическая двустворчатая левого открытия размер 1240 х 2070 </w:t>
            </w:r>
            <w:r>
              <w:rPr>
                <w:color w:val="2C2D2E"/>
                <w:shd w:fill="FFFFFF" w:val="clear"/>
              </w:rPr>
              <w:t>мм (Н) входная утепленная, толщина металла не менее 2,0 мм,</w:t>
            </w:r>
            <w:r>
              <w:rPr>
                <w:color w:val="2C2D2E"/>
              </w:rPr>
              <w:t xml:space="preserve"> замок 2 класс безопасности, ручка столб, личинка цилиндр с заверткой, окраска молотковой краской серой Хаммерайт,</w:t>
            </w:r>
            <w:r>
              <w:rPr/>
              <w:t xml:space="preserve"> </w:t>
            </w:r>
            <w:r>
              <w:rPr>
                <w:color w:val="2C2D2E"/>
              </w:rPr>
              <w:t>изнутри обшита декоративной фанерой,  глазок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eastAsia="en-US"/>
              </w:rPr>
              <w:t>1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2C2D2E"/>
              </w:rPr>
            </w:pPr>
            <w:r>
              <w:rPr>
                <w:color w:val="2C2D2E"/>
              </w:rPr>
              <w:t>Дверь металлическая одностворчатая левого открытия размер 1040 х 2140 мм (Н) входная утепленная толщина металла не менее 2,0 мм, замок с ручкой защелкой 2 класс безопасности, личинка цилиндр с заверткой, окраска молотковой краской серой Хаммерайт, изнутри обшита декоративной фанерой, глазок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 w:eastAsia="en-US"/>
              </w:rPr>
              <w:t>1</w:t>
            </w:r>
          </w:p>
        </w:tc>
      </w:tr>
    </w:tbl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ind w:left="709" w:hanging="0"/>
        <w:rPr>
          <w:b/>
        </w:rPr>
      </w:pPr>
      <w:r>
        <w:rPr>
          <w:b/>
        </w:rPr>
        <w:t>2.1.2.</w:t>
        <w:tab/>
        <w:t>Требования к срокам поставки продукции и оказания сопутствующих услуг.</w:t>
      </w:r>
    </w:p>
    <w:p>
      <w:pPr>
        <w:pStyle w:val="Normal"/>
        <w:rPr>
          <w:b/>
        </w:rPr>
      </w:pPr>
      <w:r>
        <w:rPr>
          <w:b/>
        </w:rPr>
        <w:t>Таблица 2. Требования по срокам поставки продукции.</w:t>
      </w:r>
    </w:p>
    <w:tbl>
      <w:tblPr>
        <w:tblW w:w="10632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9"/>
        <w:gridCol w:w="5245"/>
        <w:gridCol w:w="2128"/>
        <w:gridCol w:w="2409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продукции / партии продукции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поставки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поставки продукции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1.-2.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Двери металлические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 подписания договора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107" w:hanging="0"/>
              <w:jc w:val="center"/>
              <w:rPr/>
            </w:pPr>
            <w:r>
              <w:rPr/>
              <w:t>Не позднее 30 рабочих дней с даты подписания договора</w:t>
            </w:r>
          </w:p>
        </w:tc>
      </w:tr>
    </w:tbl>
    <w:p>
      <w:pPr>
        <w:pStyle w:val="Normal"/>
        <w:spacing w:lineRule="auto" w:line="360"/>
        <w:rPr>
          <w:b/>
        </w:rPr>
      </w:pPr>
      <w:r>
        <w:rPr>
          <w:b/>
        </w:rPr>
      </w:r>
    </w:p>
    <w:p>
      <w:pPr>
        <w:pStyle w:val="Normal"/>
        <w:spacing w:lineRule="auto" w:line="360"/>
        <w:rPr>
          <w:b/>
        </w:rPr>
      </w:pPr>
      <w:r>
        <w:rPr>
          <w:b/>
        </w:rPr>
        <w:t>2.2.</w:t>
        <w:tab/>
        <w:t>Требования к качеству продукции.</w:t>
      </w:r>
    </w:p>
    <w:p>
      <w:pPr>
        <w:pStyle w:val="Normal"/>
        <w:spacing w:lineRule="auto" w:line="360"/>
        <w:rPr>
          <w:b/>
        </w:rPr>
      </w:pPr>
      <w:bookmarkStart w:id="7" w:name="_Toc75446582"/>
      <w:r>
        <w:rPr>
          <w:b/>
        </w:rPr>
        <w:t>Таблица 3. Требования к продукции</w:t>
      </w:r>
      <w:bookmarkEnd w:id="7"/>
      <w:r>
        <w:rPr>
          <w:b/>
        </w:rPr>
        <w:t>.</w:t>
      </w:r>
    </w:p>
    <w:p>
      <w:pPr>
        <w:sectPr>
          <w:footerReference w:type="default" r:id="rId2"/>
          <w:type w:val="nextPage"/>
          <w:pgSz w:w="11906" w:h="16838"/>
          <w:pgMar w:left="1134" w:right="850" w:gutter="0" w:header="0" w:top="1134" w:footer="708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/>
      </w:pPr>
      <w:r>
        <w:rPr>
          <w:b/>
        </w:rPr>
        <w:t xml:space="preserve">Наименование продукции: </w:t>
      </w:r>
      <w:r>
        <w:rPr/>
        <w:t>ОКПД 2: 25.12 поставка металлических дверей для нужд Воткинского филиала.</w:t>
      </w:r>
    </w:p>
    <w:tbl>
      <w:tblPr>
        <w:tblStyle w:val="af5"/>
        <w:tblW w:w="15483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09"/>
        <w:gridCol w:w="1852"/>
        <w:gridCol w:w="1201"/>
        <w:gridCol w:w="2798"/>
        <w:gridCol w:w="5466"/>
        <w:gridCol w:w="475"/>
        <w:gridCol w:w="2682"/>
      </w:tblGrid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lang w:val="ru-RU" w:bidi="ar-SA"/>
              </w:rPr>
              <w:t>п/п</w:t>
            </w:r>
          </w:p>
        </w:tc>
        <w:tc>
          <w:tcPr>
            <w:tcW w:w="30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8" w:right="-144" w:hanging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Наименование продукции</w:t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Наименование параметра</w:t>
            </w:r>
          </w:p>
        </w:tc>
        <w:tc>
          <w:tcPr>
            <w:tcW w:w="59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Требование заказчика</w:t>
            </w:r>
          </w:p>
        </w:tc>
        <w:tc>
          <w:tcPr>
            <w:tcW w:w="26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Соответствие стандартам</w:t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1</w:t>
            </w:r>
          </w:p>
        </w:tc>
        <w:tc>
          <w:tcPr>
            <w:tcW w:w="30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2</w:t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3</w:t>
            </w:r>
          </w:p>
        </w:tc>
        <w:tc>
          <w:tcPr>
            <w:tcW w:w="59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4</w:t>
            </w:r>
          </w:p>
        </w:tc>
        <w:tc>
          <w:tcPr>
            <w:tcW w:w="268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5</w:t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4474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1009" w:type="dxa"/>
            <w:tcBorders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3053" w:type="dxa"/>
            <w:gridSpan w:val="2"/>
            <w:tcBorders/>
          </w:tcPr>
          <w:p>
            <w:pPr>
              <w:pStyle w:val="BodyText"/>
              <w:widowControl w:val="false"/>
              <w:suppressAutoHyphens w:val="true"/>
              <w:spacing w:lineRule="auto" w:line="240" w:before="0" w:after="140"/>
              <w:ind w:right="-57" w:hanging="0"/>
              <w:jc w:val="center"/>
              <w:rPr>
                <w:shd w:fill="FFFFFF" w:val="clear"/>
              </w:rPr>
            </w:pPr>
            <w:r>
              <w:rPr>
                <w:color w:val="2C2D2E"/>
                <w:kern w:val="0"/>
                <w:shd w:fill="FFFFFF" w:val="clear"/>
                <w:lang w:val="ru-RU" w:bidi="ar-SA"/>
              </w:rPr>
              <w:t>Дверь металлическая двустворчатая левого открытия размер 1240 х 2070 мм</w:t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val="ru-RU" w:eastAsia="en-US" w:bidi="ar-SA"/>
              </w:rPr>
              <w:t>Комплектация двери</w:t>
            </w:r>
          </w:p>
        </w:tc>
        <w:tc>
          <w:tcPr>
            <w:tcW w:w="59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val="ru-RU" w:eastAsia="en-US" w:bidi="ar-SA"/>
              </w:rPr>
              <w:t>В соответствии с Приложением №1 и Приложением №3 к ТТ ОКПД 2: 25.12 Поставка металлических дверей для нужд Воткинского филиала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val="ru-RU" w:bidi="ar-SA"/>
              </w:rPr>
              <w:t>ГОСТ 31173-2016</w:t>
            </w:r>
          </w:p>
        </w:tc>
      </w:tr>
      <w:tr>
        <w:trPr/>
        <w:tc>
          <w:tcPr>
            <w:tcW w:w="1009" w:type="dxa"/>
            <w:tcBorders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30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2C2D2E"/>
                <w:shd w:fill="FFFFFF" w:val="clear"/>
              </w:rPr>
            </w:pPr>
            <w:r>
              <w:rPr>
                <w:color w:val="2C2D2E"/>
                <w:kern w:val="0"/>
                <w:shd w:fill="FFFFFF" w:val="clear"/>
                <w:lang w:val="ru-RU" w:bidi="ar-SA"/>
              </w:rPr>
              <w:t>Дверь металлическая одностворчатая левого открытия размер 1040 х 2140 мм</w:t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val="ru-RU" w:eastAsia="en-US" w:bidi="ar-SA"/>
              </w:rPr>
              <w:t>Комплектация двери</w:t>
            </w:r>
          </w:p>
        </w:tc>
        <w:tc>
          <w:tcPr>
            <w:tcW w:w="59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val="ru-RU" w:eastAsia="en-US" w:bidi="ar-SA"/>
              </w:rPr>
              <w:t>В соответствии с Приложением №2 и Приложением №3 к ТТ ОКПД 2: 25.12 Поставка металлических дверей для нужд Воткинского филиала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val="ru-RU" w:bidi="ar-SA"/>
              </w:rPr>
              <w:t>ГОСТ 31173-2016</w:t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4474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  <w:kern w:val="0"/>
                <w:lang w:val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30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Место поставки</w:t>
            </w:r>
          </w:p>
        </w:tc>
        <w:tc>
          <w:tcPr>
            <w:tcW w:w="11421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Воткинский филиал АО «Гидроремонт-ВКК» в г.Чайковский/ ПУ в г. Пермь 614030, Пермский край, г. Пермь, территория ПАО «РусГидро» - «Камская ГЭС».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68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Приемка продукции осуществляется только в рабочие дни: понедельник - четверг с 8-30 до 11-00 и с 13-00 до 16-00, пятница с 8-30 до 11-00 и с 13-00 до 15-00 по местному времени.</w:t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30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44" w:hanging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Требования к таре и упаковке</w:t>
            </w:r>
          </w:p>
        </w:tc>
        <w:tc>
          <w:tcPr>
            <w:tcW w:w="11421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Тара и упаковка должны обеспечивать целостность продукции при транспортировке и хранении.</w:t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131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157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30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гарантии</w:t>
            </w:r>
          </w:p>
        </w:tc>
        <w:tc>
          <w:tcPr>
            <w:tcW w:w="82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30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службы дверей</w:t>
            </w:r>
          </w:p>
        </w:tc>
        <w:tc>
          <w:tcPr>
            <w:tcW w:w="82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Не менее 10 лет.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131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highlight w:val="yellow"/>
              </w:rPr>
            </w:pPr>
            <w:r>
              <w:rPr>
                <w:b/>
                <w:kern w:val="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30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Документы, передаваемые вместе с продукцией</w:t>
            </w:r>
          </w:p>
        </w:tc>
        <w:tc>
          <w:tcPr>
            <w:tcW w:w="82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сертификаты соответствия;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паспорта качества на изделия;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свидетельства о государственной регистрации соответствия единым санитарно-эпидемиологические и гигиенические требования к товарам, подлежащим санитарно-эпидемиологическому надзору;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сертификаты соответствия нормам пожарной безопасности на изделия;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типовую инструкцию по монтажу дверных блоков, утвержденную руководителем предприятия-изготовителя и содержащую: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8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чертежи (схемы)типовых монтажных узлов примыкания;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8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перечень применяемых материалов (с учетом их совместимости и температурных режимов применения);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8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последовательность технологических операций по монтажу дверных блоков;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487" w:hanging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перечень производителей и/или поставщиков фурнитуры и комплектующих для замены установленных в изделиях при их неисправности.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руководства по применению и эксплуатации;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упаковочные листы, упаковочные ярлыки;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товарно-транспортную накладную формы №1-Т;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0" w:after="0"/>
              <w:ind w:left="203" w:hanging="20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товарную накладную унифицированной формы ТОРГ-12 в 2 экз.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131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  <w:t>Требования к экономическим параметрам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30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Соответствие стандартам</w:t>
            </w:r>
          </w:p>
        </w:tc>
        <w:tc>
          <w:tcPr>
            <w:tcW w:w="8264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Поставщик(производитель) должен быть готов за свой счет провести независимую экспертизу поставляемой продукции для подтверждения соответствия требованиям, указанным в документации.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131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131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Информация о транспорте, на котором осуществляется доставка, для оформления допуска на территорию филиала ПАО «РусГидро» – «Камская ГЭС» предоставляется не позднее 10-00 предыдущего рабочего дня до прибытия транспорта.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60" w:after="6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131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  <w:tr>
        <w:trPr/>
        <w:tc>
          <w:tcPr>
            <w:tcW w:w="100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  <w:kern w:val="0"/>
                <w:lang w:val="ru-RU" w:bidi="ar-SA"/>
              </w:rPr>
            </w:r>
          </w:p>
        </w:tc>
        <w:tc>
          <w:tcPr>
            <w:tcW w:w="1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Общие требования</w:t>
            </w:r>
          </w:p>
        </w:tc>
        <w:tc>
          <w:tcPr>
            <w:tcW w:w="946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315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851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567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76" w:before="0" w:after="200"/>
        <w:ind w:left="1134" w:hanging="567"/>
        <w:jc w:val="center"/>
        <w:rPr>
          <w:b/>
          <w:bCs/>
        </w:rPr>
      </w:pPr>
      <w:r>
        <w:rPr>
          <w:b/>
          <w:bCs/>
        </w:rPr>
        <w:t>3. Приложения.</w:t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  <w:t>Приложение №1 к ТТ ОКПД 2: 25.12 Поставка металлических дверей для нужд Воткинского филиала.</w:t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  <w:drawing>
          <wp:inline distT="0" distB="0" distL="0" distR="0">
            <wp:extent cx="6619240" cy="72961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  <w:t>Приложение №2 к ТТ ОКПД 2: 25.12 Поставка металлических дверей для нужд Воткинского филиала.</w:t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  <w:drawing>
          <wp:inline distT="0" distB="0" distL="0" distR="0">
            <wp:extent cx="6755765" cy="7581900"/>
            <wp:effectExtent l="0" t="0" r="0" b="0"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76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  <w:t>Приложение №3. Рисунок отделки дверей.</w:t>
      </w:r>
    </w:p>
    <w:p>
      <w:pPr>
        <w:pStyle w:val="Normal"/>
        <w:spacing w:lineRule="auto" w:line="276" w:before="0" w:after="200"/>
        <w:ind w:left="1134" w:hanging="567"/>
        <w:jc w:val="center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215765" cy="828294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828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8"/>
      <w:footerReference w:type="first" r:id="rId9"/>
      <w:type w:val="nextPage"/>
      <w:pgSz w:w="11906" w:h="16838"/>
      <w:pgMar w:left="425" w:right="851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Symbol">
    <w:charset w:val="01"/>
    <w:family w:val="roman"/>
    <w:pitch w:val="variable"/>
  </w:font>
  <w:font w:name="GOST Type BU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1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87" w:hanging="360"/>
      </w:pPr>
      <w:rPr>
        <w:sz w:val="24"/>
        <w:b w:val="false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7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4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3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1b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611ac1"/>
    <w:pPr>
      <w:keepNext w:val="true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qFormat/>
    <w:rsid w:val="00611ac1"/>
    <w:pPr>
      <w:keepNext w:val="true"/>
      <w:jc w:val="center"/>
      <w:outlineLvl w:val="1"/>
    </w:pPr>
    <w:rPr>
      <w:sz w:val="28"/>
      <w:szCs w:val="20"/>
      <w:lang w:val="en-US" w:eastAsia="en-US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b7eec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7436d2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Заголовок 1 Знак"/>
    <w:basedOn w:val="DefaultParagraphFont"/>
    <w:qFormat/>
    <w:rsid w:val="00611ac1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Заголовок 2 Знак"/>
    <w:basedOn w:val="DefaultParagraphFont"/>
    <w:qFormat/>
    <w:rsid w:val="00611ac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405e7"/>
    <w:rPr>
      <w:color w:val="0000FF" w:themeColor="hyperlink"/>
      <w:u w:val="single"/>
    </w:rPr>
  </w:style>
  <w:style w:type="character" w:styleId="Apple-converted-space" w:customStyle="1">
    <w:name w:val="apple-converted-space"/>
    <w:basedOn w:val="DefaultParagraphFont"/>
    <w:qFormat/>
    <w:rsid w:val="00543cd6"/>
    <w:rPr/>
  </w:style>
  <w:style w:type="character" w:styleId="4" w:customStyle="1">
    <w:name w:val="Заголовок 4 Знак"/>
    <w:basedOn w:val="DefaultParagraphFont"/>
    <w:uiPriority w:val="9"/>
    <w:semiHidden/>
    <w:qFormat/>
    <w:rsid w:val="009b7eec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  <w:sz w:val="24"/>
      <w:szCs w:val="24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8539b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Нижний колонтитул Знак"/>
    <w:basedOn w:val="DefaultParagraphFont"/>
    <w:uiPriority w:val="99"/>
    <w:qFormat/>
    <w:rsid w:val="008539b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Символ нумерации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c82289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c82289"/>
    <w:pPr>
      <w:numPr>
        <w:ilvl w:val="0"/>
        <w:numId w:val="2"/>
      </w:numPr>
      <w:spacing w:before="0" w:after="0"/>
      <w:contextualSpacing/>
      <w:jc w:val="both"/>
    </w:pPr>
    <w:rPr>
      <w:rFonts w:ascii="Symbol" w:hAnsi="Symbol"/>
      <w:sz w:val="26"/>
      <w:szCs w:val="26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7436d2"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375955"/>
    <w:pPr>
      <w:tabs>
        <w:tab w:val="clear" w:pos="708"/>
        <w:tab w:val="right" w:pos="9911" w:leader="dot"/>
      </w:tabs>
      <w:spacing w:before="120" w:after="0"/>
      <w:ind w:firstLine="284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982f19"/>
    <w:pPr>
      <w:tabs>
        <w:tab w:val="clear" w:pos="708"/>
        <w:tab w:val="left" w:pos="567" w:leader="none"/>
        <w:tab w:val="right" w:pos="9911" w:leader="dot"/>
      </w:tabs>
      <w:spacing w:lineRule="auto" w:line="360"/>
    </w:pPr>
    <w:rPr>
      <w:rFonts w:cs="Calibri" w:cstheme="minorHAnsi"/>
      <w:u w:val="single"/>
    </w:rPr>
  </w:style>
  <w:style w:type="paragraph" w:styleId="TOC4">
    <w:name w:val="TOC 4"/>
    <w:basedOn w:val="Normal"/>
    <w:next w:val="Normal"/>
    <w:autoRedefine/>
    <w:uiPriority w:val="39"/>
    <w:rsid w:val="00982f19"/>
    <w:pPr>
      <w:tabs>
        <w:tab w:val="clear" w:pos="708"/>
        <w:tab w:val="left" w:pos="567" w:leader="none"/>
        <w:tab w:val="right" w:pos="9911" w:leader="dot"/>
      </w:tabs>
      <w:spacing w:lineRule="auto" w:line="360"/>
    </w:pPr>
    <w:rPr>
      <w:rFonts w:cs="Calibri" w:cstheme="minorHAnsi"/>
      <w:sz w:val="20"/>
      <w:szCs w:val="20"/>
    </w:rPr>
  </w:style>
  <w:style w:type="paragraph" w:styleId="Style1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rsid w:val="008539b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unhideWhenUsed/>
    <w:rsid w:val="008539b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2"/>
    <w:uiPriority w:val="39"/>
    <w:rsid w:val="00477005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64023-7E6C-4632-91E7-0BDBED7E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AlterOffice/3.4.0.9$Linux_X86_64 LibreOffice_project/b8daf9e823b1a5463a2f48435ddc2e8696e7d4fc</Application>
  <AppVersion>15.0000</AppVersion>
  <Pages>9</Pages>
  <Words>918</Words>
  <Characters>6462</Characters>
  <CharactersWithSpaces>7210</CharactersWithSpaces>
  <Paragraphs>167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2026-07-31T10:11:00Z</dcterms:created>
  <dc:creator>MoiseevskihAA@rushydro.ru</dc:creator>
  <dc:description/>
  <dc:language>ru-RU</dc:language>
  <cp:lastModifiedBy>Нестеренко Владимир Александрович</cp:lastModifiedBy>
  <cp:lastPrinted>2023-01-11T09:05:00Z</cp:lastPrinted>
  <dcterms:modified xsi:type="dcterms:W3CDTF">2026-07-31T10:18:00Z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