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7.xml" ContentType="application/vnd.openxmlformats-officedocument.wordprocessingml.header+xml"/>
  <Override PartName="/word/styles.xml" ContentType="application/vnd.openxmlformats-officedocument.wordprocessingml.styl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10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32"/>
          <w:szCs w:val="32"/>
        </w:rPr>
      </w:pPr>
      <w:r>
        <w:rPr>
          <w:rFonts w:eastAsia="Calibri"/>
          <w:b/>
          <w:sz w:val="32"/>
          <w:szCs w:val="32"/>
        </w:rPr>
        <w:t>Технические требования на поставку ТМЦ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BlockText"/>
        <w:shd w:val="clear" w:color="auto" w:fill="FFFFFF"/>
        <w:ind w:left="0" w:right="-2" w:hanging="0"/>
        <w:rPr>
          <w:sz w:val="28"/>
          <w:szCs w:val="28"/>
        </w:rPr>
      </w:pPr>
      <w:r>
        <w:rPr>
          <w:sz w:val="26"/>
          <w:szCs w:val="26"/>
        </w:rPr>
        <w:t>ОКПД2 14.12.30.180 Поставка бронежилетов и бронешлемов, для нужд Филиала ПАО «РусГидро»- «Карачаево-Черкесский филиал»</w:t>
      </w:r>
    </w:p>
    <w:p>
      <w:pPr>
        <w:pStyle w:val="BlockText"/>
        <w:shd w:val="clear" w:color="auto" w:fill="FFFFFF"/>
        <w:ind w:left="0" w:right="-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пгт. Правокубанский 2026</w:t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Toc75446566">
            <w:r>
              <w:rPr>
                <w:rStyle w:val="Style14"/>
              </w:rPr>
              <w:t>1.</w:t>
            </w:r>
            <w:r>
              <w:rPr>
                <w:rStyle w:val="Style14"/>
                <w:rFonts w:eastAsia="PMingLiU" w:cs="Arial"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  <w:tab/>
            </w:r>
          </w:hyperlink>
          <w:r>
            <w:rPr/>
            <w:t>3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1.1.</w:t>
            <w:tab/>
            <w:t>Обозначения и сокращения</w:t>
            <w:tab/>
            <w:t>3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1.2.</w:t>
            <w:tab/>
            <w:t>Наименование закупаемого Товара</w:t>
            <w:tab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1.3.</w:t>
            <w:tab/>
            <w:t xml:space="preserve">Цель использования закупаемого Товара </w:t>
            <w:tab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1.4.</w:t>
            <w:tab/>
            <w:t xml:space="preserve">Существующее положение </w:t>
            <w:tab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1.5.</w:t>
            <w:tab/>
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    <w:tab/>
            <w:t>5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2">
            <w:r>
              <w:rPr>
                <w:rStyle w:val="Style14"/>
                <w:iCs/>
                <w:sz w:val="24"/>
                <w:szCs w:val="24"/>
              </w:rPr>
              <w:t>1.6.</w:t>
            </w:r>
            <w:r>
              <w:rPr>
                <w:rStyle w:val="Style14"/>
                <w:rFonts w:eastAsia="PMingLiU" w:cs="Arial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 xml:space="preserve">Иные требования и сведения общего характера 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73">
            <w:r>
              <w:rPr>
                <w:rStyle w:val="Style14"/>
              </w:rPr>
              <w:t>2.</w:t>
            </w:r>
            <w:r>
              <w:rPr>
                <w:rStyle w:val="Style14"/>
                <w:rFonts w:eastAsia="PMingLiU" w:cs="Arial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 xml:space="preserve">Требования к </w:t>
            </w:r>
            <w:r>
              <w:rPr>
                <w:rStyle w:val="Style14"/>
                <w:iCs/>
                <w:lang w:val="en-US"/>
              </w:rPr>
              <w:t>Товару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4">
            <w:r>
              <w:rPr>
                <w:rStyle w:val="Style14"/>
                <w:iCs/>
                <w:sz w:val="24"/>
                <w:szCs w:val="24"/>
              </w:rPr>
              <w:t>2.1.</w:t>
            </w:r>
            <w:r>
              <w:rPr>
                <w:rStyle w:val="Style14"/>
                <w:rFonts w:eastAsia="PMingLiU" w:cs="Arial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Требования к объемам и срокам поставки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5">
            <w:r>
              <w:rPr>
                <w:rStyle w:val="Style14"/>
                <w:sz w:val="24"/>
                <w:szCs w:val="24"/>
              </w:rPr>
              <w:t>2.1.1.</w:t>
            </w:r>
            <w:r>
              <w:rPr>
                <w:rStyle w:val="Style14"/>
                <w:rFonts w:eastAsia="PMingLiU" w:cs="Arial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 xml:space="preserve">Перечень и объем закупаемого </w:t>
            </w:r>
            <w:r>
              <w:rPr>
                <w:rStyle w:val="Style14"/>
                <w:sz w:val="24"/>
                <w:szCs w:val="2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6">
            <w:r>
              <w:rPr>
                <w:rStyle w:val="Style14"/>
              </w:rPr>
              <w:t xml:space="preserve">Таблица 1.1 Перечень и объем закупаемого </w:t>
            </w:r>
            <w:r>
              <w:rPr>
                <w:rStyle w:val="Style1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7">
            <w:r>
              <w:rPr>
                <w:rStyle w:val="Style14"/>
              </w:rPr>
              <w:t>Таблица 1.2 Перечень и объем закупаемых сопутствующих услуг</w:t>
              <w:tab/>
            </w:r>
          </w:hyperlink>
          <w:r>
            <w:rPr/>
            <w:t>5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2.1.2.</w:t>
            <w:tab/>
            <w:t>Требования к срокам поставки Товара и оказания сопутствующих услуг</w:t>
            <w:tab/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9">
            <w:r>
              <w:rPr>
                <w:rStyle w:val="Style14"/>
              </w:rPr>
              <w:t xml:space="preserve">Таблица 2.1 Требования по срокам поставки </w:t>
            </w:r>
            <w:r>
              <w:rPr>
                <w:rStyle w:val="Style1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Таблица 2.2 Требования по срокам оказания сопутствующих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2.2.</w:t>
            <w:tab/>
            <w:t>Требования к качеству Товара</w:t>
            <w:tab/>
            <w:t>7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2">
            <w:r>
              <w:rPr>
                <w:rStyle w:val="Style14"/>
              </w:rPr>
              <w:t>Таблица</w:t>
            </w:r>
          </w:hyperlink>
          <w:r>
            <w:rPr>
              <w:color w:val="000000"/>
            </w:rPr>
            <w:t> </w:t>
          </w:r>
          <w:hyperlink w:anchor="_Toc754465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3. Требования к Товару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83">
            <w:r>
              <w:rPr>
                <w:rStyle w:val="Style14"/>
              </w:rPr>
              <w:t>3.</w:t>
            </w:r>
            <w:r>
              <w:rPr>
                <w:rStyle w:val="Style14"/>
                <w:rFonts w:eastAsia="PMingLiU" w:cs="Arial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</w:r>
          </w:hyperlink>
          <w:r>
            <w:rPr/>
            <w:t>78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rPr/>
            <w:t>4</w:t>
          </w:r>
          <w:hyperlink w:anchor="_Toc75446585">
            <w:r>
              <w:rPr>
                <w:rStyle w:val="Style14"/>
              </w:rPr>
              <w:t>.</w:t>
            </w:r>
            <w:r>
              <w:rPr>
                <w:rStyle w:val="Style14"/>
                <w:rFonts w:eastAsia="PMingLiU" w:cs="Arial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rStyle w:val="Style14"/>
              </w:rPr>
              <w:tab/>
            </w:r>
          </w:hyperlink>
          <w:r>
            <w:rPr/>
            <w:t>79</w:t>
          </w:r>
          <w:r>
            <w:rPr/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/>
        <w:t>4.1.Приложение №1 к ТТ…………………………………………………………………………</w:t>
      </w:r>
      <w:r>
        <w:rPr>
          <w:b w:val="false"/>
          <w:i/>
        </w:rPr>
        <w:t>...</w:t>
      </w:r>
      <w:r>
        <w:rPr/>
        <w:t>80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75446566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5"/>
      <w:bookmarkStart w:id="3" w:name="_Toc75446567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0" w:val="0000" w:noHBand="0" w:lastColumn="0" w:firstColumn="0" w:lastRow="0" w:firstRow="0"/>
      </w:tblPr>
      <w:tblGrid>
        <w:gridCol w:w="1523"/>
        <w:gridCol w:w="8397"/>
      </w:tblGrid>
      <w:tr>
        <w:trPr/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ТТ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Технические требования</w:t>
            </w:r>
            <w:r>
              <w:rPr>
                <w:rStyle w:val="Style8"/>
                <w:bCs/>
                <w:i w:val="false"/>
                <w:sz w:val="24"/>
                <w:szCs w:val="24"/>
                <w:shd w:fill="FFFFFF" w:val="clear"/>
              </w:rPr>
              <w:t xml:space="preserve"> </w:t>
            </w:r>
          </w:p>
        </w:tc>
      </w:tr>
      <w:tr>
        <w:trPr/>
        <w:tc>
          <w:tcPr>
            <w:tcW w:w="15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</w:t>
            </w:r>
          </w:p>
        </w:tc>
        <w:tc>
          <w:tcPr>
            <w:tcW w:w="8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стандарт организации</w:t>
            </w:r>
            <w:r>
              <w:rPr>
                <w:rStyle w:val="Style8"/>
                <w:b w:val="false"/>
                <w:bCs/>
                <w:i w:val="false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15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ГЭС</w:t>
            </w:r>
          </w:p>
        </w:tc>
        <w:tc>
          <w:tcPr>
            <w:tcW w:w="8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Гидроэлектростанция</w:t>
            </w:r>
          </w:p>
        </w:tc>
      </w:tr>
      <w:tr>
        <w:trPr/>
        <w:tc>
          <w:tcPr>
            <w:tcW w:w="15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ГАЭС</w:t>
            </w:r>
          </w:p>
        </w:tc>
        <w:tc>
          <w:tcPr>
            <w:tcW w:w="8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Гидро-акк</w:t>
            </w: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  <w:lang w:val="en-US"/>
              </w:rPr>
              <w:t>у</w:t>
            </w: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мулирующая электростанция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4" w:name="_Toc75446568"/>
      <w:bookmarkStart w:id="5" w:name="_Toc46743506"/>
      <w:r>
        <w:rPr/>
        <w:t xml:space="preserve">Наименование закупаемого </w:t>
      </w:r>
      <w:bookmarkEnd w:id="4"/>
      <w:bookmarkEnd w:id="5"/>
      <w:r>
        <w:rPr>
          <w:lang w:val="ru-RU"/>
        </w:rPr>
        <w:t>Товара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ОКПД2 14.12.30.180 Поставка бронежилетов и бронешлемов для нужд Филиала ПАО «РусГидро»- «Карачаево-Черкесский филиал» 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Toc75446569"/>
      <w:bookmarkStart w:id="7" w:name="_Toc46743507"/>
      <w:r>
        <w:rPr/>
        <w:t xml:space="preserve">Цель </w:t>
      </w:r>
      <w:bookmarkEnd w:id="7"/>
      <w:r>
        <w:rPr>
          <w:lang w:val="ru-RU"/>
        </w:rPr>
        <w:t xml:space="preserve">использования закупаемого </w:t>
      </w:r>
      <w:bookmarkEnd w:id="6"/>
      <w:r>
        <w:rPr>
          <w:lang w:val="ru-RU"/>
        </w:rPr>
        <w:t>Товара</w:t>
      </w:r>
    </w:p>
    <w:p>
      <w:pPr>
        <w:pStyle w:val="Normal"/>
        <w:ind w:firstLine="567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Закупка осуществляется с целю обеспечения защиты персонала от поражающих факторов БПЛА в процессе тушения пожара.</w:t>
      </w:r>
    </w:p>
    <w:p>
      <w:pPr>
        <w:pStyle w:val="Heading4"/>
        <w:numPr>
          <w:ilvl w:val="1"/>
          <w:numId w:val="3"/>
        </w:numPr>
        <w:rPr/>
      </w:pPr>
      <w:bookmarkStart w:id="8" w:name="_Toc75446570"/>
      <w:bookmarkStart w:id="9" w:name="_Toc46743508"/>
      <w:r>
        <w:rPr/>
        <w:t>Существующее положение</w:t>
      </w:r>
      <w:bookmarkEnd w:id="9"/>
      <w:r>
        <w:rPr>
          <w:lang w:val="ru-RU"/>
        </w:rPr>
        <w:t xml:space="preserve"> </w:t>
      </w:r>
      <w:bookmarkEnd w:id="8"/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1.4.1. Зеленчукская ГЭС - ГАЭС – деривационная гидроэлектростанция, расположена около поселка Правокубанский и аула Сары-Тюз Карачаевского района Карачаево-Черкесской Республики, в 42 км южнее г. Черкесска.</w:t>
      </w:r>
    </w:p>
    <w:p>
      <w:pPr>
        <w:pStyle w:val="BodyTextIndent"/>
        <w:ind w:left="0" w:firstLine="567"/>
        <w:jc w:val="both"/>
        <w:rPr/>
      </w:pPr>
      <w:r>
        <w:rPr>
          <w:rStyle w:val="Style8"/>
          <w:b w:val="false"/>
          <w:i w:val="false"/>
          <w:shd w:fill="auto" w:val="clear"/>
        </w:rPr>
        <w:t xml:space="preserve">1.4.2. </w:t>
      </w:r>
      <w:r>
        <w:rPr>
          <w:rStyle w:val="Style8"/>
          <w:b w:val="false"/>
          <w:bCs/>
          <w:i w:val="false"/>
          <w:shd w:fill="auto" w:val="clear"/>
        </w:rPr>
        <w:t>Техническая схема Зеленчукской ГЭС- ГАЭС построена на объединении части стока рек Большой и Малый Зеленчуки и переброске объединенного стока в р. Кубань. Забор воды осуществляется из водохранилищ трех однотипных водозаборных гидроузлов, расположенных последовательно на реках Большой Зеленчук, Маруха и Аксаут. По деривационным сооружениям вода из водозаборных гидроузлов поступает в бассейн суточного регулирования (БСР) и из бассейна по напорным трубопроводам и туннелям подается на гидроагрегаты в здание ГЭС-ГАЭС, расположенное вблизи русла р. Кубань. Общая площадь гидротехнического комплекса Зеленчукской ГЭС-ГАЭС по проекту составляет 957 га (согласно актам отвода земельных участков). Комплекс предназначен для энергетических целей.</w:t>
      </w:r>
    </w:p>
    <w:p>
      <w:pPr>
        <w:pStyle w:val="BodyTextIndent"/>
        <w:ind w:left="0" w:firstLine="567"/>
        <w:jc w:val="both"/>
        <w:rPr/>
      </w:pPr>
      <w:r>
        <w:rPr>
          <w:rStyle w:val="Style8"/>
          <w:b w:val="false"/>
          <w:bCs/>
          <w:i w:val="false"/>
          <w:shd w:fill="auto" w:val="clear"/>
        </w:rPr>
        <w:t xml:space="preserve">1.4.3. Площадки существующих сооружений Зеленчукской ГЭС-ГАЭС расположены на высотах 740-1012 м между метеостанциями г. Карачаевск (высота 861 м) и г. Черкесск (высота 525 м).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Сейсмичность площадки демонтажа здания – 8 баллов (карта общего сейсмического районирования ОСР-2015).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Климатические условия в месте расположения Зеленчукской ГЭС-ГАЭС: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а) Температура воздуха в районе строительства: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максимальная, º С                           </w:t>
        <w:tab/>
        <w:tab/>
        <w:tab/>
        <w:tab/>
        <w:t>+38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минимальная, º С                                            </w:t>
        <w:tab/>
        <w:t xml:space="preserve">            </w:t>
        <w:tab/>
        <w:t>- 31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среднегодовая º С                                                                         +8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Относительная влажность, %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среднемесячная максимальная,               </w:t>
        <w:tab/>
        <w:tab/>
        <w:tab/>
        <w:t xml:space="preserve"> </w:t>
        <w:tab/>
        <w:t xml:space="preserve"> 73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среднемесячная минимальная,                </w:t>
        <w:tab/>
        <w:tab/>
        <w:t xml:space="preserve">          </w:t>
        <w:tab/>
        <w:t xml:space="preserve"> </w:t>
        <w:tab/>
        <w:t xml:space="preserve"> 66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Среднегодовая скорость ветра, м/с                                </w:t>
        <w:tab/>
        <w:tab/>
        <w:t xml:space="preserve"> 3,1</w:t>
      </w:r>
    </w:p>
    <w:p>
      <w:pPr>
        <w:pStyle w:val="Style37"/>
        <w:tabs>
          <w:tab w:val="clear" w:pos="708"/>
          <w:tab w:val="left" w:pos="6270" w:leader="none"/>
        </w:tabs>
        <w:spacing w:before="0" w:after="0"/>
        <w:ind w:firstLine="567"/>
        <w:jc w:val="both"/>
        <w:rPr/>
      </w:pPr>
      <w:r>
        <w:rPr/>
        <w:t>Согласно СП 131.13330.2020 «Строительная климатология» (с Изменением №1)</w:t>
      </w:r>
      <w:r>
        <w:rPr>
          <w:rStyle w:val="Hyperlink"/>
          <w:color w:val="BF2F1C"/>
        </w:rPr>
        <w:t xml:space="preserve"> </w:t>
      </w:r>
      <w:r>
        <w:rPr/>
        <w:t>актуализированная редакция СНиП 23-01-99* , район реконструкции сооружений Зеленчукской ГЭС-ГАЭС  характеризуется следующими климатическими характеристиками:</w:t>
      </w:r>
    </w:p>
    <w:p>
      <w:pPr>
        <w:pStyle w:val="Style37"/>
        <w:tabs>
          <w:tab w:val="clear" w:pos="708"/>
          <w:tab w:val="left" w:pos="6270" w:leader="none"/>
        </w:tabs>
        <w:spacing w:before="0" w:after="0"/>
        <w:ind w:hanging="0"/>
        <w:rPr/>
      </w:pPr>
      <w:r>
        <w:rPr/>
        <w:t xml:space="preserve">- климатический район строительства – </w:t>
      </w:r>
      <w:r>
        <w:rPr>
          <w:lang w:val="en-US"/>
        </w:rPr>
        <w:t>III</w:t>
      </w:r>
      <w:r>
        <w:rPr/>
        <w:t xml:space="preserve"> - климатический подрайон строительства – </w:t>
      </w:r>
      <w:r>
        <w:rPr>
          <w:lang w:val="en-US"/>
        </w:rPr>
        <w:t>III</w:t>
      </w:r>
      <w:r>
        <w:rPr/>
        <w:t xml:space="preserve"> Б;</w:t>
      </w:r>
    </w:p>
    <w:p>
      <w:pPr>
        <w:pStyle w:val="Style37"/>
        <w:tabs>
          <w:tab w:val="clear" w:pos="708"/>
          <w:tab w:val="left" w:pos="6270" w:leader="none"/>
        </w:tabs>
        <w:spacing w:before="0" w:after="0"/>
        <w:ind w:hanging="0"/>
        <w:rPr/>
      </w:pPr>
      <w:r>
        <w:rPr/>
        <w:t xml:space="preserve">- температура воздуха наиболее холодной пятидневки при обеспеченности 0,92 </w:t>
      </w:r>
      <w:r>
        <w:rPr>
          <w:lang w:val="en-US"/>
        </w:rPr>
        <w:t>t</w:t>
      </w:r>
      <w:r>
        <w:rPr/>
        <w:t xml:space="preserve"> </w:t>
      </w:r>
      <w:r>
        <w:rPr>
          <w:vertAlign w:val="subscript"/>
        </w:rPr>
        <w:t>н</w:t>
      </w:r>
      <w:r>
        <w:rPr/>
        <w:t>= минус 18</w:t>
      </w:r>
      <w:r>
        <w:rPr>
          <w:vertAlign w:val="superscript"/>
        </w:rPr>
        <w:t>0</w:t>
      </w:r>
      <w:r>
        <w:rPr/>
        <w:t>С;</w:t>
      </w:r>
    </w:p>
    <w:p>
      <w:pPr>
        <w:pStyle w:val="Style37"/>
        <w:tabs>
          <w:tab w:val="clear" w:pos="708"/>
          <w:tab w:val="left" w:pos="6270" w:leader="none"/>
        </w:tabs>
        <w:spacing w:before="0" w:after="0"/>
        <w:ind w:hanging="0"/>
        <w:rPr/>
      </w:pPr>
      <w:r>
        <w:rPr/>
        <w:t>- средняя температура периода со среднесуточной температурой наружного воздуха не более минус 8</w:t>
      </w:r>
      <w:r>
        <w:rPr>
          <w:vertAlign w:val="superscript"/>
        </w:rPr>
        <w:t>0</w:t>
      </w:r>
      <w:r>
        <w:rPr/>
        <w:t xml:space="preserve">С – </w:t>
      </w:r>
      <w:r>
        <w:rPr>
          <w:lang w:val="en-US"/>
        </w:rPr>
        <w:t>t</w:t>
      </w:r>
      <w:r>
        <w:rPr>
          <w:vertAlign w:val="subscript"/>
        </w:rPr>
        <w:t xml:space="preserve">ср </w:t>
      </w:r>
      <w:r>
        <w:rPr/>
        <w:t>= минус 0,6</w:t>
      </w:r>
      <w:r>
        <w:rPr>
          <w:vertAlign w:val="superscript"/>
        </w:rPr>
        <w:t>0</w:t>
      </w:r>
      <w:r>
        <w:rPr/>
        <w:t>С;</w:t>
      </w:r>
    </w:p>
    <w:p>
      <w:pPr>
        <w:pStyle w:val="BodyTextIndent"/>
        <w:ind w:left="0" w:hanging="0"/>
        <w:jc w:val="both"/>
        <w:rPr/>
      </w:pPr>
      <w:r>
        <w:rPr>
          <w:rStyle w:val="Style8"/>
          <w:b w:val="false"/>
          <w:bCs/>
          <w:i w:val="false"/>
          <w:shd w:fill="auto" w:val="clear"/>
        </w:rPr>
        <w:t xml:space="preserve">- по расчетному значению веса снегового покрова для </w:t>
      </w:r>
      <w:r>
        <w:rPr>
          <w:rStyle w:val="Style8"/>
          <w:b w:val="false"/>
          <w:bCs/>
          <w:i w:val="false"/>
          <w:shd w:fill="auto" w:val="clear"/>
          <w:lang w:val="en-US"/>
        </w:rPr>
        <w:t>II</w:t>
      </w:r>
      <w:r>
        <w:rPr>
          <w:rStyle w:val="Style8"/>
          <w:b w:val="false"/>
          <w:bCs/>
          <w:i w:val="false"/>
          <w:shd w:fill="auto" w:val="clear"/>
        </w:rPr>
        <w:t xml:space="preserve"> района по СП 20.13330.2016 (с изменением №4), актуализированная редакция СНиП 2.01.07-85* «Нагрузки и воздействия»- кПа=120кгс/м</w:t>
      </w:r>
      <w:r>
        <w:rPr>
          <w:rStyle w:val="Style8"/>
          <w:b w:val="false"/>
          <w:bCs/>
          <w:i w:val="false"/>
          <w:shd w:fill="auto" w:val="clear"/>
          <w:vertAlign w:val="superscript"/>
        </w:rPr>
        <w:t>2.</w:t>
      </w:r>
    </w:p>
    <w:p>
      <w:pPr>
        <w:pStyle w:val="Heading4"/>
        <w:numPr>
          <w:ilvl w:val="1"/>
          <w:numId w:val="3"/>
        </w:numPr>
        <w:rPr/>
      </w:pPr>
      <w:bookmarkStart w:id="10" w:name="_Toc75446571"/>
      <w:bookmarkStart w:id="11" w:name="_Toc46743509"/>
      <w:bookmarkStart w:id="12" w:name="_Hlk49857604"/>
      <w:r>
        <w:rPr/>
        <w:t xml:space="preserve">Информация в отношении исполнения договора, </w:t>
      </w:r>
      <w:bookmarkStart w:id="13" w:name="_Hlk46492347"/>
      <w:r>
        <w:rPr/>
        <w:t xml:space="preserve">которая должна быть учтена при подготовке заявки </w:t>
      </w:r>
      <w:bookmarkEnd w:id="13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1"/>
      <w:bookmarkEnd w:id="12"/>
      <w:r>
        <w:rPr>
          <w:lang w:val="ru-RU"/>
        </w:rPr>
        <w:t xml:space="preserve"> </w:t>
      </w:r>
      <w:bookmarkEnd w:id="1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firstLine="567"/>
        <w:jc w:val="both"/>
        <w:rPr/>
      </w:pPr>
      <w:r>
        <w:rPr>
          <w:rStyle w:val="Style8"/>
          <w:b w:val="false"/>
          <w:i w:val="false"/>
          <w:sz w:val="24"/>
          <w:szCs w:val="24"/>
          <w:shd w:fill="FFFFFF" w:val="clear"/>
        </w:rPr>
        <w:t>1.5.1. При необходимости, Поставщику предоставляется возможность работы с технической документацией (по заявке) в архиве Зеленчукской ГЭС-ГАЭС (если запрашиваемая</w:t>
      </w:r>
      <w:r>
        <w:rPr>
          <w:rStyle w:val="Style8"/>
          <w:b w:val="false"/>
          <w:iCs/>
          <w:sz w:val="24"/>
          <w:szCs w:val="24"/>
          <w:shd w:fill="FFFFFF" w:val="clear"/>
        </w:rPr>
        <w:t xml:space="preserve"> </w:t>
      </w:r>
      <w:r>
        <w:rPr>
          <w:rStyle w:val="Style8"/>
          <w:b w:val="false"/>
          <w:i w:val="false"/>
          <w:sz w:val="24"/>
          <w:szCs w:val="24"/>
          <w:shd w:fill="FFFFFF" w:val="clear"/>
        </w:rPr>
        <w:t>документация не является ДСП).</w:t>
      </w:r>
    </w:p>
    <w:p>
      <w:pPr>
        <w:pStyle w:val="Heading4"/>
        <w:numPr>
          <w:ilvl w:val="1"/>
          <w:numId w:val="3"/>
        </w:numPr>
        <w:rPr/>
      </w:pPr>
      <w:bookmarkStart w:id="14" w:name="_Toc75446572"/>
      <w:bookmarkStart w:id="15" w:name="_Toc50125126"/>
      <w:bookmarkStart w:id="16" w:name="_Hlk48209761_Копия_1"/>
      <w:bookmarkStart w:id="17" w:name="_Toc46743510"/>
      <w:bookmarkEnd w:id="15"/>
      <w:bookmarkEnd w:id="16"/>
      <w:bookmarkEnd w:id="17"/>
      <w:r>
        <w:rPr/>
        <w:t>Иные требования и сведения общего характера</w:t>
      </w:r>
      <w:r>
        <w:rPr>
          <w:lang w:val="ru-RU"/>
        </w:rPr>
        <w:t xml:space="preserve"> </w:t>
      </w:r>
      <w:bookmarkEnd w:id="1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firstLine="567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 xml:space="preserve">1.6.1. 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Выполняются следующие услуги: поставка Товара и разгрузка в указанном Заказчиком месте (на территории Филиала).</w:t>
      </w: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 xml:space="preserve">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8" w:name="_Toc75446573"/>
      <w:bookmarkStart w:id="19" w:name="_Toc51339693"/>
      <w:r>
        <w:rPr>
          <w:iCs/>
        </w:rPr>
        <w:t xml:space="preserve">Требования к </w:t>
      </w:r>
      <w:bookmarkEnd w:id="18"/>
      <w:bookmarkEnd w:id="19"/>
      <w:r>
        <w:rPr>
          <w:iCs/>
          <w:lang w:val="en-US"/>
        </w:rPr>
        <w:t>Товару</w:t>
      </w:r>
    </w:p>
    <w:p>
      <w:pPr>
        <w:pStyle w:val="Heading4"/>
        <w:numPr>
          <w:ilvl w:val="1"/>
          <w:numId w:val="3"/>
        </w:numPr>
        <w:rPr/>
      </w:pPr>
      <w:bookmarkStart w:id="20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0"/>
    </w:p>
    <w:p>
      <w:pPr>
        <w:pStyle w:val="Heading3"/>
        <w:numPr>
          <w:ilvl w:val="2"/>
          <w:numId w:val="3"/>
        </w:numPr>
        <w:rPr/>
      </w:pPr>
      <w:bookmarkStart w:id="21" w:name="_Toc75446575"/>
      <w:r>
        <w:rPr>
          <w:lang w:val="ru-RU"/>
        </w:rPr>
        <w:t xml:space="preserve">Перечень и объем закупаемого </w:t>
      </w:r>
      <w:bookmarkEnd w:id="21"/>
      <w:r>
        <w:rPr>
          <w:lang w:val="en-US"/>
        </w:rPr>
        <w:t>Товара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sz w:val="24"/>
          <w:szCs w:val="24"/>
        </w:rPr>
      </w:pPr>
      <w:bookmarkStart w:id="22" w:name="_Toc75446576"/>
      <w:bookmarkStart w:id="23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3"/>
      <w:r>
        <w:rPr>
          <w:sz w:val="24"/>
          <w:szCs w:val="24"/>
          <w:lang w:val="ru-RU"/>
        </w:rPr>
        <w:t xml:space="preserve">и объем закупаемого </w:t>
      </w:r>
      <w:bookmarkEnd w:id="22"/>
      <w:r>
        <w:rPr>
          <w:sz w:val="24"/>
          <w:szCs w:val="24"/>
          <w:lang w:val="ru-RU"/>
        </w:rPr>
        <w:t>Товара</w:t>
      </w:r>
    </w:p>
    <w:tbl>
      <w:tblPr>
        <w:tblW w:w="98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37"/>
        <w:gridCol w:w="6140"/>
        <w:gridCol w:w="1425"/>
        <w:gridCol w:w="1409"/>
      </w:tblGrid>
      <w:tr>
        <w:trPr/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Бронежилет класс защиты не ниже БР-1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Бронешлем класс защиты не ниже БР-1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bCs/>
          <w:i/>
          <w:i/>
          <w:sz w:val="24"/>
          <w:szCs w:val="24"/>
          <w:shd w:fill="FFFF99" w:val="clear"/>
        </w:rPr>
      </w:pPr>
      <w:bookmarkStart w:id="24" w:name="_Toc7544657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1.2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закупаемых сопутствующих услуг</w:t>
      </w:r>
      <w:bookmarkEnd w:id="24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8"/>
        <w:gridCol w:w="4849"/>
        <w:gridCol w:w="1996"/>
        <w:gridCol w:w="2116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Style w:val="Style8"/>
                <w:rFonts w:eastAsia="Calibri"/>
                <w:b w:val="false"/>
                <w:bCs/>
                <w:i w:val="false"/>
                <w:sz w:val="24"/>
                <w:szCs w:val="24"/>
                <w:shd w:fill="auto" w:val="clear"/>
                <w:lang w:eastAsia="x-none"/>
              </w:rPr>
              <w:t xml:space="preserve">ОКПД2 14.12.30.180 Поставка бронежилетов и бронешлемов для нужд Филиала ПАО «РусГидро»- «Карачаево-Черкесский филиал»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Усл.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5" w:name="_Toc75446578"/>
      <w:bookmarkStart w:id="26" w:name="_Toc51339696"/>
      <w:r>
        <w:rPr>
          <w:lang w:val="ru-RU"/>
        </w:rPr>
        <w:t xml:space="preserve">Требования </w:t>
      </w:r>
      <w:bookmarkEnd w:id="26"/>
      <w:r>
        <w:rPr>
          <w:lang w:val="ru-RU"/>
        </w:rPr>
        <w:t>к срокам поставки Товара и оказанию сопутствующих услуг</w:t>
      </w:r>
      <w:bookmarkEnd w:id="2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sz w:val="24"/>
          <w:szCs w:val="24"/>
          <w:lang w:val="ru-RU"/>
        </w:rPr>
      </w:pPr>
      <w:bookmarkStart w:id="27" w:name="_Toc75446579"/>
      <w:bookmarkStart w:id="28" w:name="_Toc51339697"/>
      <w:bookmarkStart w:id="29" w:name="_Toc50125127"/>
      <w:bookmarkStart w:id="30" w:name="_Toc50125126_Копия_1"/>
      <w:bookmarkEnd w:id="3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1" w:name="_Hlk50465284"/>
      <w:r>
        <w:rPr>
          <w:sz w:val="24"/>
          <w:szCs w:val="24"/>
        </w:rPr>
        <w:t xml:space="preserve">Требования по срокам </w:t>
      </w:r>
      <w:bookmarkEnd w:id="28"/>
      <w:bookmarkEnd w:id="29"/>
      <w:bookmarkEnd w:id="31"/>
      <w:r>
        <w:rPr>
          <w:sz w:val="24"/>
          <w:szCs w:val="24"/>
          <w:lang w:val="ru-RU"/>
        </w:rPr>
        <w:t xml:space="preserve">поставки </w:t>
      </w:r>
      <w:bookmarkEnd w:id="27"/>
      <w:r>
        <w:rPr>
          <w:sz w:val="24"/>
          <w:szCs w:val="24"/>
          <w:lang w:val="ru-RU"/>
        </w:rPr>
        <w:t>Товара</w:t>
      </w:r>
    </w:p>
    <w:tbl>
      <w:tblPr>
        <w:tblW w:w="100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6"/>
        <w:gridCol w:w="4111"/>
        <w:gridCol w:w="2557"/>
        <w:gridCol w:w="2524"/>
      </w:tblGrid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t>Товара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Товара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Товара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Style w:val="Style8"/>
                <w:rFonts w:eastAsia="Calibri"/>
                <w:b w:val="false"/>
                <w:bCs/>
                <w:i w:val="false"/>
                <w:color w:val="000000"/>
                <w:sz w:val="24"/>
                <w:szCs w:val="24"/>
                <w:shd w:fill="auto" w:val="clear"/>
                <w:lang w:val="en-US" w:eastAsia="x-none"/>
              </w:rPr>
              <w:t xml:space="preserve">ОКПД2 14.12.30.180 Поставка бронежилетов и бронешлемов для нужд Филиала ПАО «РусГидро»- «Карачаево-Черкесский филиал»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 даты заключения договора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  <w:r>
              <w:rPr>
                <w:sz w:val="24"/>
                <w:szCs w:val="24"/>
              </w:rPr>
              <w:t>.10.2026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  <w:pStyle w:val="Heading1"/>
        <w:tabs>
          <w:tab w:val="clear" w:pos="0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</w:r>
      <w:bookmarkStart w:id="32" w:name="_Toc46743510_Копия_1"/>
      <w:bookmarkStart w:id="33" w:name="_Toc46743510_Копия_1"/>
      <w:bookmarkEnd w:id="33"/>
    </w:p>
    <w:p>
      <w:pPr>
        <w:pStyle w:val="Heading4"/>
        <w:numPr>
          <w:ilvl w:val="1"/>
          <w:numId w:val="3"/>
        </w:numPr>
        <w:rPr/>
      </w:pPr>
      <w:bookmarkStart w:id="34" w:name="_Toc51339698"/>
      <w:bookmarkStart w:id="35" w:name="_Toc75446581"/>
      <w:bookmarkStart w:id="36" w:name="_Toc46743511"/>
      <w:r>
        <w:rPr/>
        <w:t xml:space="preserve">Требования к </w:t>
      </w:r>
      <w:bookmarkEnd w:id="36"/>
      <w:r>
        <w:rPr>
          <w:lang w:val="ru-RU"/>
        </w:rPr>
        <w:t xml:space="preserve">качеству </w:t>
      </w:r>
      <w:bookmarkEnd w:id="35"/>
      <w:r>
        <w:rPr>
          <w:lang w:val="en-US"/>
        </w:rPr>
        <w:t>Товара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  <w:bookmarkStart w:id="37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bookmarkEnd w:id="34"/>
      <w:bookmarkEnd w:id="37"/>
      <w:r>
        <w:rPr>
          <w:sz w:val="24"/>
          <w:szCs w:val="24"/>
          <w:lang w:val="en-US"/>
        </w:rPr>
        <w:t>Товару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 (позиция №1 Таблицы 1.1): Ж</w:t>
      </w:r>
      <w:r>
        <w:rPr>
          <w:b/>
          <w:bCs/>
          <w:i/>
          <w:color w:val="111111"/>
          <w:sz w:val="26"/>
          <w:szCs w:val="22"/>
        </w:rPr>
        <w:t xml:space="preserve">елезобетонные защитные сооружения в количестве 3 шт.. </w:t>
      </w:r>
    </w:p>
    <w:tbl>
      <w:tblPr>
        <w:tblW w:w="1531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51"/>
        <w:gridCol w:w="1982"/>
        <w:gridCol w:w="5244"/>
        <w:gridCol w:w="2273"/>
        <w:gridCol w:w="2550"/>
        <w:gridCol w:w="2408"/>
        <w:gridCol w:w="7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Объем и состав </w:t>
            </w:r>
            <w:r>
              <w:rPr>
                <w:rFonts w:eastAsia="Calibri"/>
                <w:sz w:val="24"/>
                <w:szCs w:val="24"/>
                <w:lang w:eastAsia="en-US"/>
              </w:rPr>
              <w:t>поставки Товара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Бронежилет класс защиты не ниже БР-1 — 8 шт.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Объем и состав </w:t>
            </w:r>
            <w:r>
              <w:rPr>
                <w:rFonts w:eastAsia="Calibri"/>
                <w:sz w:val="24"/>
                <w:szCs w:val="24"/>
                <w:lang w:eastAsia="en-US"/>
              </w:rPr>
              <w:t>поставки Товара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Бронешлем класс защиты не ниже БР-1 — 8 шт.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Область применения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Служит для защиты персонала от поражающих факторов БПЛА в процессе тушения пожара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услуги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 w:val="false"/>
              <w:tabs>
                <w:tab w:val="clear" w:pos="708"/>
                <w:tab w:val="left" w:pos="302" w:leader="none"/>
              </w:tabs>
              <w:rPr/>
            </w:pPr>
            <w:r>
              <w:rPr/>
              <w:t>Защита персонала от поражающих факторов БПЛА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Требования к продукции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Бронежилет.</w:t>
            </w:r>
          </w:p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Общие сведения: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 xml:space="preserve">Производитель: Россия. 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 xml:space="preserve">- Тип ношения: наружный. 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Класс защиты: Бр1 (по ГОСТ 34286-2017).</w:t>
            </w:r>
          </w:p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Размеры и площадь защиты: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- 1-й размер (48–62): в стандартной версии площадь защиты — 15 дм².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Масса — не более 4,2 кг.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Цвета: чёрный, оливковый, синий.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Требования к продукции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Бронешлем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 xml:space="preserve">Производитель: Россия. 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 xml:space="preserve">- Тип ношения: наружный. 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Класс защиты: Бр1 (по ГОСТ 34286-2017).</w:t>
            </w:r>
          </w:p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Размеры и площадь защиты: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площадь защиты — не менее 12,5 дм².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Масса — не более 1,6 кг.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Цвета: чёрный, оливковый, синий.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Температурный режим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Температурный режим эксплуатации от минус 15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°</w:t>
            </w: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до плюс 50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Влажность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Повышенная относительная влажность: 80%</w:t>
            </w:r>
            <w:bookmarkStart w:id="38" w:name="_GoBack_Копия_1"/>
            <w:bookmarkEnd w:id="38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Доставка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Доставка</w:t>
            </w:r>
            <w:r>
              <w:rPr/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пенообразователя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до Заказчика (до территории Филиала).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Разгрузка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200"/>
              <w:ind w:left="72" w:hanging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Разгрузка осуществляется Филиалом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Гарантийные обязательства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Срок</w:t>
            </w:r>
            <w:r>
              <w:rPr>
                <w:lang w:eastAsia="en-US"/>
              </w:rPr>
              <w:t xml:space="preserve"> службы</w:t>
            </w:r>
            <w:r>
              <w:rPr>
                <w:lang w:val="uk-UA" w:eastAsia="en-US"/>
              </w:rPr>
              <w:t xml:space="preserve"> не менее 7 лет с даты ввода в эксплуатацию. Гарантийный срок эксплуатации не менее 12 месяцев с даты ввода в эксплуатацию.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вместе с изделиями и СИЗ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Все поставляемые ТМЦ должны иметь в комплекте поставки паспорта, сертификаты и инструкции производителя. 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одновременно с передачей защитных сооружений передать Покупателю относящиеся к ним документы, оформленные надлежащим образом: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сертификаты качества;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технические паспорта;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руководства по эксплуатации;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упаковочные листы, упаковочные ярлыки;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товарно-транспортную накладную формы №1-Т;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 товарную накладную унифицированной формы ТОРГ-12 в 2 экз..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Требования к исполнителю работ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/>
              <w:t>Не требуется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прочим сопутствующим услугам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180" w:leader="none"/>
                <w:tab w:val="left" w:pos="1134" w:leader="none"/>
              </w:tabs>
              <w:ind w:left="0" w:hanging="0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uk-UA" w:eastAsia="en-US"/>
              </w:rPr>
              <w:t>Общие требования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1. </w:t>
            </w:r>
            <w:r>
              <w:rPr>
                <w:lang w:eastAsia="en-US"/>
              </w:rPr>
              <w:t>К</w:t>
            </w:r>
            <w:r>
              <w:rPr>
                <w:lang w:val="uk-UA" w:eastAsia="en-US"/>
              </w:rPr>
              <w:t>ачеств</w:t>
            </w:r>
            <w:r>
              <w:rPr>
                <w:lang w:eastAsia="en-US"/>
              </w:rPr>
              <w:t>о, количество и сроки поставки</w:t>
            </w:r>
            <w:r>
              <w:rPr>
                <w:lang w:val="uk-UA" w:eastAsia="en-US"/>
              </w:rPr>
              <w:t xml:space="preserve"> </w:t>
            </w:r>
            <w:r>
              <w:rPr>
                <w:lang w:eastAsia="en-US"/>
              </w:rPr>
              <w:t>поставляемой Продукции должно быть</w:t>
            </w:r>
            <w:r>
              <w:rPr>
                <w:lang w:val="uk-UA" w:eastAsia="en-US"/>
              </w:rPr>
              <w:t xml:space="preserve"> в полном</w:t>
            </w:r>
            <w:r>
              <w:rPr>
                <w:lang w:eastAsia="en-US"/>
              </w:rPr>
              <w:t xml:space="preserve"> соответствии с условиями договора</w:t>
            </w:r>
            <w:r>
              <w:rPr>
                <w:lang w:val="uk-UA" w:eastAsia="en-US"/>
              </w:rPr>
              <w:t>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2. Основные условия </w:t>
            </w:r>
            <w:r>
              <w:rPr>
                <w:lang w:eastAsia="en-US"/>
              </w:rPr>
              <w:t>поставки</w:t>
            </w:r>
            <w:r>
              <w:rPr>
                <w:lang w:val="uk-UA" w:eastAsia="en-US"/>
              </w:rPr>
              <w:t xml:space="preserve"> указаны в договоре Заказчика.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3. Допускается привлечение Подрядчиком третьих лиц для исполнения обязательств по договору.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4. Продукция должна быть изготовлена на территории РФ из материалов, изготовленных в РФ (подтверждаются сертификатами).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  <w:t>При осуществлении закупки применяется национальный режим в соответствии с постановлением Правительства РФ от 23.12.2024 № 1875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  <w:t>К поставке допускается только продукция, включённая в реестр российской промышленной продукции либо в евразийский реестр промышленных товаров. Участник закупки обязан представить в составе заявки номер реестровой записи. Поставка товаров, не включённых в указанные реестры, не допускается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  <w:t>Участник закупки обязан представить в составе заявки номер реестровой записи.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eastAsia="Calibri"/>
                <w:bCs/>
                <w:iCs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uk-UA" w:eastAsia="en-US"/>
              </w:rPr>
              <w:t>Сведения о новизне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Поставляемые изделия должны быть новыми, выпуска не ранее 1 квартала 2026 г., (не бывшим в употреблении, не восстановленным, если это не оговорено требованиями технического задания), не являться выставочными образцами, свободным от прав третьих лиц.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9" w:name="_Toc75446583"/>
      <w:bookmarkStart w:id="40" w:name="_Toc53393312"/>
      <w:r>
        <w:rPr>
          <w:lang w:val="ru-RU"/>
        </w:rPr>
        <w:t>Требования к документации по ценообразованию</w:t>
      </w:r>
      <w:bookmarkEnd w:id="40"/>
      <w:r>
        <w:rPr>
          <w:lang w:val="ru-RU"/>
        </w:rPr>
        <w:t xml:space="preserve"> на этапе закупки</w:t>
      </w:r>
      <w:bookmarkEnd w:id="39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numPr>
          <w:ilvl w:val="1"/>
          <w:numId w:val="10"/>
        </w:numPr>
        <w:suppressAutoHyphens w:val="false"/>
        <w:spacing w:before="0" w:after="120"/>
        <w:ind w:left="709" w:hanging="425"/>
        <w:jc w:val="both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1" w:name="_Hlk88325985"/>
      <w:r>
        <w:rPr>
          <w:bCs/>
          <w:i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41"/>
      <w:r>
        <w:rPr>
          <w:bCs/>
          <w:i/>
          <w:iCs/>
          <w:sz w:val="24"/>
          <w:szCs w:val="24"/>
          <w:lang w:eastAsia="x-none"/>
        </w:rPr>
        <w:t xml:space="preserve">, </w:t>
      </w:r>
    </w:p>
    <w:p>
      <w:pPr>
        <w:pStyle w:val="Normal"/>
        <w:ind w:left="709" w:hanging="425"/>
        <w:rPr/>
      </w:pPr>
      <w:bookmarkStart w:id="42" w:name="_Hlk88327292"/>
      <w:r>
        <w:rPr>
          <w:bCs/>
          <w:i/>
          <w:iCs/>
          <w:sz w:val="24"/>
          <w:szCs w:val="24"/>
          <w:lang w:eastAsia="x-none"/>
        </w:rPr>
        <w:t>3.2. Дополнительные документы по ценообразованию</w:t>
      </w:r>
      <w:bookmarkEnd w:id="42"/>
      <w:r>
        <w:rPr>
          <w:bCs/>
          <w:i/>
          <w:iCs/>
          <w:sz w:val="24"/>
          <w:szCs w:val="24"/>
          <w:lang w:eastAsia="x-none"/>
        </w:rPr>
        <w:t xml:space="preserve"> в состав заявки не включаются.</w:t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24"/>
        <w:keepNext w:val="false"/>
        <w:numPr>
          <w:ilvl w:val="0"/>
          <w:numId w:val="0"/>
        </w:numPr>
        <w:tabs>
          <w:tab w:val="left" w:pos="1134" w:leader="none"/>
          <w:tab w:val="left" w:pos="1440" w:leader="none"/>
          <w:tab w:val="left" w:pos="2736" w:leader="none"/>
        </w:tabs>
        <w:spacing w:lineRule="exact" w:line="360" w:before="0" w:after="160"/>
        <w:ind w:left="1134" w:hanging="1134"/>
        <w:jc w:val="both"/>
        <w:outlineLvl w:val="9"/>
        <w:rPr>
          <w:sz w:val="26"/>
        </w:rPr>
      </w:pPr>
      <w:r>
        <w:rPr/>
        <w:t>Ф</w:t>
      </w:r>
      <w:bookmarkStart w:id="43" w:name="_Toc141972716"/>
      <w:bookmarkStart w:id="44" w:name="_Ref511135236"/>
      <w:r>
        <w:rPr/>
        <w:t xml:space="preserve">орма </w:t>
      </w:r>
      <w:bookmarkEnd w:id="44"/>
      <w:r>
        <w:rPr/>
        <w:t>Коммерческого предложения</w:t>
      </w:r>
      <w:bookmarkEnd w:id="43"/>
    </w:p>
    <w:p>
      <w:pPr>
        <w:pStyle w:val="Normal"/>
        <w:keepNext w:val="true"/>
        <w:pBdr>
          <w:top w:val="single" w:sz="4" w:space="1" w:color="000000"/>
        </w:pBdr>
        <w:shd w:val="clear" w:color="auto" w:fill="D9D9D9" w:themeFill="background1" w:themeFillShade="d9"/>
        <w:spacing w:before="0" w:after="12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начало формы</w:t>
      </w:r>
    </w:p>
    <w:p>
      <w:pPr>
        <w:pStyle w:val="Normal"/>
        <w:ind w:hanging="0"/>
        <w:rPr>
          <w:sz w:val="24"/>
        </w:rPr>
      </w:pPr>
      <w:r>
        <w:rPr>
          <w:sz w:val="24"/>
        </w:rPr>
        <w:t xml:space="preserve">Приложение </w:t>
      </w:r>
      <w:r>
        <w:rPr>
          <w:sz w:val="24"/>
        </w:rPr>
        <w:fldChar w:fldCharType="begin"/>
      </w:r>
      <w:r>
        <w:rPr>
          <w:sz w:val="24"/>
        </w:rPr>
        <w:instrText xml:space="preserve"> SEQ Приложение \* ARABIC </w:instrText>
      </w:r>
      <w:r>
        <w:rPr>
          <w:sz w:val="24"/>
        </w:rPr>
        <w:fldChar w:fldCharType="separate"/>
      </w:r>
      <w:r>
        <w:rPr>
          <w:sz w:val="24"/>
        </w:rPr>
        <w:t>1</w:t>
      </w:r>
      <w:r>
        <w:rPr>
          <w:sz w:val="24"/>
        </w:rPr>
        <w:fldChar w:fldCharType="end"/>
      </w:r>
      <w:r>
        <w:rPr>
          <w:sz w:val="24"/>
        </w:rPr>
        <w:t xml:space="preserve"> к письму о подаче оферты</w:t>
        <w:br/>
        <w:t>от «____» _____________ г. №__________</w:t>
      </w:r>
    </w:p>
    <w:p>
      <w:pPr>
        <w:pStyle w:val="Normal"/>
        <w:rPr>
          <w:sz w:val="26"/>
        </w:rPr>
      </w:pPr>
      <w:r>
        <w:rPr>
          <w:sz w:val="26"/>
        </w:rPr>
      </w:r>
    </w:p>
    <w:p>
      <w:pPr>
        <w:pStyle w:val="Normal"/>
        <w:rPr>
          <w:b/>
          <w:sz w:val="32"/>
        </w:rPr>
      </w:pPr>
      <w:r>
        <w:rPr>
          <w:b/>
          <w:caps/>
          <w:spacing w:val="20"/>
        </w:rPr>
        <w:t>Коммерческое предложение</w:t>
      </w:r>
    </w:p>
    <w:p>
      <w:pPr>
        <w:pStyle w:val="Normal"/>
        <w:spacing w:before="0" w:after="120"/>
        <w:rPr/>
      </w:pPr>
      <w:r>
        <w:rPr/>
        <w:t>Наименование и ИНН Участника: _________________________________</w:t>
      </w:r>
    </w:p>
    <w:p>
      <w:pPr>
        <w:pStyle w:val="Normal"/>
        <w:rPr>
          <w:rStyle w:val="Style8"/>
          <w:b w:val="false"/>
          <w:sz w:val="26"/>
          <w:highlight w:val="lightGray"/>
        </w:rPr>
      </w:pPr>
      <w:r>
        <w:rPr>
          <w:i/>
          <w:highlight w:val="lightGray"/>
          <w:shd w:fill="BFBFBF" w:val="clear"/>
        </w:rPr>
        <w:t>[</w:t>
      </w:r>
      <w:r>
        <w:rPr>
          <w:rStyle w:val="Style8"/>
          <w:highlight w:val="lightGray"/>
          <w:shd w:fill="BFBFBF" w:val="clear"/>
        </w:rPr>
        <w:t xml:space="preserve">Здесь Участник приводит свое Коммерческое предложение вместе </w:t>
      </w:r>
      <w:r>
        <w:rPr>
          <w:rStyle w:val="Style8"/>
          <w:highlight w:val="lightGray"/>
          <w:u w:val="single"/>
          <w:shd w:fill="BFBFBF" w:val="clear"/>
        </w:rPr>
        <w:t>с приложением в обязательном порядке подтверждающей документации, составленной в соответствии с Техническими требованиями Заказчика</w:t>
      </w:r>
      <w:r>
        <w:rPr>
          <w:rStyle w:val="Style8"/>
          <w:highlight w:val="lightGray"/>
          <w:shd w:fill="BFBFBF" w:val="clear"/>
        </w:rPr>
        <w:t xml:space="preserve"> </w:t>
      </w:r>
    </w:p>
    <w:p>
      <w:pPr>
        <w:pStyle w:val="Normal"/>
        <w:ind w:hanging="0"/>
        <w:jc w:val="center"/>
        <w:rPr>
          <w:rStyle w:val="Style8"/>
          <w:b w:val="false"/>
        </w:rPr>
      </w:pPr>
      <w:r>
        <w:rPr>
          <w:b w:val="false"/>
        </w:rPr>
      </w:r>
    </w:p>
    <w:tbl>
      <w:tblPr>
        <w:tblW w:w="1483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"/>
        <w:gridCol w:w="567"/>
        <w:gridCol w:w="992"/>
        <w:gridCol w:w="1702"/>
        <w:gridCol w:w="1982"/>
        <w:gridCol w:w="2980"/>
        <w:gridCol w:w="564"/>
        <w:gridCol w:w="1844"/>
        <w:gridCol w:w="1561"/>
        <w:gridCol w:w="711"/>
        <w:gridCol w:w="1276"/>
        <w:gridCol w:w="231"/>
      </w:tblGrid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r>
              <w:rPr>
                <w:rFonts w:eastAsia="Calibri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Наименование предлагаемой продукции (товары, работы, услуги)</w:t>
            </w:r>
            <w:r>
              <w:rPr>
                <w:rStyle w:val="Style8"/>
                <w:sz w:val="18"/>
                <w:szCs w:val="18"/>
                <w:highlight w:val="lightGray"/>
                <w:shd w:fill="BFBFBF" w:val="clear"/>
              </w:rPr>
              <w:t>]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Страна происхождения товара </w:t>
              <w:b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Производитель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Номер реестровой записи из реестра, предусмотренного приложением №1 ПП 1875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Е</w:t>
            </w:r>
            <w:r>
              <w:rPr>
                <w:rFonts w:eastAsia="Calibri"/>
                <w:sz w:val="18"/>
                <w:szCs w:val="18"/>
                <w:lang w:eastAsia="en-US"/>
              </w:rPr>
              <w:t>д.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изм.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НМЦ единицы продукции (руб. без НДС) </w:t>
              <w:br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i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Предлагаемая цена одной единицы </w:t>
            </w:r>
            <w:r>
              <w:rPr>
                <w:sz w:val="18"/>
                <w:szCs w:val="18"/>
              </w:rPr>
              <w:t>продукции</w:t>
            </w:r>
            <w:r>
              <w:rPr>
                <w:rFonts w:eastAsia="Calibri"/>
                <w:sz w:val="18"/>
                <w:szCs w:val="18"/>
                <w:lang w:eastAsia="en-US"/>
              </w:rPr>
              <w:t>, руб. без НДС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Итоговая стоимость позиции</w:t>
              <w:br/>
              <w:t>(руб. без НДС)</w:t>
            </w:r>
          </w:p>
        </w:tc>
        <w:tc>
          <w:tcPr>
            <w:tcW w:w="231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31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31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12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ИТОГО без НДС: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3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Кроме того, НДС (__%):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3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 с НДС: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3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i/>
          <w:i/>
        </w:rPr>
      </w:pPr>
      <w:r>
        <w:rPr>
          <w:i/>
          <w:highlight w:val="lightGray"/>
        </w:rPr>
        <w:t>В случае неуказания Участником в данной форме Страны происхождения товара и Производителя продукции и невозможности определения Организатором суммарной доли российской продукции в составе заявки – предлагаемый им товар будет считаться иностранного происхождения.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(подпись, М.П.)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(фамилия, имя, отчество подписавшего, должность)</w:t>
      </w:r>
    </w:p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pBdr>
          <w:bottom w:val="single" w:sz="4" w:space="1" w:color="000000"/>
        </w:pBdr>
        <w:shd w:val="clear" w:color="auto" w:fill="D9D9D9" w:themeFill="background1" w:themeFillShade="d9"/>
        <w:spacing w:before="0" w:after="120"/>
        <w:jc w:val="center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конец формы</w:t>
      </w:r>
      <w:r>
        <w:br w:type="page"/>
      </w:r>
    </w:p>
    <w:p>
      <w:pPr>
        <w:pStyle w:val="24"/>
        <w:keepNext w:val="false"/>
        <w:numPr>
          <w:ilvl w:val="0"/>
          <w:numId w:val="0"/>
        </w:numPr>
        <w:tabs>
          <w:tab w:val="clear" w:pos="1134"/>
          <w:tab w:val="left" w:pos="1440" w:leader="none"/>
          <w:tab w:val="left" w:pos="2736" w:leader="none"/>
        </w:tabs>
        <w:spacing w:lineRule="exact" w:line="360" w:before="0" w:after="160"/>
        <w:ind w:left="0" w:hanging="0"/>
        <w:jc w:val="both"/>
        <w:outlineLvl w:val="9"/>
        <w:rPr>
          <w:rFonts w:ascii="Times New Roman" w:hAnsi="Times New Roman" w:cs="Times New Roman"/>
        </w:rPr>
      </w:pPr>
      <w:bookmarkStart w:id="45" w:name="_Toc141972717"/>
      <w:r>
        <w:rPr>
          <w:rFonts w:cs="Times New Roman"/>
        </w:rPr>
        <w:t>Инструкции по заполнению</w:t>
      </w:r>
      <w:bookmarkEnd w:id="45"/>
      <w:r>
        <w:rPr>
          <w:rFonts w:cs="Times New Roman"/>
        </w:rPr>
        <w:t xml:space="preserve"> Участник приводит номер и дату письма о подаче оферты, приложением к которому является данное Коммерческое предложение.</w:t>
      </w:r>
    </w:p>
    <w:p>
      <w:pPr>
        <w:pStyle w:val="Style22"/>
        <w:numPr>
          <w:ilvl w:val="0"/>
          <w:numId w:val="0"/>
        </w:numPr>
        <w:tabs>
          <w:tab w:val="clear" w:pos="1134"/>
          <w:tab w:val="left" w:pos="2268" w:leader="none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Участник указывает свое фирменное наименование (в т.ч. организационно-правовую форму) и свой ИНН.</w:t>
      </w:r>
    </w:p>
    <w:p>
      <w:pPr>
        <w:pStyle w:val="Style22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Все расчеты округляются до двух знаков после запятой.</w:t>
      </w:r>
    </w:p>
    <w:p>
      <w:pPr>
        <w:pStyle w:val="Style22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 xml:space="preserve">Результат суммирования стоимостей отдельных видов продукции, указанных в Коммерческом предложении, должен совпадать с суммами (в рублях без НДС и с НДС), указанными в Письме о подаче оферты </w:t>
      </w:r>
    </w:p>
    <w:p>
      <w:pPr>
        <w:pStyle w:val="Style22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Данная форма должна быть в обязательном порядке представлена в формате, доступном для редактирования (</w:t>
      </w:r>
      <w:r>
        <w:rPr>
          <w:rFonts w:cs="Times New Roman"/>
          <w:lang w:val="en-US"/>
        </w:rPr>
        <w:t>MicrosoftExcelSheet</w:t>
      </w:r>
      <w:r>
        <w:rPr>
          <w:rFonts w:cs="Times New Roman"/>
        </w:rPr>
        <w:t xml:space="preserve"> (*.</w:t>
      </w:r>
      <w:r>
        <w:rPr>
          <w:rFonts w:cs="Times New Roman"/>
          <w:lang w:val="en-US"/>
        </w:rPr>
        <w:t>xls</w:t>
      </w:r>
      <w:r>
        <w:rPr>
          <w:rFonts w:cs="Times New Roman"/>
        </w:rPr>
        <w:t>)).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left="850" w:hanging="0"/>
        <w:jc w:val="center"/>
        <w:rPr>
          <w:bCs/>
          <w:i/>
          <w:i/>
          <w:iCs/>
          <w:sz w:val="24"/>
          <w:szCs w:val="24"/>
          <w:lang w:eastAsia="x-none"/>
        </w:rPr>
      </w:pPr>
      <w:r>
        <w:rPr/>
      </w:r>
      <w:bookmarkStart w:id="46" w:name="_GoBack"/>
      <w:bookmarkStart w:id="47" w:name="_GoBack"/>
      <w:bookmarkEnd w:id="47"/>
    </w:p>
    <w:sectPr>
      <w:headerReference w:type="default" r:id="rId10"/>
      <w:headerReference w:type="first" r:id="rId11"/>
      <w:type w:val="nextPage"/>
      <w:pgSz w:w="11906" w:h="16838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844"/>
        </w:tabs>
        <w:ind w:left="6882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350"/>
        </w:tabs>
        <w:ind w:left="114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2" w:customStyle="1">
    <w:name w:val="УРОВЕНЬ_1. Знак"/>
    <w:link w:val="19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rong2">
    <w:name w:val="Strong2"/>
    <w:qFormat/>
    <w:rPr>
      <w:b/>
      <w:bCs/>
    </w:rPr>
  </w:style>
  <w:style w:type="character" w:styleId="Strong">
    <w:name w:val="Strong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hd w:val="clear" w:color="auto" w:fill="FFFFFF"/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shd w:val="clear" w:color="auto" w:fill="FFFFFF"/>
      <w:ind w:left="280" w:hanging="0"/>
    </w:pPr>
    <w:rPr>
      <w:rFonts w:cs="Calibri"/>
      <w:sz w:val="20"/>
      <w:szCs w:val="20"/>
    </w:rPr>
  </w:style>
  <w:style w:type="paragraph" w:styleId="Style23" w:customStyle="1">
    <w:name w:val="Раздел регламента"/>
    <w:basedOn w:val="Normal"/>
    <w:qFormat/>
    <w:pPr/>
    <w:rPr/>
  </w:style>
  <w:style w:type="paragraph" w:styleId="Style24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shd w:val="clear" w:color="auto" w:fill="FFFFFF"/>
      <w:ind w:left="560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cs="Calibr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Style37" w:customStyle="1">
    <w:name w:val="ККГЭС Текст"/>
    <w:basedOn w:val="Normal"/>
    <w:qFormat/>
    <w:pPr>
      <w:spacing w:before="60" w:after="60"/>
      <w:ind w:firstLine="708"/>
    </w:pPr>
    <w:rPr>
      <w:rFonts w:eastAsia="Calibri"/>
      <w:sz w:val="24"/>
      <w:szCs w:val="24"/>
      <w:lang w:eastAsia="en-US"/>
    </w:rPr>
  </w:style>
  <w:style w:type="paragraph" w:styleId="Style91" w:customStyle="1">
    <w:name w:val="Style9"/>
    <w:basedOn w:val="Normal"/>
    <w:qFormat/>
    <w:pPr>
      <w:widowControl w:val="false"/>
      <w:jc w:val="both"/>
    </w:pPr>
    <w:rPr>
      <w:sz w:val="24"/>
      <w:szCs w:val="24"/>
    </w:rPr>
  </w:style>
  <w:style w:type="paragraph" w:styleId="Style71" w:customStyle="1">
    <w:name w:val="Style7"/>
    <w:basedOn w:val="Normal"/>
    <w:qFormat/>
    <w:pPr>
      <w:widowControl w:val="false"/>
      <w:spacing w:lineRule="exact" w:line="264"/>
      <w:jc w:val="both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qFormat/>
  </w:style>
  <w:style w:type="numbering" w:styleId="29" w:customStyle="1">
    <w:name w:val="Стиль2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Application>AlterOffice/3.4.0.9$Linux_X86_64 LibreOffice_project/b8daf9e823b1a5463a2f48435ddc2e8696e7d4fc</Application>
  <AppVersion>15.0000</AppVersion>
  <Pages>12</Pages>
  <Words>1662</Words>
  <Characters>10884</Characters>
  <CharactersWithSpaces>12504</CharactersWithSpaces>
  <Paragraphs>313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2024-06-11T10:35:00Z</dcterms:created>
  <dc:creator>Быстров Олег Геннадьевич</dc:creator>
  <dc:description/>
  <dc:language>ru-RU</dc:language>
  <cp:lastModifiedBy>zabelkinans@corp.gidroogk.com</cp:lastModifiedBy>
  <cp:lastPrinted>2026-07-29T13:18:06Z</cp:lastPrinted>
  <dcterms:modified xsi:type="dcterms:W3CDTF">2026-08-03T13:28:58Z</dcterms:modified>
  <cp:revision>28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