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keepNext w:val="true"/>
        <w:keepLines/>
        <w:ind w:left="709" w:hanging="0"/>
        <w:jc w:val="center"/>
        <w:rPr>
          <w:shd w:fill="FFFFFF" w:val="clear"/>
        </w:rPr>
      </w:pPr>
      <w:r>
        <w:rPr>
          <w:rFonts w:eastAsia="Calibri"/>
          <w:b/>
          <w:shd w:fill="FFFFFF" w:val="clear"/>
        </w:rPr>
        <w:t xml:space="preserve">Технические требования 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4677" w:leader="none"/>
        </w:tabs>
        <w:ind w:left="709" w:hanging="0"/>
        <w:jc w:val="center"/>
        <w:outlineLvl w:val="0"/>
        <w:rPr>
          <w:b/>
          <w:sz w:val="26"/>
          <w:szCs w:val="26"/>
        </w:rPr>
      </w:pPr>
      <w:bookmarkStart w:id="0" w:name="_Toc187840009"/>
      <w:r>
        <w:rPr>
          <w:b/>
          <w:shd w:fill="FFFFFF" w:val="clear"/>
        </w:rPr>
        <w:t xml:space="preserve">ОКПД2 19.20.21.300 Поставка дизельного топлива для нужд </w:t>
      </w:r>
      <w:r>
        <w:rPr>
          <w:b/>
        </w:rPr>
        <w:t>филиала ПАО «РусГидро» - «Карачаево-Черкесский филиал</w:t>
      </w:r>
      <w:r>
        <w:rPr>
          <w:b/>
          <w:sz w:val="26"/>
          <w:szCs w:val="26"/>
        </w:rPr>
        <w:t>»</w:t>
      </w:r>
      <w:bookmarkEnd w:id="0"/>
    </w:p>
    <w:p>
      <w:pPr>
        <w:pStyle w:val="Normal"/>
        <w:numPr>
          <w:ilvl w:val="0"/>
          <w:numId w:val="0"/>
        </w:numPr>
        <w:tabs>
          <w:tab w:val="clear" w:pos="708"/>
          <w:tab w:val="center" w:pos="4677" w:leader="none"/>
        </w:tabs>
        <w:ind w:left="709" w:hanging="0"/>
        <w:jc w:val="center"/>
        <w:outlineLvl w:val="0"/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keepNext w:val="true"/>
        <w:keepLines/>
        <w:ind w:left="709" w:hanging="0"/>
        <w:jc w:val="center"/>
        <w:rPr>
          <w:rFonts w:eastAsia="Calibri"/>
          <w:b/>
          <w:i/>
          <w:i/>
          <w:shd w:fill="FFFFFF" w:val="clear"/>
        </w:rPr>
      </w:pPr>
      <w:r>
        <w:rPr>
          <w:rFonts w:eastAsia="Calibri"/>
          <w:b/>
          <w:i/>
          <w:shd w:fill="FFFFFF" w:val="clear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09" w:hanging="0"/>
        <w:jc w:val="center"/>
        <w:rPr>
          <w:szCs w:val="2"/>
        </w:rPr>
      </w:pPr>
      <w:r>
        <w:rPr>
          <w:szCs w:val="2"/>
        </w:rPr>
        <w:t xml:space="preserve">пгт. Правокубанский </w:t>
      </w:r>
    </w:p>
    <w:p>
      <w:pPr>
        <w:pStyle w:val="Normal"/>
        <w:ind w:left="709" w:hanging="0"/>
        <w:jc w:val="center"/>
        <w:rPr>
          <w:szCs w:val="2"/>
        </w:rPr>
      </w:pPr>
      <w:r>
        <w:rPr>
          <w:szCs w:val="2"/>
        </w:rPr>
        <w:t>2026 г.</w:t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ind w:left="709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709" w:hanging="0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shd w:fill="FFFFFF" w:val="clear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shd w:fill="FFFFFF" w:val="clear"/>
              <w:vanish w:val="false"/>
            </w:rPr>
            <w:fldChar w:fldCharType="separate"/>
          </w:r>
          <w:hyperlink w:anchor="_Toc187840009">
            <w:r>
              <w:rPr>
                <w:webHidden/>
                <w:rStyle w:val="Style14"/>
                <w:vanish w:val="false"/>
                <w:shd w:fill="FFFFFF" w:val="clear"/>
              </w:rPr>
              <w:t>ОКПД2 19.20.21.</w:t>
            </w:r>
            <w:r>
              <w:rPr>
                <w:rStyle w:val="Style14"/>
                <w:shd w:fill="FFFFFF" w:val="clear"/>
                <w:lang w:val="en-US"/>
              </w:rPr>
              <w:t>3</w:t>
            </w:r>
            <w:r>
              <w:rPr>
                <w:rStyle w:val="Style14"/>
                <w:shd w:fill="FFFFFF" w:val="clear"/>
              </w:rPr>
              <w:t xml:space="preserve">00 Поставка </w:t>
            </w:r>
            <w:r>
              <w:rPr>
                <w:rStyle w:val="Style14"/>
                <w:shd w:fill="FFFFFF" w:val="clear"/>
                <w:lang w:val="en-US"/>
              </w:rPr>
              <w:t>дизельного топлива</w:t>
            </w:r>
            <w:r>
              <w:rPr>
                <w:rStyle w:val="Style14"/>
                <w:shd w:fill="FFFFFF" w:val="clear"/>
              </w:rPr>
              <w:t xml:space="preserve"> для нужд </w:t>
            </w:r>
            <w:r>
              <w:rPr>
                <w:rStyle w:val="Style14"/>
              </w:rPr>
              <w:t>филиала ПАО «РусГидро» - «Карачаево-Черкесский филиал»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_Toc187840009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26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87840010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_Toc187840010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87840011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_Toc187840011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87840012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Наименование закупаемой продукции: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_Toc187840012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87840013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Цель использования закупаемой продукции: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_Toc187840013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87840014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_Toc187840014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87840015">
            <w:r>
              <w:rPr>
                <w:webHidden/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договора):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_Toc187840015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87840016">
            <w:r>
              <w:rPr>
                <w:webHidden/>
                <w:rStyle w:val="Style14"/>
                <w:iCs/>
                <w:vanish w:val="false"/>
              </w:rPr>
              <w:t>1.6.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Иные требования и сведения общего характера: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_Toc187840016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26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87840017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_Toc187840017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87840018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объемам и срокам поставки.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_Toc187840018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87840019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Перечень и объем закупаемой продукции.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_Toc187840019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8784002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_Toc187840020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 Перечень и объем закупаемой продукции: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87840021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_Toc187840021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8784002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_Toc187840022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 Требования по срокам поставки продукции: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87840023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_Toc187840023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87840024">
            <w:r>
              <w:rPr>
                <w:webHidden/>
                <w:rStyle w:val="Style14"/>
                <w:iCs/>
                <w:vanish w:val="false"/>
              </w:rPr>
              <w:t>2.3.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цене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_Toc187840024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87840025">
            <w:r>
              <w:rPr>
                <w:webHidden/>
                <w:rStyle w:val="Style14"/>
                <w:iCs/>
                <w:vanish w:val="false"/>
              </w:rPr>
              <w:t>2.4.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доставке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_Toc187840025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4"/>
        <w:tabs>
          <w:tab w:val="clear" w:pos="708"/>
          <w:tab w:val="left" w:pos="1120" w:leader="none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sz w:val="22"/>
          <w:szCs w:val="22"/>
        </w:rPr>
      </w:r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spacing w:before="0" w:after="0"/>
        <w:ind w:left="709" w:hanging="0"/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spacing w:before="0" w:after="0"/>
        <w:ind w:left="709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ind w:left="709" w:hanging="0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spacing w:before="0" w:after="0"/>
        <w:ind w:left="709" w:hanging="357"/>
        <w:jc w:val="center"/>
        <w:rPr>
          <w:caps/>
          <w:lang w:val="ru-RU"/>
        </w:rPr>
      </w:pPr>
      <w:bookmarkStart w:id="1" w:name="_Toc187840010"/>
      <w:bookmarkStart w:id="2" w:name="_Toc51339692"/>
      <w:r>
        <w:rPr>
          <w:lang w:val="ru-RU"/>
        </w:rPr>
        <w:t>Общие сведения</w:t>
      </w:r>
      <w:bookmarkEnd w:id="1"/>
      <w:bookmarkEnd w:id="2"/>
    </w:p>
    <w:p>
      <w:pPr>
        <w:pStyle w:val="Heading4"/>
        <w:numPr>
          <w:ilvl w:val="1"/>
          <w:numId w:val="3"/>
        </w:numPr>
        <w:spacing w:before="0" w:after="0"/>
        <w:ind w:left="709" w:hanging="432"/>
        <w:rPr/>
      </w:pPr>
      <w:bookmarkStart w:id="3" w:name="_Toc187840011"/>
      <w:bookmarkStart w:id="4" w:name="_Toc46743505"/>
      <w:r>
        <w:rPr/>
        <w:t>Обозначения и сокращения</w:t>
      </w:r>
      <w:bookmarkEnd w:id="3"/>
      <w:bookmarkEnd w:id="4"/>
    </w:p>
    <w:p>
      <w:pPr>
        <w:pStyle w:val="Normal"/>
        <w:ind w:left="709" w:hanging="0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85"/>
        <w:gridCol w:w="7997"/>
      </w:tblGrid>
      <w:tr>
        <w:trPr>
          <w:trHeight w:val="188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09" w:hanging="0"/>
              <w:jc w:val="center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09" w:hanging="0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Гидроэлектростанция</w:t>
            </w:r>
          </w:p>
        </w:tc>
      </w:tr>
      <w:tr>
        <w:trPr>
          <w:trHeight w:val="207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09" w:hanging="0"/>
              <w:jc w:val="center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ГАЭС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09" w:hanging="0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Гидроаккумулирующая Электростанция</w:t>
            </w:r>
          </w:p>
        </w:tc>
      </w:tr>
      <w:tr>
        <w:trPr>
          <w:trHeight w:val="172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center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МГЭС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both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Малая Гидроэлектростанция</w:t>
            </w:r>
          </w:p>
        </w:tc>
      </w:tr>
      <w:tr>
        <w:trPr>
          <w:trHeight w:val="207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center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both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Система сертификации продукции в Российской Федерации</w:t>
            </w:r>
          </w:p>
        </w:tc>
      </w:tr>
      <w:tr>
        <w:trPr>
          <w:trHeight w:val="163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center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709" w:hanging="0"/>
              <w:rPr>
                <w:rStyle w:val="Strong"/>
                <w:b w:val="false"/>
                <w:sz w:val="24"/>
                <w:szCs w:val="24"/>
              </w:rPr>
            </w:pPr>
            <w:r>
              <w:rPr>
                <w:rStyle w:val="Strong"/>
                <w:b w:val="false"/>
                <w:sz w:val="24"/>
                <w:szCs w:val="24"/>
              </w:rPr>
              <w:t>Технические условия</w:t>
            </w:r>
          </w:p>
        </w:tc>
      </w:tr>
      <w:tr>
        <w:trPr>
          <w:trHeight w:val="154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КПД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ind w:left="709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 полезного действия</w:t>
            </w:r>
          </w:p>
        </w:tc>
      </w:tr>
    </w:tbl>
    <w:p>
      <w:pPr>
        <w:pStyle w:val="Normal"/>
        <w:keepNext w:val="true"/>
        <w:keepLines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ind w:left="709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ind w:left="709" w:hanging="0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spacing w:before="0" w:after="0"/>
        <w:ind w:left="0" w:firstLine="709"/>
        <w:rPr/>
      </w:pPr>
      <w:bookmarkStart w:id="5" w:name="_Toc187840012"/>
      <w:bookmarkStart w:id="6" w:name="_Toc46743506"/>
      <w:r>
        <w:rPr/>
        <w:t>Наименование закупаемой продукции</w:t>
      </w:r>
      <w:bookmarkEnd w:id="6"/>
      <w:r>
        <w:rPr>
          <w:lang w:val="ru-RU"/>
        </w:rPr>
        <w:t>:</w:t>
      </w:r>
      <w:bookmarkEnd w:id="5"/>
    </w:p>
    <w:p>
      <w:pPr>
        <w:pStyle w:val="ConsPlusNormal"/>
        <w:rPr>
          <w:rStyle w:val="Blk"/>
          <w:rFonts w:ascii="Times New Roman" w:hAnsi="Times New Roman" w:cs="Times New Roman"/>
          <w:sz w:val="24"/>
          <w:szCs w:val="24"/>
        </w:rPr>
      </w:pPr>
      <w:bookmarkStart w:id="7" w:name="_Toc155865530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ОКПД2 19.20.21.300 Поставка </w:t>
      </w:r>
      <w:r>
        <w:rPr>
          <w:rFonts w:cs="Times New Roman" w:ascii="Times New Roman" w:hAnsi="Times New Roman"/>
          <w:sz w:val="24"/>
          <w:szCs w:val="24"/>
          <w:shd w:fill="FFFFFF" w:val="clear"/>
          <w:lang w:val="en-US"/>
        </w:rPr>
        <w:t>дизельного топлива</w:t>
      </w:r>
      <w:bookmarkStart w:id="8" w:name="_GoBack"/>
      <w:bookmarkEnd w:id="8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для нужд </w:t>
      </w:r>
      <w:r>
        <w:rPr>
          <w:rFonts w:cs="Times New Roman" w:ascii="Times New Roman" w:hAnsi="Times New Roman"/>
          <w:sz w:val="24"/>
          <w:szCs w:val="24"/>
        </w:rPr>
        <w:t>филиала ПАО «РусГидро» - «Карачаево-Черкесский филиал»</w:t>
      </w:r>
      <w:r>
        <w:rPr>
          <w:rFonts w:eastAsia="Calibri" w:cs="Times New Roman" w:ascii="Times New Roman" w:hAnsi="Times New Roman"/>
          <w:bCs/>
          <w:sz w:val="24"/>
          <w:szCs w:val="24"/>
          <w:lang w:eastAsia="x-none"/>
        </w:rPr>
        <w:t>.</w:t>
      </w:r>
      <w:bookmarkEnd w:id="7"/>
    </w:p>
    <w:p>
      <w:pPr>
        <w:pStyle w:val="Heading4"/>
        <w:numPr>
          <w:ilvl w:val="1"/>
          <w:numId w:val="3"/>
        </w:numPr>
        <w:spacing w:before="0" w:after="0"/>
        <w:ind w:left="0" w:firstLine="709"/>
        <w:rPr/>
      </w:pPr>
      <w:bookmarkStart w:id="9" w:name="_Toc187840013"/>
      <w:bookmarkStart w:id="10" w:name="_Toc46743507"/>
      <w:r>
        <w:rPr/>
        <w:t xml:space="preserve">Цель </w:t>
      </w:r>
      <w:bookmarkEnd w:id="10"/>
      <w:r>
        <w:rPr>
          <w:lang w:val="ru-RU"/>
        </w:rPr>
        <w:t>использования закупаемой продукции:</w:t>
      </w:r>
      <w:bookmarkEnd w:id="9"/>
    </w:p>
    <w:p>
      <w:pPr>
        <w:pStyle w:val="ConsPlusNormal"/>
        <w:jc w:val="both"/>
        <w:rPr>
          <w:rFonts w:ascii="Times New Roman" w:hAnsi="Times New Roman" w:eastAsia="Calibri" w:cs="Times New Roman"/>
          <w:bCs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x-none"/>
        </w:rPr>
        <w:t>Наличие аварийного резерва топлива для заправки пожарной машины.</w:t>
      </w:r>
    </w:p>
    <w:p>
      <w:pPr>
        <w:pStyle w:val="Heading4"/>
        <w:numPr>
          <w:ilvl w:val="1"/>
          <w:numId w:val="3"/>
        </w:numPr>
        <w:spacing w:before="0" w:after="0"/>
        <w:ind w:left="0" w:firstLine="709"/>
        <w:rPr>
          <w:rStyle w:val="Style8"/>
          <w:b/>
          <w:lang w:val="ru-RU"/>
        </w:rPr>
      </w:pPr>
      <w:bookmarkStart w:id="11" w:name="_Toc187840014"/>
      <w:bookmarkStart w:id="12" w:name="_Toc46743508"/>
      <w:r>
        <w:rPr/>
        <w:t>Существующее положение</w:t>
      </w:r>
      <w:bookmarkEnd w:id="11"/>
      <w:bookmarkEnd w:id="12"/>
      <w:r>
        <w:rPr>
          <w:lang w:val="ru-RU"/>
        </w:rPr>
        <w:t xml:space="preserve"> </w:t>
      </w:r>
    </w:p>
    <w:p>
      <w:pPr>
        <w:pStyle w:val="BodyText"/>
        <w:spacing w:before="0" w:after="0"/>
        <w:ind w:firstLine="709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  <w:t>Настоящие технические требования (далее – ТТ) предполагают, что Участник готовит и предоставляет информацию согласно требованиям настоящих ТТ как в текстовой форме, так и в виде заполнения таблиц, указанных в настоящем ТТ. Все включенные в предложение в соответствии с настоящими ТТ таблицы Участника должны иметь электронную версию в формате MS Excel.</w:t>
      </w:r>
    </w:p>
    <w:p>
      <w:pPr>
        <w:pStyle w:val="Normal"/>
        <w:ind w:firstLine="709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pStyle w:val="Heading4"/>
        <w:numPr>
          <w:ilvl w:val="1"/>
          <w:numId w:val="3"/>
        </w:numPr>
        <w:spacing w:before="0" w:after="0"/>
        <w:ind w:left="0" w:firstLine="709"/>
        <w:jc w:val="both"/>
        <w:rPr>
          <w:lang w:val="ru-RU"/>
        </w:rPr>
      </w:pPr>
      <w:bookmarkStart w:id="13" w:name="_Toc187840015"/>
      <w:bookmarkStart w:id="14" w:name="_Toc46743509"/>
      <w:bookmarkStart w:id="15" w:name="_Hlk49857604"/>
      <w:r>
        <w:rPr/>
        <w:t xml:space="preserve">Информация в отношении исполнения договора, </w:t>
      </w:r>
      <w:bookmarkStart w:id="16" w:name="_Hlk46492347"/>
      <w:r>
        <w:rPr/>
        <w:t xml:space="preserve">которая должна быть учтена при подготовке заявки </w:t>
      </w:r>
      <w:bookmarkEnd w:id="16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4"/>
      <w:bookmarkEnd w:id="15"/>
      <w:r>
        <w:rPr>
          <w:lang w:val="ru-RU"/>
        </w:rPr>
        <w:t>:</w:t>
      </w:r>
      <w:bookmarkEnd w:id="13"/>
    </w:p>
    <w:p>
      <w:pPr>
        <w:pStyle w:val="Normal"/>
        <w:ind w:firstLine="709"/>
        <w:rPr>
          <w:sz w:val="16"/>
          <w:szCs w:val="16"/>
          <w:lang w:eastAsia="x-none"/>
        </w:rPr>
      </w:pPr>
      <w:r>
        <w:rPr>
          <w:sz w:val="16"/>
          <w:szCs w:val="16"/>
          <w:lang w:eastAsia="x-none"/>
        </w:rPr>
      </w:r>
    </w:p>
    <w:p>
      <w:pPr>
        <w:pStyle w:val="BodyText"/>
        <w:numPr>
          <w:ilvl w:val="0"/>
          <w:numId w:val="9"/>
        </w:numPr>
        <w:suppressAutoHyphens w:val="false"/>
        <w:spacing w:before="0" w:after="0"/>
        <w:ind w:left="0" w:firstLine="709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  <w:t>Необходимо наличие лицензии (если деятельность лицензируется);</w:t>
      </w:r>
    </w:p>
    <w:p>
      <w:pPr>
        <w:pStyle w:val="BodyText"/>
        <w:numPr>
          <w:ilvl w:val="3"/>
          <w:numId w:val="9"/>
        </w:numPr>
        <w:tabs>
          <w:tab w:val="clear" w:pos="708"/>
          <w:tab w:val="left" w:pos="540" w:leader="none"/>
        </w:tabs>
        <w:suppressAutoHyphens w:val="false"/>
        <w:spacing w:before="0" w:after="0"/>
        <w:ind w:left="0" w:firstLine="709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  <w:t>Наличие положительных отзывов потребителей;</w:t>
      </w:r>
    </w:p>
    <w:p>
      <w:pPr>
        <w:pStyle w:val="BodyText"/>
        <w:numPr>
          <w:ilvl w:val="3"/>
          <w:numId w:val="9"/>
        </w:numPr>
        <w:tabs>
          <w:tab w:val="clear" w:pos="708"/>
          <w:tab w:val="left" w:pos="540" w:leader="none"/>
        </w:tabs>
        <w:suppressAutoHyphens w:val="false"/>
        <w:spacing w:before="0" w:after="0"/>
        <w:ind w:left="0" w:firstLine="709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  <w:t>Опыт успешной работы на данном секторе рынка не менее 3-х лет;</w:t>
      </w:r>
    </w:p>
    <w:p>
      <w:pPr>
        <w:pStyle w:val="BodyText"/>
        <w:numPr>
          <w:ilvl w:val="3"/>
          <w:numId w:val="9"/>
        </w:numPr>
        <w:tabs>
          <w:tab w:val="clear" w:pos="708"/>
          <w:tab w:val="left" w:pos="540" w:leader="none"/>
        </w:tabs>
        <w:suppressAutoHyphens w:val="false"/>
        <w:spacing w:before="0" w:after="0"/>
        <w:ind w:left="0" w:firstLine="709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  <w:t>Отсутствие признаков банкротства;</w:t>
      </w:r>
    </w:p>
    <w:p>
      <w:pPr>
        <w:pStyle w:val="BodyText"/>
        <w:numPr>
          <w:ilvl w:val="3"/>
          <w:numId w:val="9"/>
        </w:numPr>
        <w:tabs>
          <w:tab w:val="clear" w:pos="708"/>
          <w:tab w:val="left" w:pos="540" w:leader="none"/>
        </w:tabs>
        <w:suppressAutoHyphens w:val="false"/>
        <w:spacing w:before="0" w:after="0"/>
        <w:ind w:left="0" w:firstLine="709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  <w:t>Отсутствие просроченной задолженности перед бюджетами всех уровней и внебюджетными фондами;</w:t>
      </w:r>
    </w:p>
    <w:p>
      <w:pPr>
        <w:pStyle w:val="BodyText"/>
        <w:numPr>
          <w:ilvl w:val="3"/>
          <w:numId w:val="9"/>
        </w:numPr>
        <w:tabs>
          <w:tab w:val="clear" w:pos="708"/>
          <w:tab w:val="left" w:pos="540" w:leader="none"/>
        </w:tabs>
        <w:suppressAutoHyphens w:val="false"/>
        <w:spacing w:before="0" w:after="0"/>
        <w:ind w:left="0" w:firstLine="709"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  <w:t>Отсутствие текущих судебных дел с контрагентами по заключенным договорам.</w:t>
      </w:r>
    </w:p>
    <w:p>
      <w:pPr>
        <w:pStyle w:val="ListParagraph"/>
        <w:widowControl w:val="false"/>
        <w:tabs>
          <w:tab w:val="clear" w:pos="708"/>
          <w:tab w:val="left" w:pos="426" w:leader="none"/>
        </w:tabs>
        <w:ind w:left="709" w:hanging="0"/>
        <w:jc w:val="both"/>
        <w:rPr/>
      </w:pPr>
      <w:r>
        <w:rPr/>
      </w:r>
    </w:p>
    <w:p>
      <w:pPr>
        <w:pStyle w:val="Heading4"/>
        <w:numPr>
          <w:ilvl w:val="1"/>
          <w:numId w:val="3"/>
        </w:numPr>
        <w:spacing w:before="0" w:after="0"/>
        <w:ind w:left="0" w:firstLine="709"/>
        <w:rPr>
          <w:rStyle w:val="Style8"/>
          <w:b/>
          <w:lang w:val="ru-RU"/>
        </w:rPr>
      </w:pPr>
      <w:bookmarkStart w:id="17" w:name="_Toc187840016"/>
      <w:bookmarkStart w:id="18" w:name="_Toc75446572"/>
      <w:bookmarkStart w:id="19" w:name="_Hlk48209761"/>
      <w:bookmarkEnd w:id="19"/>
      <w:r>
        <w:rPr/>
        <w:t>Иные требования и сведения общего характера</w:t>
      </w:r>
      <w:bookmarkEnd w:id="18"/>
      <w:r>
        <w:rPr>
          <w:lang w:val="ru-RU"/>
        </w:rPr>
        <w:t>:</w:t>
      </w:r>
      <w:bookmarkEnd w:id="17"/>
    </w:p>
    <w:p>
      <w:pPr>
        <w:pStyle w:val="ListParagraph"/>
        <w:numPr>
          <w:ilvl w:val="0"/>
          <w:numId w:val="10"/>
        </w:numPr>
        <w:ind w:left="0" w:firstLine="709"/>
        <w:jc w:val="both"/>
        <w:rPr>
          <w:lang w:eastAsia="x-none"/>
        </w:rPr>
      </w:pPr>
      <w:r>
        <w:rPr>
          <w:lang w:eastAsia="x-none"/>
        </w:rPr>
        <w:t xml:space="preserve">Продукция должна быть новой и ранее не использованной; </w:t>
      </w:r>
    </w:p>
    <w:p>
      <w:pPr>
        <w:pStyle w:val="ListParagraph"/>
        <w:numPr>
          <w:ilvl w:val="0"/>
          <w:numId w:val="10"/>
        </w:numPr>
        <w:ind w:left="0" w:firstLine="709"/>
        <w:jc w:val="both"/>
        <w:rPr>
          <w:lang w:eastAsia="x-none"/>
        </w:rPr>
      </w:pPr>
      <w:r>
        <w:rPr>
          <w:lang w:eastAsia="x-none"/>
        </w:rPr>
        <w:t>Предусмотреть заправку топливом по карточке на АЗС (дизельное топливо ЕВРО) в суточных потребностях в пределах 10 км от места нахождения Заказчика;</w:t>
      </w:r>
    </w:p>
    <w:p>
      <w:pPr>
        <w:pStyle w:val="ListParagraph"/>
        <w:numPr>
          <w:ilvl w:val="0"/>
          <w:numId w:val="10"/>
        </w:numPr>
        <w:ind w:left="0" w:firstLine="709"/>
        <w:jc w:val="both"/>
        <w:rPr>
          <w:lang w:eastAsia="x-none"/>
        </w:rPr>
      </w:pPr>
      <w:r>
        <w:rPr>
          <w:lang w:eastAsia="x-none"/>
        </w:rPr>
        <w:t xml:space="preserve">Доставка продукции осуществляется автотранспортом Поставщика, продукция должна быть поставлена в упаковке в соответствии с ГОСТ и ТУ, обеспечивающее сохранность ее во время транспортировки и хранения; </w:t>
      </w:r>
    </w:p>
    <w:p>
      <w:pPr>
        <w:pStyle w:val="ListParagraph"/>
        <w:numPr>
          <w:ilvl w:val="0"/>
          <w:numId w:val="10"/>
        </w:numPr>
        <w:tabs>
          <w:tab w:val="clear" w:pos="708"/>
          <w:tab w:val="left" w:pos="284" w:leader="none"/>
        </w:tabs>
        <w:ind w:left="0" w:firstLine="709"/>
        <w:jc w:val="both"/>
        <w:rPr>
          <w:lang w:eastAsia="x-none"/>
        </w:rPr>
      </w:pPr>
      <w:r>
        <w:rPr>
          <w:lang w:eastAsia="x-none"/>
        </w:rPr>
        <w:t>Цена продукции должна быть указана с учетом затрат на транспортировку, страхование, уплату налогов, таможенных пошлин, сборов и других обязательных платежей;</w:t>
      </w:r>
    </w:p>
    <w:p>
      <w:pPr>
        <w:pStyle w:val="ListParagraph"/>
        <w:numPr>
          <w:ilvl w:val="0"/>
          <w:numId w:val="10"/>
        </w:numPr>
        <w:ind w:left="0" w:firstLine="709"/>
        <w:jc w:val="both"/>
        <w:rPr>
          <w:lang w:eastAsia="x-none"/>
        </w:rPr>
      </w:pPr>
      <w:r>
        <w:rPr>
          <w:lang w:eastAsia="x-none"/>
        </w:rPr>
        <w:t>Оплата по Договору производится Покупателем в течении 20 (двадцати) календарных дней, путем перечисления аванса в размере 100% от стоимости Договора на основании счета, выставленного Поставщиком.</w:t>
      </w:r>
    </w:p>
    <w:p>
      <w:pPr>
        <w:pStyle w:val="Normal"/>
        <w:ind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keepLines/>
        <w:numPr>
          <w:ilvl w:val="0"/>
          <w:numId w:val="3"/>
        </w:numPr>
        <w:spacing w:before="0" w:after="0"/>
        <w:ind w:left="0" w:firstLine="709"/>
        <w:jc w:val="center"/>
        <w:rPr>
          <w:iCs/>
          <w:caps/>
          <w:lang w:val="ru-RU"/>
        </w:rPr>
      </w:pPr>
      <w:bookmarkStart w:id="20" w:name="_Toc187840017"/>
      <w:bookmarkStart w:id="21" w:name="_Toc51339693"/>
      <w:r>
        <w:rPr>
          <w:iCs/>
        </w:rPr>
        <w:t>Требования к продукции</w:t>
      </w:r>
      <w:bookmarkEnd w:id="20"/>
      <w:bookmarkEnd w:id="21"/>
    </w:p>
    <w:p>
      <w:pPr>
        <w:pStyle w:val="Heading4"/>
        <w:numPr>
          <w:ilvl w:val="1"/>
          <w:numId w:val="3"/>
        </w:numPr>
        <w:spacing w:before="0" w:after="0"/>
        <w:ind w:left="0" w:firstLine="709"/>
        <w:rPr/>
      </w:pPr>
      <w:bookmarkStart w:id="22" w:name="_Toc187840018"/>
      <w:r>
        <w:rPr/>
        <w:t xml:space="preserve">Требования к объемам и срокам </w:t>
      </w:r>
      <w:r>
        <w:rPr>
          <w:lang w:val="ru-RU"/>
        </w:rPr>
        <w:t>поставки.</w:t>
      </w:r>
      <w:bookmarkEnd w:id="22"/>
    </w:p>
    <w:p>
      <w:pPr>
        <w:pStyle w:val="Heading3"/>
        <w:numPr>
          <w:ilvl w:val="2"/>
          <w:numId w:val="3"/>
        </w:numPr>
        <w:spacing w:before="0" w:after="0"/>
        <w:ind w:left="0" w:firstLine="709"/>
        <w:rPr>
          <w:lang w:val="ru-RU"/>
        </w:rPr>
      </w:pPr>
      <w:bookmarkStart w:id="23" w:name="_Toc187840019"/>
      <w:r>
        <w:rPr>
          <w:lang w:val="ru-RU"/>
        </w:rPr>
        <w:t>Перечень и объем закупаемой продукции.</w:t>
      </w:r>
      <w:bookmarkEnd w:id="23"/>
    </w:p>
    <w:p>
      <w:pPr>
        <w:pStyle w:val="ListParagraph"/>
        <w:numPr>
          <w:ilvl w:val="3"/>
          <w:numId w:val="7"/>
        </w:numPr>
        <w:ind w:left="0" w:firstLine="709"/>
        <w:jc w:val="both"/>
        <w:rPr>
          <w:lang w:eastAsia="x-none"/>
        </w:rPr>
      </w:pPr>
      <w:r>
        <w:rPr>
          <w:lang w:eastAsia="x-none"/>
        </w:rPr>
        <w:t>Поставка продукции осуществляется в соответствие с Заявкой Заказчика, определяющей потребность Филиала в продукции.</w:t>
      </w:r>
    </w:p>
    <w:p>
      <w:pPr>
        <w:pStyle w:val="ListParagraph"/>
        <w:numPr>
          <w:ilvl w:val="3"/>
          <w:numId w:val="7"/>
        </w:numPr>
        <w:ind w:left="0" w:firstLine="709"/>
        <w:jc w:val="both"/>
        <w:rPr>
          <w:lang w:eastAsia="x-none"/>
        </w:rPr>
      </w:pPr>
      <w:r>
        <w:rPr>
          <w:lang w:eastAsia="x-none"/>
        </w:rPr>
        <w:t>Предварительный перечень поставляемой Продукции представлен в прилагаемой таблице (Таблица №1). Данный перечень является условным, для определения стоимостной оценки предложений участников.</w:t>
      </w:r>
    </w:p>
    <w:p>
      <w:pPr>
        <w:pStyle w:val="ListParagraph"/>
        <w:jc w:val="both"/>
        <w:rPr>
          <w:lang w:eastAsia="x-none"/>
        </w:rPr>
      </w:pPr>
      <w:r>
        <w:rPr>
          <w:lang w:eastAsia="x-none"/>
        </w:rPr>
      </w:r>
    </w:p>
    <w:p>
      <w:pPr>
        <w:pStyle w:val="ListParagraph"/>
        <w:jc w:val="both"/>
        <w:rPr>
          <w:lang w:eastAsia="x-none"/>
        </w:rPr>
      </w:pPr>
      <w:r>
        <w:rPr>
          <w:lang w:eastAsia="x-none"/>
        </w:rPr>
      </w:r>
    </w:p>
    <w:p>
      <w:pPr>
        <w:pStyle w:val="Heading1"/>
        <w:keepLines/>
        <w:tabs>
          <w:tab w:val="clear" w:pos="0"/>
        </w:tabs>
        <w:spacing w:before="0" w:after="0"/>
        <w:ind w:left="0" w:firstLine="709"/>
        <w:jc w:val="right"/>
        <w:rPr>
          <w:rFonts w:eastAsia="Times New Roman"/>
          <w:b w:val="false"/>
          <w:sz w:val="24"/>
          <w:szCs w:val="24"/>
          <w:lang w:val="ru-RU"/>
        </w:rPr>
      </w:pPr>
      <w:r>
        <w:rPr>
          <w:rFonts w:eastAsia="Times New Roman"/>
          <w:b w:val="false"/>
          <w:sz w:val="24"/>
          <w:szCs w:val="24"/>
          <w:lang w:val="ru-RU"/>
        </w:rPr>
      </w:r>
    </w:p>
    <w:p>
      <w:pPr>
        <w:pStyle w:val="Normal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keepLines/>
        <w:tabs>
          <w:tab w:val="clear" w:pos="0"/>
        </w:tabs>
        <w:spacing w:before="0" w:after="0"/>
        <w:ind w:left="709" w:hanging="0"/>
        <w:jc w:val="center"/>
        <w:rPr>
          <w:sz w:val="24"/>
          <w:szCs w:val="24"/>
        </w:rPr>
      </w:pPr>
      <w:bookmarkStart w:id="24" w:name="_Toc187840020"/>
      <w:bookmarkStart w:id="25" w:name="_Toc51339695"/>
      <w:r>
        <w:rPr>
          <w:sz w:val="24"/>
          <w:szCs w:val="24"/>
        </w:rPr>
        <w:t xml:space="preserve">Таблица 1 Перечень </w:t>
      </w:r>
      <w:bookmarkEnd w:id="25"/>
      <w:r>
        <w:rPr>
          <w:sz w:val="24"/>
          <w:szCs w:val="24"/>
        </w:rPr>
        <w:t>и объем закупаемой продукции:</w:t>
      </w:r>
      <w:bookmarkEnd w:id="24"/>
    </w:p>
    <w:tbl>
      <w:tblPr>
        <w:tblW w:w="995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47"/>
        <w:gridCol w:w="6271"/>
        <w:gridCol w:w="1416"/>
        <w:gridCol w:w="1418"/>
      </w:tblGrid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173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left="0" w:hanging="360"/>
              <w:jc w:val="center"/>
              <w:rPr/>
            </w:pPr>
            <w:r>
              <w:rPr/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spacing w:lineRule="atLeast" w:line="10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Дизельное топливо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spacing w:lineRule="atLeast" w:line="10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л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spacing w:lineRule="atLeast" w:line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rPr>
          <w:bCs/>
          <w:i/>
          <w:i/>
          <w:sz w:val="16"/>
          <w:szCs w:val="16"/>
          <w:shd w:fill="FFFF99" w:val="clear"/>
        </w:rPr>
      </w:pPr>
      <w:r>
        <w:rPr>
          <w:bCs/>
          <w:i/>
          <w:sz w:val="16"/>
          <w:szCs w:val="16"/>
          <w:shd w:fill="FFFF99" w:val="clear"/>
        </w:rPr>
      </w:r>
    </w:p>
    <w:p>
      <w:pPr>
        <w:pStyle w:val="Heading3"/>
        <w:numPr>
          <w:ilvl w:val="0"/>
          <w:numId w:val="0"/>
        </w:numPr>
        <w:tabs>
          <w:tab w:val="clear" w:pos="0"/>
          <w:tab w:val="left" w:pos="851" w:leader="none"/>
        </w:tabs>
        <w:spacing w:before="0" w:after="0"/>
        <w:ind w:left="709" w:hanging="0"/>
        <w:rPr>
          <w:lang w:val="ru-RU"/>
        </w:rPr>
      </w:pPr>
      <w:r>
        <w:rPr>
          <w:sz w:val="24"/>
          <w:szCs w:val="24"/>
        </w:rPr>
      </w:r>
      <w:bookmarkStart w:id="26" w:name="_Toc46743510"/>
      <w:bookmarkStart w:id="27" w:name="_Toc46743510"/>
      <w:bookmarkEnd w:id="27"/>
    </w:p>
    <w:p>
      <w:pPr>
        <w:pStyle w:val="Heading4"/>
        <w:numPr>
          <w:ilvl w:val="1"/>
          <w:numId w:val="3"/>
        </w:numPr>
        <w:spacing w:before="0" w:after="0"/>
        <w:ind w:left="709" w:hanging="0"/>
        <w:rPr/>
      </w:pPr>
      <w:bookmarkStart w:id="28" w:name="_Toc187840023"/>
      <w:bookmarkStart w:id="29" w:name="_Toc46743511"/>
      <w:r>
        <w:rPr/>
        <w:t xml:space="preserve">Требования к </w:t>
      </w:r>
      <w:bookmarkEnd w:id="29"/>
      <w:r>
        <w:rPr/>
        <w:t>качеству продукции</w:t>
      </w:r>
      <w:bookmarkEnd w:id="28"/>
    </w:p>
    <w:p>
      <w:pPr>
        <w:pStyle w:val="ListParagraph"/>
        <w:numPr>
          <w:ilvl w:val="3"/>
          <w:numId w:val="7"/>
        </w:numPr>
        <w:ind w:left="0" w:firstLine="709"/>
        <w:jc w:val="both"/>
        <w:rPr/>
      </w:pPr>
      <w:r>
        <w:rPr/>
        <w:t>Вся поставляемая продукция должна соответствовать требованиям ГОСТов, ТУ, указанных в настоящих ТТ, и иметь сертификаты соответствия государственных органов (Система сертификации ГОСТ Госстандарт России) и, если это дополнительно указано в настоящих ТТ, сертификаты соответствия, выданные отраслевыми органами сертификации.</w:t>
      </w:r>
    </w:p>
    <w:p>
      <w:pPr>
        <w:pStyle w:val="ListParagraph"/>
        <w:numPr>
          <w:ilvl w:val="3"/>
          <w:numId w:val="7"/>
        </w:numPr>
        <w:ind w:left="0" w:firstLine="709"/>
        <w:jc w:val="both"/>
        <w:rPr/>
      </w:pPr>
      <w:r>
        <w:rPr/>
        <w:t>Продукция должна соответствовать государственным санитарно-эпидемиологическим заключениям.</w:t>
      </w:r>
    </w:p>
    <w:p>
      <w:pPr>
        <w:pStyle w:val="ListParagraph"/>
        <w:numPr>
          <w:ilvl w:val="3"/>
          <w:numId w:val="7"/>
        </w:numPr>
        <w:ind w:left="0" w:firstLine="709"/>
        <w:jc w:val="both"/>
        <w:rPr/>
      </w:pPr>
      <w:r>
        <w:rPr/>
        <w:t>Наличие сертификатов соответствия и санитарно-эпидемиологическое заключение на предоставляемую продукцию обязательно.</w:t>
      </w:r>
    </w:p>
    <w:p>
      <w:pPr>
        <w:pStyle w:val="ListParagraph"/>
        <w:numPr>
          <w:ilvl w:val="3"/>
          <w:numId w:val="7"/>
        </w:numPr>
        <w:ind w:left="0" w:firstLine="709"/>
        <w:jc w:val="both"/>
        <w:rPr/>
      </w:pPr>
      <w:r>
        <w:rPr/>
        <w:t>Продукция без документов не принимается, ответственность за его сохранность Заказчик не несет.</w:t>
      </w:r>
    </w:p>
    <w:p>
      <w:pPr>
        <w:pStyle w:val="ListParagraph"/>
        <w:numPr>
          <w:ilvl w:val="3"/>
          <w:numId w:val="7"/>
        </w:numPr>
        <w:ind w:left="0" w:firstLine="709"/>
        <w:jc w:val="both"/>
        <w:rPr/>
      </w:pPr>
      <w:r>
        <w:rPr/>
        <w:t>Качество поставляемой продукции, его производители должны соответствовать качеству и списку производителей, заявленных Поставщиком в технических требованиях.</w:t>
      </w:r>
    </w:p>
    <w:p>
      <w:pPr>
        <w:pStyle w:val="ListParagraph"/>
        <w:numPr>
          <w:ilvl w:val="3"/>
          <w:numId w:val="7"/>
        </w:numPr>
        <w:ind w:left="0" w:firstLine="709"/>
        <w:jc w:val="both"/>
        <w:rPr/>
      </w:pPr>
      <w:r>
        <w:rPr/>
        <w:t>Упаковка продукции должна обеспечивать его сохранность при транспортировке и хранении.</w:t>
      </w:r>
    </w:p>
    <w:p>
      <w:pPr>
        <w:pStyle w:val="ListParagraph"/>
        <w:numPr>
          <w:ilvl w:val="3"/>
          <w:numId w:val="7"/>
        </w:numPr>
        <w:ind w:left="0" w:firstLine="709"/>
        <w:jc w:val="both"/>
        <w:rPr/>
      </w:pPr>
      <w:r>
        <w:rPr/>
        <w:t>Срок гарантии поставщика не менее одного года с момента поставки. Срок гарантии производителя не менее одного года.</w:t>
      </w:r>
    </w:p>
    <w:p>
      <w:pPr>
        <w:pStyle w:val="ListParagraph"/>
        <w:numPr>
          <w:ilvl w:val="3"/>
          <w:numId w:val="7"/>
        </w:numPr>
        <w:ind w:left="0" w:firstLine="709"/>
        <w:jc w:val="both"/>
        <w:rPr/>
      </w:pPr>
      <w:r>
        <w:rPr/>
        <w:t>Год выпуска продукции 4 кв. 2025 – 1 кв. 2026 года.</w:t>
      </w:r>
    </w:p>
    <w:p>
      <w:pPr>
        <w:pStyle w:val="Normal"/>
        <w:ind w:left="709" w:hanging="0"/>
        <w:rPr/>
      </w:pPr>
      <w:r>
        <w:rPr/>
      </w:r>
    </w:p>
    <w:p>
      <w:pPr>
        <w:pStyle w:val="Heading4"/>
        <w:numPr>
          <w:ilvl w:val="1"/>
          <w:numId w:val="3"/>
        </w:numPr>
        <w:spacing w:before="0" w:after="0"/>
        <w:ind w:left="709" w:hanging="0"/>
        <w:rPr/>
      </w:pPr>
      <w:bookmarkStart w:id="30" w:name="_Toc187840024"/>
      <w:r>
        <w:rPr/>
        <w:t>Требования к цене продукции</w:t>
      </w:r>
      <w:bookmarkEnd w:id="30"/>
    </w:p>
    <w:p>
      <w:pPr>
        <w:pStyle w:val="ListParagraph"/>
        <w:numPr>
          <w:ilvl w:val="0"/>
          <w:numId w:val="8"/>
        </w:numPr>
        <w:ind w:left="0" w:firstLine="709"/>
        <w:jc w:val="both"/>
        <w:rPr/>
      </w:pPr>
      <w:r>
        <w:rPr/>
        <w:t xml:space="preserve">Цена поставляемой продукции не может быть выше, чем заявленная в не регламентированной закупке. </w:t>
      </w:r>
    </w:p>
    <w:p>
      <w:pPr>
        <w:pStyle w:val="ListParagraph"/>
        <w:numPr>
          <w:ilvl w:val="0"/>
          <w:numId w:val="8"/>
        </w:numPr>
        <w:ind w:left="0" w:firstLine="709"/>
        <w:jc w:val="both"/>
        <w:rPr/>
      </w:pPr>
      <w:r>
        <w:rPr/>
        <w:t>Цена предлагаемой Продукции должна быть указана с учетом затрат на транспортировку, страхование, уплату налогов, таможенных пошлин, сборов и других обязательных платежей и соответствовать средне рыночной стоимости продукции по региону.</w:t>
      </w:r>
    </w:p>
    <w:p>
      <w:pPr>
        <w:pStyle w:val="ListParagraph"/>
        <w:ind w:left="709" w:hanging="0"/>
        <w:jc w:val="both"/>
        <w:rPr/>
      </w:pPr>
      <w:r>
        <w:rPr/>
      </w:r>
    </w:p>
    <w:p>
      <w:pPr>
        <w:pStyle w:val="Heading4"/>
        <w:numPr>
          <w:ilvl w:val="1"/>
          <w:numId w:val="3"/>
        </w:numPr>
        <w:spacing w:before="0" w:after="0"/>
        <w:ind w:left="709" w:hanging="0"/>
        <w:rPr/>
      </w:pPr>
      <w:bookmarkStart w:id="31" w:name="_Toc187840025"/>
      <w:r>
        <w:rPr/>
        <w:t>Требования к доставке продукции</w:t>
      </w:r>
      <w:bookmarkEnd w:id="31"/>
    </w:p>
    <w:p>
      <w:pPr>
        <w:pStyle w:val="ListParagraph"/>
        <w:ind w:left="0" w:firstLine="426"/>
        <w:jc w:val="both"/>
        <w:rPr/>
      </w:pPr>
      <w:r>
        <w:rPr/>
        <w:t xml:space="preserve">Доставка Продукции до склада Заказчика в объеме и на сумму, указанную в заявке Заказчика, осуществляется по адресу: 369244, Карачаево-Черкесская Республика, Карачаевский район, пос. Правокубанский, Филиал «ПАО РусГидро» - «Карачаево-Черкесский филиал».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BodyText"/>
        <w:tabs>
          <w:tab w:val="clear" w:pos="708"/>
          <w:tab w:val="left" w:pos="3686" w:leader="none"/>
        </w:tabs>
        <w:ind w:firstLine="426"/>
        <w:rPr>
          <w:sz w:val="24"/>
          <w:szCs w:val="22"/>
        </w:rPr>
      </w:pPr>
      <w:r>
        <w:rPr>
          <w:sz w:val="24"/>
          <w:szCs w:val="22"/>
        </w:rPr>
      </w:r>
    </w:p>
    <w:p>
      <w:pPr>
        <w:pStyle w:val="Normal"/>
        <w:rPr>
          <w:bCs/>
        </w:rPr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283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d140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basedOn w:val="DefaultParagraphFont"/>
    <w:uiPriority w:val="99"/>
    <w:unhideWhenUsed/>
    <w:rsid w:val="003b57ab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214pt" w:customStyle="1">
    <w:name w:val="Заголовок №2 + 14 pt"/>
    <w:uiPriority w:val="99"/>
    <w:qFormat/>
    <w:rsid w:val="00fb79a2"/>
    <w:rPr>
      <w:rFonts w:ascii="Times New Roman" w:hAnsi="Times New Roman" w:cs="Times New Roman"/>
      <w:b/>
      <w:bCs/>
      <w:spacing w:val="8"/>
      <w:sz w:val="28"/>
      <w:szCs w:val="28"/>
      <w:u w:val="none"/>
    </w:rPr>
  </w:style>
  <w:style w:type="character" w:styleId="14" w:customStyle="1">
    <w:name w:val="Основной текст Знак1"/>
    <w:uiPriority w:val="99"/>
    <w:qFormat/>
    <w:locked/>
    <w:rsid w:val="00ea50bc"/>
    <w:rPr>
      <w:rFonts w:ascii="Times New Roman" w:hAnsi="Times New Roman" w:cs="Times New Roman"/>
      <w:spacing w:val="4"/>
      <w:sz w:val="25"/>
      <w:szCs w:val="25"/>
      <w:u w:val="none"/>
    </w:rPr>
  </w:style>
  <w:style w:type="character" w:styleId="Style14" w:customStyle="1">
    <w:name w:val="Ссылка указателя"/>
    <w:qFormat/>
    <w:rPr/>
  </w:style>
  <w:style w:type="character" w:styleId="Exact" w:customStyle="1">
    <w:name w:val="Основной текст Exact"/>
    <w:uiPriority w:val="99"/>
    <w:qFormat/>
    <w:rsid w:val="00b266b0"/>
    <w:rPr>
      <w:rFonts w:ascii="Arial" w:hAnsi="Arial" w:cs="Arial"/>
      <w:spacing w:val="12"/>
      <w:sz w:val="33"/>
      <w:szCs w:val="33"/>
      <w:u w:val="none"/>
    </w:rPr>
  </w:style>
  <w:style w:type="character" w:styleId="Exact1" w:customStyle="1">
    <w:name w:val="Основной текст Exact1"/>
    <w:uiPriority w:val="99"/>
    <w:qFormat/>
    <w:rsid w:val="00b266b0"/>
    <w:rPr>
      <w:rFonts w:ascii="Arial" w:hAnsi="Arial" w:cs="Arial"/>
      <w:color w:val="000000"/>
      <w:spacing w:val="12"/>
      <w:w w:val="100"/>
      <w:sz w:val="33"/>
      <w:szCs w:val="33"/>
      <w:u w:val="single"/>
    </w:rPr>
  </w:style>
  <w:style w:type="character" w:styleId="Exact2" w:customStyle="1">
    <w:name w:val="Подпись к картинке Exact"/>
    <w:link w:val="Style34"/>
    <w:uiPriority w:val="99"/>
    <w:qFormat/>
    <w:rsid w:val="00b266b0"/>
    <w:rPr>
      <w:rFonts w:ascii="Arial" w:hAnsi="Arial" w:cs="Arial"/>
      <w:spacing w:val="12"/>
      <w:sz w:val="33"/>
      <w:szCs w:val="33"/>
      <w:shd w:fill="FFFFFF" w:val="clear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next w:val="Normal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" w:customStyle="1">
    <w:name w:val="index heading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8370ac"/>
    <w:pPr>
      <w:tabs>
        <w:tab w:val="clear" w:pos="708"/>
        <w:tab w:val="left" w:pos="1120" w:leader="none"/>
        <w:tab w:val="right" w:pos="9911" w:leader="dot"/>
      </w:tabs>
      <w:ind w:left="426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Подпись к картинке"/>
    <w:basedOn w:val="Normal"/>
    <w:link w:val="Exact2"/>
    <w:uiPriority w:val="99"/>
    <w:qFormat/>
    <w:rsid w:val="00b266b0"/>
    <w:pPr>
      <w:widowControl w:val="false"/>
      <w:shd w:val="clear" w:color="auto" w:fill="FFFFFF"/>
      <w:suppressAutoHyphens w:val="false"/>
      <w:spacing w:lineRule="atLeast" w:line="240"/>
    </w:pPr>
    <w:rPr>
      <w:rFonts w:ascii="Arial" w:hAnsi="Arial" w:cs="Arial"/>
      <w:spacing w:val="12"/>
      <w:sz w:val="33"/>
      <w:szCs w:val="33"/>
    </w:rPr>
  </w:style>
  <w:style w:type="paragraph" w:styleId="Standard" w:customStyle="1">
    <w:name w:val="Standard"/>
    <w:qFormat/>
    <w:rsid w:val="00da3cdd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8"/>
      <w:szCs w:val="20"/>
      <w:lang w:val="ru-RU" w:eastAsia="zh-CN" w:bidi="ar-SA"/>
    </w:rPr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Style37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9C555-69D8-4B0C-9293-1ECDAD2A0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AlterOffice/3.4.0.9$Linux_X86_64 LibreOffice_project/b8daf9e823b1a5463a2f48435ddc2e8696e7d4fc</Application>
  <AppVersion>15.0000</AppVersion>
  <Pages>5</Pages>
  <Words>748</Words>
  <Characters>5026</Characters>
  <CharactersWithSpaces>5658</CharactersWithSpaces>
  <Paragraphs>89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2026-01-15T11:42:00Z</dcterms:created>
  <dc:creator>Быстров Олег Геннадьевич</dc:creator>
  <dc:description/>
  <dc:language>ru-RU</dc:language>
  <cp:lastModifiedBy>zabelkinans@corp.gidroogk.com</cp:lastModifiedBy>
  <cp:lastPrinted>2024-02-27T08:40:00Z</cp:lastPrinted>
  <dcterms:modified xsi:type="dcterms:W3CDTF">2026-08-03T13:34:02Z</dcterms:modified>
  <cp:revision>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