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</w:p>
    <w:p>
      <w:pPr>
        <w:sectPr>
          <w:headerReference w:type="even" r:id="rId2"/>
          <w:headerReference w:type="default" r:id="rId3"/>
          <w:type w:val="nextPage"/>
          <w:pgSz w:orient="landscape" w:w="16838" w:h="11906"/>
          <w:pgMar w:left="1418" w:right="1103" w:gutter="0" w:header="680" w:top="1134" w:footer="0" w:bottom="567"/>
          <w:pgNumType w:fmt="decimal"/>
          <w:formProt w:val="false"/>
          <w:textDirection w:val="lrTb"/>
          <w:docGrid w:type="default" w:linePitch="381" w:charSpace="0"/>
        </w:sect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center"/>
        <w:rPr>
          <w:shd w:fill="FFFF00" w:val="clear"/>
        </w:rPr>
      </w:pPr>
      <w:r>
        <w:rPr>
          <w:b/>
          <w:i/>
          <w:sz w:val="22"/>
          <w:szCs w:val="22"/>
          <w:shd w:fill="FFFF00" w:val="clear"/>
        </w:rPr>
        <w:t xml:space="preserve">Поставка птицезащитных устройств  для нужд филиала АО «ДРСК» </w:t>
      </w:r>
      <w:r>
        <w:rPr>
          <w:b/>
          <w:i/>
          <w:sz w:val="22"/>
          <w:szCs w:val="22"/>
        </w:rPr>
        <w:t>«Хабаровские электрические сети»</w:t>
      </w:r>
    </w:p>
    <w:p>
      <w:pPr>
        <w:pStyle w:val="Heading1"/>
        <w:keepLines/>
        <w:numPr>
          <w:ilvl w:val="0"/>
          <w:numId w:val="1"/>
        </w:numPr>
        <w:spacing w:before="120" w:after="0"/>
        <w:ind w:left="357" w:hanging="357"/>
        <w:jc w:val="center"/>
        <w:rPr>
          <w:caps/>
          <w:sz w:val="22"/>
          <w:szCs w:val="22"/>
          <w:lang w:val="ru-RU"/>
        </w:rPr>
      </w:pPr>
      <w:bookmarkStart w:id="0" w:name="_Toc51339692"/>
      <w:bookmarkStart w:id="1" w:name="_Toc75446566"/>
      <w:bookmarkEnd w:id="0"/>
      <w:bookmarkEnd w:id="1"/>
      <w:r>
        <w:rPr>
          <w:sz w:val="22"/>
          <w:szCs w:val="22"/>
          <w:lang w:val="ru-RU"/>
        </w:rPr>
        <w:t>Общие сведения</w:t>
      </w:r>
    </w:p>
    <w:p>
      <w:pPr>
        <w:pStyle w:val="Heading4"/>
        <w:numPr>
          <w:ilvl w:val="1"/>
          <w:numId w:val="1"/>
        </w:numPr>
        <w:spacing w:before="120" w:after="0"/>
        <w:rPr>
          <w:sz w:val="22"/>
          <w:szCs w:val="22"/>
        </w:rPr>
      </w:pPr>
      <w:bookmarkStart w:id="2" w:name="_Toc46743506"/>
      <w:bookmarkStart w:id="3" w:name="_Toc75446568"/>
      <w:bookmarkEnd w:id="2"/>
      <w:bookmarkEnd w:id="3"/>
      <w:r>
        <w:rPr>
          <w:sz w:val="22"/>
          <w:szCs w:val="22"/>
        </w:rPr>
        <w:t>Наименование закупаемой продукции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both"/>
        <w:rPr/>
      </w:pPr>
      <w:r>
        <w:rPr>
          <w:b/>
          <w:i/>
          <w:sz w:val="22"/>
          <w:szCs w:val="22"/>
        </w:rPr>
        <w:t>Птицезащитные устройства</w:t>
      </w:r>
    </w:p>
    <w:p>
      <w:pPr>
        <w:pStyle w:val="Heading1"/>
        <w:keepLines/>
        <w:numPr>
          <w:ilvl w:val="0"/>
          <w:numId w:val="1"/>
        </w:numPr>
        <w:spacing w:before="120" w:after="0"/>
        <w:ind w:left="357" w:hanging="357"/>
        <w:jc w:val="center"/>
        <w:rPr>
          <w:iCs/>
          <w:caps/>
          <w:sz w:val="22"/>
          <w:szCs w:val="22"/>
          <w:lang w:val="ru-RU"/>
        </w:rPr>
      </w:pPr>
      <w:bookmarkStart w:id="4" w:name="_Toc51339693"/>
      <w:bookmarkStart w:id="5" w:name="_Toc75446573"/>
      <w:bookmarkStart w:id="6" w:name="_Toc50125126"/>
      <w:bookmarkStart w:id="7" w:name="_Toc46743510"/>
      <w:bookmarkEnd w:id="4"/>
      <w:bookmarkEnd w:id="5"/>
      <w:bookmarkEnd w:id="6"/>
      <w:bookmarkEnd w:id="7"/>
      <w:r>
        <w:rPr>
          <w:iCs/>
          <w:sz w:val="22"/>
          <w:szCs w:val="22"/>
        </w:rPr>
        <w:t>Требования к продукции</w:t>
      </w:r>
    </w:p>
    <w:p>
      <w:pPr>
        <w:pStyle w:val="Heading4"/>
        <w:numPr>
          <w:ilvl w:val="1"/>
          <w:numId w:val="1"/>
        </w:numPr>
        <w:spacing w:before="120" w:after="0"/>
        <w:rPr>
          <w:sz w:val="22"/>
          <w:szCs w:val="22"/>
        </w:rPr>
      </w:pPr>
      <w:bookmarkStart w:id="8" w:name="_Toc75446574"/>
      <w:r>
        <w:rPr>
          <w:sz w:val="22"/>
          <w:szCs w:val="22"/>
        </w:rPr>
        <w:t xml:space="preserve">Требования к объемам и срокам </w:t>
      </w:r>
      <w:bookmarkEnd w:id="8"/>
      <w:r>
        <w:rPr>
          <w:sz w:val="22"/>
          <w:szCs w:val="22"/>
          <w:lang w:val="ru-RU"/>
        </w:rPr>
        <w:t>поставки</w:t>
      </w:r>
    </w:p>
    <w:p>
      <w:pPr>
        <w:pStyle w:val="Heading3"/>
        <w:numPr>
          <w:ilvl w:val="2"/>
          <w:numId w:val="1"/>
        </w:numPr>
        <w:spacing w:before="120" w:after="0"/>
        <w:rPr>
          <w:sz w:val="22"/>
          <w:szCs w:val="22"/>
        </w:rPr>
      </w:pPr>
      <w:bookmarkStart w:id="9" w:name="_Toc75446575"/>
      <w:bookmarkEnd w:id="9"/>
      <w:r>
        <w:rPr>
          <w:sz w:val="22"/>
          <w:szCs w:val="22"/>
          <w:lang w:val="ru-RU"/>
        </w:rPr>
        <w:t>Перечень и объем закупаемой продукции</w:t>
      </w:r>
    </w:p>
    <w:p>
      <w:pPr>
        <w:pStyle w:val="Heading1"/>
        <w:keepLines/>
        <w:spacing w:before="240" w:after="0"/>
        <w:rPr>
          <w:sz w:val="22"/>
          <w:szCs w:val="22"/>
          <w:lang w:val="ru-RU"/>
        </w:rPr>
      </w:pPr>
      <w:bookmarkStart w:id="10" w:name="_Toc75446576"/>
      <w:bookmarkStart w:id="11" w:name="_Toc51339695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2.1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Перечень </w:t>
      </w:r>
      <w:bookmarkEnd w:id="10"/>
      <w:bookmarkEnd w:id="11"/>
      <w:r>
        <w:rPr>
          <w:sz w:val="22"/>
          <w:szCs w:val="22"/>
          <w:lang w:val="ru-RU"/>
        </w:rPr>
        <w:t>и объем закупаемой продукции</w:t>
      </w:r>
    </w:p>
    <w:tbl>
      <w:tblPr>
        <w:tblW w:w="14340" w:type="dxa"/>
        <w:jc w:val="left"/>
        <w:tblInd w:w="85" w:type="dxa"/>
        <w:tblLayout w:type="fixed"/>
        <w:tblCellMar>
          <w:top w:w="0" w:type="dxa"/>
          <w:left w:w="6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50"/>
        <w:gridCol w:w="11298"/>
        <w:gridCol w:w="1368"/>
        <w:gridCol w:w="1223"/>
      </w:tblGrid>
      <w:tr>
        <w:trPr/>
        <w:tc>
          <w:tcPr>
            <w:tcW w:w="4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38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Требование Заказчика</w:t>
            </w:r>
          </w:p>
        </w:tc>
      </w:tr>
      <w:tr>
        <w:trPr/>
        <w:tc>
          <w:tcPr>
            <w:tcW w:w="45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продукции</w:t>
            </w:r>
            <w:r>
              <w:rPr>
                <w:rStyle w:val="FootnoteReference"/>
                <w:b/>
                <w:sz w:val="22"/>
                <w:szCs w:val="22"/>
              </w:rPr>
              <w:footnoteReference w:customMarkFollows="1" w:id="2"/>
              <w:t>**</w:t>
            </w:r>
            <w:r>
              <w:rPr>
                <w:b/>
                <w:sz w:val="22"/>
                <w:szCs w:val="22"/>
              </w:rPr>
              <w:t>********</w:t>
            </w:r>
            <w:r>
              <w:rPr>
                <w:b/>
                <w:bCs/>
                <w:sz w:val="22"/>
                <w:szCs w:val="22"/>
              </w:rPr>
              <w:t>****************************************</w:t>
            </w:r>
          </w:p>
        </w:tc>
        <w:tc>
          <w:tcPr>
            <w:tcW w:w="1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Ед. измер.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Кол-во</w:t>
            </w:r>
          </w:p>
        </w:tc>
      </w:tr>
      <w:tr>
        <w:trPr/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>
        <w:trPr/>
        <w:tc>
          <w:tcPr>
            <w:tcW w:w="1433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Филиал АО «ДРСК» «Хабаровские электрические сети»</w:t>
            </w:r>
          </w:p>
        </w:tc>
      </w:tr>
      <w:tr>
        <w:trPr>
          <w:trHeight w:val="636" w:hRule="atLeast"/>
        </w:trPr>
        <w:tc>
          <w:tcPr>
            <w:tcW w:w="4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12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Антиприсадочное птицезащитное устройство АПЗУ 1-1М  </w:t>
            </w:r>
            <w:bookmarkStart w:id="12" w:name="_GoBack"/>
            <w:bookmarkEnd w:id="12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согласно </w:t>
            </w:r>
            <w:r>
              <w:rPr>
                <w:b/>
                <w:bCs/>
                <w:i/>
                <w:iCs/>
                <w:sz w:val="22"/>
                <w:szCs w:val="22"/>
              </w:rPr>
              <w:t>Приложению № 1 к техническим требованиям</w:t>
            </w:r>
          </w:p>
        </w:tc>
        <w:tc>
          <w:tcPr>
            <w:tcW w:w="13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2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</w:p>
        </w:tc>
      </w:tr>
      <w:tr>
        <w:trPr>
          <w:trHeight w:val="636" w:hRule="atLeast"/>
        </w:trPr>
        <w:tc>
          <w:tcPr>
            <w:tcW w:w="4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12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Антиприсадочное птицезащитное устройство барьерного типа АПЗУ БТ-3М 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согласно </w:t>
            </w:r>
            <w:r>
              <w:rPr>
                <w:b/>
                <w:bCs/>
                <w:i/>
                <w:iCs/>
                <w:sz w:val="22"/>
                <w:szCs w:val="22"/>
              </w:rPr>
              <w:t>Приложению № 1 к техническим требованиям</w:t>
            </w:r>
          </w:p>
        </w:tc>
        <w:tc>
          <w:tcPr>
            <w:tcW w:w="13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2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1471</w:t>
            </w:r>
          </w:p>
        </w:tc>
      </w:tr>
    </w:tbl>
    <w:p>
      <w:pPr>
        <w:pStyle w:val="Heading3"/>
        <w:numPr>
          <w:ilvl w:val="2"/>
          <w:numId w:val="1"/>
        </w:numPr>
        <w:spacing w:before="120" w:after="0"/>
        <w:rPr>
          <w:sz w:val="22"/>
          <w:szCs w:val="22"/>
          <w:lang w:val="ru-RU"/>
        </w:rPr>
      </w:pPr>
      <w:bookmarkStart w:id="13" w:name="_Toc75446578"/>
      <w:bookmarkStart w:id="14" w:name="_Toc51339696"/>
      <w:r>
        <w:rPr>
          <w:sz w:val="22"/>
          <w:szCs w:val="22"/>
          <w:lang w:val="ru-RU"/>
        </w:rPr>
        <w:t xml:space="preserve">Требования </w:t>
      </w:r>
      <w:bookmarkEnd w:id="13"/>
      <w:bookmarkEnd w:id="14"/>
      <w:r>
        <w:rPr>
          <w:sz w:val="22"/>
          <w:szCs w:val="22"/>
          <w:lang w:val="ru-RU"/>
        </w:rPr>
        <w:t xml:space="preserve">к срокам поставки продукции </w:t>
      </w:r>
    </w:p>
    <w:p>
      <w:pPr>
        <w:pStyle w:val="Heading1"/>
        <w:keepLines/>
        <w:spacing w:before="240" w:after="0"/>
        <w:rPr>
          <w:sz w:val="22"/>
          <w:szCs w:val="22"/>
          <w:lang w:val="ru-RU"/>
        </w:rPr>
      </w:pPr>
      <w:bookmarkStart w:id="15" w:name="_Toc75446579"/>
      <w:bookmarkStart w:id="16" w:name="_Toc50125127"/>
      <w:bookmarkStart w:id="17" w:name="_Toc51339697"/>
      <w:bookmarkStart w:id="18" w:name="_Toc50125126_Копия_1"/>
      <w:bookmarkEnd w:id="18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2</w:t>
      </w:r>
      <w:r>
        <w:rPr>
          <w:sz w:val="22"/>
          <w:szCs w:val="22"/>
        </w:rPr>
        <w:t>.</w:t>
      </w:r>
      <w:r>
        <w:rPr>
          <w:sz w:val="22"/>
          <w:szCs w:val="22"/>
          <w:lang w:val="ru-RU"/>
        </w:rPr>
        <w:t>1.2.</w:t>
      </w:r>
      <w:r>
        <w:rPr>
          <w:sz w:val="22"/>
          <w:szCs w:val="22"/>
        </w:rPr>
        <w:t xml:space="preserve"> </w:t>
      </w:r>
      <w:bookmarkStart w:id="19" w:name="_Hlk50465284"/>
      <w:r>
        <w:rPr>
          <w:sz w:val="22"/>
          <w:szCs w:val="22"/>
        </w:rPr>
        <w:t xml:space="preserve">Требования по срокам </w:t>
      </w:r>
      <w:bookmarkEnd w:id="16"/>
      <w:bookmarkEnd w:id="17"/>
      <w:bookmarkEnd w:id="19"/>
      <w:r>
        <w:rPr>
          <w:sz w:val="22"/>
          <w:szCs w:val="22"/>
          <w:lang w:val="ru-RU"/>
        </w:rPr>
        <w:t>поставки продукции</w:t>
      </w:r>
      <w:bookmarkEnd w:id="15"/>
      <w:r>
        <w:rPr>
          <w:sz w:val="22"/>
          <w:szCs w:val="22"/>
          <w:lang w:val="ru-RU"/>
        </w:rPr>
        <w:t xml:space="preserve"> </w:t>
      </w:r>
    </w:p>
    <w:tbl>
      <w:tblPr>
        <w:tblW w:w="14370" w:type="dxa"/>
        <w:jc w:val="left"/>
        <w:tblInd w:w="55" w:type="dxa"/>
        <w:tblLayout w:type="fixed"/>
        <w:tblCellMar>
          <w:top w:w="0" w:type="dxa"/>
          <w:left w:w="6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83"/>
        <w:gridCol w:w="4261"/>
        <w:gridCol w:w="9526"/>
      </w:tblGrid>
      <w:tr>
        <w:trPr/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9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yle29"/>
              <w:keepNext w:val="false"/>
              <w:widowControl w:val="false"/>
              <w:spacing w:before="4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9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yle29"/>
              <w:keepNext w:val="false"/>
              <w:widowControl w:val="false"/>
              <w:spacing w:before="4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</w:tr>
      <w:tr>
        <w:trPr/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i/>
                <w:sz w:val="22"/>
                <w:szCs w:val="22"/>
              </w:rPr>
              <w:t>с момента заключения договора</w:t>
            </w:r>
          </w:p>
        </w:tc>
        <w:tc>
          <w:tcPr>
            <w:tcW w:w="9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Cs/>
                <w:sz w:val="22"/>
                <w:szCs w:val="22"/>
              </w:rPr>
              <w:t>в течение 60 календарных дней с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2"/>
                <w:szCs w:val="22"/>
              </w:rPr>
              <w:t>момента начала поставки</w:t>
            </w:r>
          </w:p>
        </w:tc>
      </w:tr>
    </w:tbl>
    <w:p>
      <w:pPr>
        <w:sectPr>
          <w:headerReference w:type="even" r:id="rId4"/>
          <w:headerReference w:type="default" r:id="rId5"/>
          <w:headerReference w:type="first" r:id="rId6"/>
          <w:footerReference w:type="even" r:id="rId7"/>
          <w:footerReference w:type="default" r:id="rId8"/>
          <w:footnotePr>
            <w:numFmt w:val="decimal"/>
          </w:footnotePr>
          <w:type w:val="nextPage"/>
          <w:pgSz w:orient="landscape" w:w="16838" w:h="11906"/>
          <w:pgMar w:left="1418" w:right="1103" w:gutter="0" w:header="680" w:top="1020" w:footer="567" w:bottom="850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1"/>
        </w:numPr>
        <w:spacing w:before="120" w:after="0"/>
        <w:ind w:left="0" w:hanging="0"/>
        <w:rPr>
          <w:sz w:val="22"/>
          <w:szCs w:val="22"/>
        </w:rPr>
      </w:pPr>
      <w:bookmarkStart w:id="20" w:name="_Toc51339698"/>
      <w:bookmarkStart w:id="21" w:name="_Toc75446581"/>
      <w:bookmarkStart w:id="22" w:name="_Toc46743511"/>
      <w:r>
        <w:rPr>
          <w:sz w:val="22"/>
          <w:szCs w:val="22"/>
        </w:rPr>
        <w:t xml:space="preserve">Требования к </w:t>
      </w:r>
      <w:bookmarkEnd w:id="21"/>
      <w:bookmarkEnd w:id="22"/>
      <w:r>
        <w:rPr>
          <w:sz w:val="22"/>
          <w:szCs w:val="22"/>
          <w:lang w:val="ru-RU"/>
        </w:rPr>
        <w:t>качеству продукции</w:t>
      </w:r>
    </w:p>
    <w:p>
      <w:pPr>
        <w:pStyle w:val="Heading1"/>
        <w:keepLines/>
        <w:spacing w:before="240" w:after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bookmarkStart w:id="23" w:name="_Toc75446582"/>
      <w:r>
        <w:rPr>
          <w:sz w:val="22"/>
          <w:szCs w:val="22"/>
        </w:rPr>
        <w:t>Таблица </w:t>
      </w:r>
      <w:r>
        <w:rPr>
          <w:sz w:val="22"/>
          <w:szCs w:val="22"/>
          <w:lang w:val="ru-RU"/>
        </w:rPr>
        <w:t>2</w:t>
      </w:r>
      <w:r>
        <w:rPr>
          <w:sz w:val="22"/>
          <w:szCs w:val="22"/>
        </w:rPr>
        <w:t>.</w:t>
      </w:r>
      <w:r>
        <w:rPr>
          <w:sz w:val="22"/>
          <w:szCs w:val="22"/>
          <w:lang w:val="ru-RU"/>
        </w:rPr>
        <w:t>2.</w:t>
      </w:r>
      <w:r>
        <w:rPr>
          <w:sz w:val="22"/>
          <w:szCs w:val="22"/>
        </w:rPr>
        <w:t xml:space="preserve"> Требования к </w:t>
      </w:r>
      <w:r>
        <w:rPr>
          <w:sz w:val="22"/>
          <w:szCs w:val="22"/>
          <w:lang w:val="ru-RU"/>
        </w:rPr>
        <w:t>продукции</w:t>
      </w:r>
      <w:bookmarkEnd w:id="20"/>
      <w:bookmarkEnd w:id="23"/>
      <w:r>
        <w:rPr>
          <w:sz w:val="22"/>
          <w:szCs w:val="22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both"/>
        <w:rPr/>
      </w:pPr>
      <w:r>
        <w:rPr>
          <w:b/>
          <w:bCs/>
          <w:i/>
          <w:iCs/>
          <w:sz w:val="22"/>
          <w:szCs w:val="22"/>
        </w:rPr>
        <w:t xml:space="preserve">Наименование продукции </w:t>
      </w:r>
      <w:r>
        <w:rPr>
          <w:rFonts w:eastAsia="Calibri"/>
          <w:i/>
          <w:sz w:val="22"/>
          <w:szCs w:val="22"/>
          <w:lang w:eastAsia="x-none"/>
        </w:rPr>
        <w:t>«</w:t>
      </w:r>
      <w:r>
        <w:rPr>
          <w:rFonts w:eastAsia="Calibri"/>
          <w:b/>
          <w:i/>
          <w:sz w:val="22"/>
          <w:szCs w:val="22"/>
          <w:lang w:eastAsia="x-none"/>
        </w:rPr>
        <w:t>Птицезащитные устройства</w:t>
      </w:r>
      <w:r>
        <w:rPr>
          <w:rFonts w:eastAsia="Calibri"/>
          <w:i/>
          <w:sz w:val="22"/>
          <w:szCs w:val="22"/>
          <w:lang w:eastAsia="x-none"/>
        </w:rPr>
        <w:t>»</w:t>
      </w:r>
      <w:r>
        <w:rPr>
          <w:rStyle w:val="Style8"/>
          <w:iCs/>
          <w:sz w:val="22"/>
          <w:szCs w:val="22"/>
          <w:shd w:fill="auto" w:val="clear"/>
        </w:rPr>
        <w:t xml:space="preserve"> </w:t>
      </w:r>
    </w:p>
    <w:tbl>
      <w:tblPr>
        <w:tblStyle w:val="affff7"/>
        <w:tblW w:w="15696" w:type="dxa"/>
        <w:jc w:val="left"/>
        <w:tblInd w:w="111" w:type="dxa"/>
        <w:tblLayout w:type="fixed"/>
        <w:tblCellMar>
          <w:top w:w="0" w:type="dxa"/>
          <w:left w:w="7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84"/>
        <w:gridCol w:w="3527"/>
        <w:gridCol w:w="3985"/>
        <w:gridCol w:w="2255"/>
        <w:gridCol w:w="2689"/>
        <w:gridCol w:w="2555"/>
      </w:tblGrid>
      <w:tr>
        <w:trPr/>
        <w:tc>
          <w:tcPr>
            <w:tcW w:w="68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3527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98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494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55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8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52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98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2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68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68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352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398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2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268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25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68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011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характеристикам, к конструкции изделия, материалам</w:t>
            </w:r>
          </w:p>
        </w:tc>
      </w:tr>
      <w:tr>
        <w:trPr/>
        <w:tc>
          <w:tcPr>
            <w:tcW w:w="684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0"/>
              <w:ind w:left="-117" w:firstLine="142"/>
              <w:contextualSpacing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  <w:t>1.2.</w:t>
            </w:r>
          </w:p>
          <w:p>
            <w:pPr>
              <w:pStyle w:val="ListParagraph"/>
              <w:widowControl w:val="false"/>
              <w:suppressAutoHyphens w:val="true"/>
              <w:spacing w:before="60" w:after="0"/>
              <w:ind w:left="-117" w:hanging="0"/>
              <w:contextualSpacing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52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  <w:t>Требования к изготовлению ПЗУ</w:t>
            </w:r>
          </w:p>
        </w:tc>
        <w:tc>
          <w:tcPr>
            <w:tcW w:w="398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Рабочая часть антиприсадочного элемента — выполнена из электроизоляционного материала.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Металлические части должны иметь цинковое покрытие.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Детали, выполненные из полимерных материалов, попадающие под воздействие птичьего помёта, — должны быть стойкими к его воздействию.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Элементы, испытывающие контактное воздействие птиц, — должны быть изготовлены из диэлектрических или металлических изолированных материалов. Твёрдость элементов, контактирующих с птицами, — не менее 60 единиц по Шору D в соответствии с ГОСТ 24621.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Элементы из полимерных материалов — должны соответствовать классу стойкости к горению категории ПВ-0 по ГОСТ 28157.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Детали — должны быть стойкими к воздействию солнечного излучения.</w:t>
            </w:r>
          </w:p>
        </w:tc>
        <w:tc>
          <w:tcPr>
            <w:tcW w:w="225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808080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8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55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41" w:hRule="atLeast"/>
        </w:trPr>
        <w:tc>
          <w:tcPr>
            <w:tcW w:w="68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011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</w:t>
            </w:r>
          </w:p>
        </w:tc>
      </w:tr>
      <w:tr>
        <w:trPr/>
        <w:tc>
          <w:tcPr>
            <w:tcW w:w="68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2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Срок гарантии на поставляемую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продукцию</w:t>
            </w:r>
          </w:p>
        </w:tc>
        <w:tc>
          <w:tcPr>
            <w:tcW w:w="398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не менее 5 лет.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Время начала исчисления гарантийного срока с момента подписания ТОРГ-12 или УПД.</w:t>
            </w:r>
          </w:p>
        </w:tc>
        <w:tc>
          <w:tcPr>
            <w:tcW w:w="22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Указать срок гарантии на предлагаемую продукцию</w:t>
            </w:r>
          </w:p>
        </w:tc>
        <w:tc>
          <w:tcPr>
            <w:tcW w:w="268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55" w:type="dxa"/>
            <w:tcBorders/>
            <w:shd w:color="auto" w:fill="auto" w:val="clea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68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3.</w:t>
            </w:r>
          </w:p>
        </w:tc>
        <w:tc>
          <w:tcPr>
            <w:tcW w:w="15011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Требование к доставке</w:t>
            </w:r>
          </w:p>
        </w:tc>
      </w:tr>
      <w:tr>
        <w:trPr>
          <w:trHeight w:val="1740" w:hRule="atLeast"/>
        </w:trPr>
        <w:tc>
          <w:tcPr>
            <w:tcW w:w="68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3.1.</w:t>
            </w:r>
          </w:p>
        </w:tc>
        <w:tc>
          <w:tcPr>
            <w:tcW w:w="35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</w:t>
            </w:r>
          </w:p>
        </w:tc>
        <w:tc>
          <w:tcPr>
            <w:tcW w:w="398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Место поставки и количество продукции в адрес филиала АО «ДРСК» «Хабаровские электрические сети» определено в календарном графике поставки, указанные в </w:t>
            </w: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Приложении № 1 к техническим требованиям.</w:t>
            </w:r>
          </w:p>
        </w:tc>
        <w:tc>
          <w:tcPr>
            <w:tcW w:w="22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8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Sylfae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43" w:hRule="atLeast"/>
        </w:trPr>
        <w:tc>
          <w:tcPr>
            <w:tcW w:w="684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4.</w:t>
            </w:r>
          </w:p>
        </w:tc>
        <w:tc>
          <w:tcPr>
            <w:tcW w:w="15011" w:type="dxa"/>
            <w:gridSpan w:val="5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новизне поставляемой продукции</w:t>
            </w:r>
          </w:p>
        </w:tc>
      </w:tr>
      <w:tr>
        <w:trPr>
          <w:trHeight w:val="744" w:hRule="atLeast"/>
        </w:trPr>
        <w:tc>
          <w:tcPr>
            <w:tcW w:w="684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4.1.</w:t>
            </w:r>
          </w:p>
        </w:tc>
        <w:tc>
          <w:tcPr>
            <w:tcW w:w="352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году выпуска</w:t>
            </w:r>
          </w:p>
        </w:tc>
        <w:tc>
          <w:tcPr>
            <w:tcW w:w="398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Продукция должна быть новой и ранее неиспользованной,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изготовлена в 2026 г</w:t>
            </w:r>
          </w:p>
        </w:tc>
        <w:tc>
          <w:tcPr>
            <w:tcW w:w="225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8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5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</w:tbl>
    <w:p>
      <w:pPr>
        <w:pStyle w:val="Heading1"/>
        <w:keepLines/>
        <w:tabs>
          <w:tab w:val="clear" w:pos="708"/>
          <w:tab w:val="left" w:pos="851" w:leader="none"/>
        </w:tabs>
        <w:spacing w:before="0" w:after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Heading1"/>
        <w:numPr>
          <w:ilvl w:val="0"/>
          <w:numId w:val="1"/>
        </w:numPr>
        <w:tabs>
          <w:tab w:val="clear" w:pos="708"/>
          <w:tab w:val="left" w:pos="851" w:leader="none"/>
        </w:tabs>
        <w:spacing w:before="0" w:after="0"/>
        <w:ind w:left="0" w:firstLine="567"/>
        <w:rPr>
          <w:sz w:val="22"/>
          <w:szCs w:val="22"/>
          <w:lang w:val="ru-RU"/>
        </w:rPr>
      </w:pPr>
      <w:bookmarkStart w:id="24" w:name="_Toc75446583"/>
      <w:bookmarkStart w:id="25" w:name="_Toc53393312"/>
      <w:r>
        <w:rPr>
          <w:sz w:val="22"/>
          <w:szCs w:val="22"/>
          <w:lang w:val="ru-RU"/>
        </w:rPr>
        <w:t>Требования к документации по ценообразованию</w:t>
      </w:r>
      <w:bookmarkEnd w:id="24"/>
      <w:bookmarkEnd w:id="25"/>
      <w:r>
        <w:rPr>
          <w:sz w:val="22"/>
          <w:szCs w:val="22"/>
          <w:lang w:val="ru-RU"/>
        </w:rPr>
        <w:t xml:space="preserve"> на этапе закупки</w:t>
      </w:r>
    </w:p>
    <w:p>
      <w:pPr>
        <w:pStyle w:val="Normal"/>
        <w:tabs>
          <w:tab w:val="clear" w:pos="708"/>
          <w:tab w:val="left" w:pos="1134" w:leader="none"/>
        </w:tabs>
        <w:ind w:right="593" w:firstLine="567"/>
        <w:jc w:val="both"/>
        <w:rPr>
          <w:bCs/>
          <w:iCs/>
          <w:sz w:val="22"/>
          <w:szCs w:val="22"/>
          <w:lang w:eastAsia="x-none"/>
        </w:rPr>
      </w:pPr>
      <w:r>
        <w:rPr>
          <w:bCs/>
          <w:iCs/>
          <w:sz w:val="22"/>
          <w:szCs w:val="22"/>
          <w:lang w:eastAsia="x-none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ind w:right="593" w:firstLine="567"/>
        <w:jc w:val="both"/>
        <w:rPr>
          <w:sz w:val="22"/>
          <w:szCs w:val="22"/>
        </w:rPr>
      </w:pPr>
      <w:bookmarkStart w:id="26" w:name="_Toc46743519"/>
      <w:bookmarkStart w:id="27" w:name="_Toc51339699"/>
      <w:r>
        <w:rPr>
          <w:bCs/>
          <w:iCs/>
          <w:sz w:val="22"/>
          <w:szCs w:val="22"/>
          <w:lang w:eastAsia="x-none"/>
        </w:rPr>
        <w:t>3.2.</w:t>
      </w:r>
      <w:bookmarkEnd w:id="26"/>
      <w:bookmarkEnd w:id="27"/>
      <w:r>
        <w:rPr>
          <w:sz w:val="22"/>
          <w:szCs w:val="22"/>
        </w:rPr>
        <w:t xml:space="preserve"> Все цены в предложении должны включать все налоги, транспортные расходы и другие обязательные платежи, стоимость всех сопутствующих работ (услуг), а также все скидки, предлагаемые участником.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b/>
          <w:sz w:val="22"/>
          <w:szCs w:val="22"/>
          <w:lang w:val="x-none" w:eastAsia="x-none"/>
        </w:rPr>
      </w:pPr>
      <w:r>
        <w:rPr>
          <w:b/>
          <w:sz w:val="22"/>
          <w:szCs w:val="22"/>
          <w:lang w:val="x-none" w:eastAsia="x-none"/>
        </w:rPr>
      </w:r>
    </w:p>
    <w:p>
      <w:pPr>
        <w:pStyle w:val="Normal"/>
        <w:rPr>
          <w:b/>
          <w:bCs/>
          <w:i/>
          <w:i/>
          <w:iCs/>
          <w:sz w:val="22"/>
          <w:szCs w:val="22"/>
        </w:rPr>
      </w:pPr>
      <w:r>
        <w:rPr>
          <w:b/>
          <w:i/>
          <w:sz w:val="22"/>
          <w:szCs w:val="22"/>
        </w:rPr>
        <w:t xml:space="preserve">Приложение № 1 – </w:t>
      </w:r>
      <w:r>
        <w:rPr>
          <w:b/>
          <w:bCs/>
          <w:i/>
          <w:iCs/>
          <w:sz w:val="22"/>
          <w:szCs w:val="22"/>
        </w:rPr>
        <w:t xml:space="preserve">Чертежи на ПЗУ; </w:t>
      </w:r>
    </w:p>
    <w:p>
      <w:pPr>
        <w:pStyle w:val="Normal"/>
        <w:rPr>
          <w:shd w:fill="FFFF00" w:val="clear"/>
        </w:rPr>
      </w:pPr>
      <w:r>
        <w:rPr>
          <w:shd w:fill="FFFF00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contextualSpacing/>
        <w:jc w:val="center"/>
        <w:rPr/>
      </w:pPr>
      <w:r>
        <w:rPr/>
      </w:r>
    </w:p>
    <w:sectPr>
      <w:headerReference w:type="even" r:id="rId9"/>
      <w:headerReference w:type="default" r:id="rId10"/>
      <w:headerReference w:type="first" r:id="rId11"/>
      <w:footerReference w:type="even" r:id="rId12"/>
      <w:footerReference w:type="default" r:id="rId13"/>
      <w:footerReference w:type="first" r:id="rId14"/>
      <w:footnotePr>
        <w:numFmt w:val="decimal"/>
      </w:footnotePr>
      <w:type w:val="nextPage"/>
      <w:pgSz w:orient="landscape" w:w="16838" w:h="11906"/>
      <w:pgMar w:left="567" w:right="567" w:gutter="0" w:header="680" w:top="907" w:footer="0" w:bottom="567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jc w:val="both"/>
        <w:rPr>
          <w:iCs/>
          <w:color w:val="FF0000"/>
        </w:rPr>
      </w:pPr>
      <w:r>
        <w:rPr>
          <w:rStyle w:val="Style"/>
        </w:rPr>
        <w:t>**</w:t>
      </w:r>
      <w:r>
        <w:rPr>
          <w:rStyle w:val="Style"/>
        </w:rPr>
        <w:t>************************************************</w:t>
      </w:r>
      <w:r>
        <w:rPr>
          <w:color w:val="FF0000"/>
        </w:rPr>
        <w:t xml:space="preserve">          </w:t>
      </w:r>
      <w:bookmarkStart w:id="28" w:name="_Hlk68806928"/>
      <w:r>
        <w:rPr>
          <w:iCs/>
          <w:color w:val="FF0000"/>
        </w:rPr>
        <w:t xml:space="preserve">Указанные в настоящем техническом требовании ссылки на марку (тип) продукции или типовой проект носят описательный, а не обязательный характер. </w:t>
      </w:r>
      <w:bookmarkEnd w:id="28"/>
      <w:r>
        <w:rPr>
          <w:iCs/>
          <w:color w:val="FF0000"/>
        </w:rPr>
        <w:t>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эквивалента.</w:t>
      </w:r>
    </w:p>
    <w:p>
      <w:pPr>
        <w:pStyle w:val="FootnoteText"/>
        <w:widowControl w:val="false"/>
        <w:jc w:val="both"/>
        <w:rPr>
          <w:iCs/>
          <w:color w:val="FF0000"/>
        </w:rPr>
      </w:pPr>
      <w:r>
        <w:rPr>
          <w:bCs/>
          <w:iCs/>
          <w:color w:val="FF0000"/>
        </w:rPr>
        <w:tab/>
        <w:t>Параметрами эквивалентности являются технические характеристики продукции, указанные в Таблице № 2.2 и Приложении № 1 настоящих технических требований.</w:t>
      </w:r>
    </w:p>
    <w:p>
      <w:pPr>
        <w:pStyle w:val="FootnoteText"/>
        <w:widowControl w:val="false"/>
        <w:jc w:val="both"/>
        <w:rPr>
          <w:iCs/>
          <w:color w:val="FF0000"/>
        </w:rPr>
      </w:pPr>
      <w:r>
        <w:rPr>
          <w:iCs/>
          <w:color w:val="FF0000"/>
        </w:rPr>
        <w:tab/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>
      <w:pPr>
        <w:pStyle w:val="FootnoteText"/>
        <w:widowControl w:val="false"/>
        <w:jc w:val="both"/>
        <w:rPr/>
      </w:pP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1905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9685" cy="173990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color w:val="00000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357.1pt;margin-top:0.05pt;width:1.5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/>
        <w:effect w:val="none"/>
        <w:szCs w:val="22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2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b/>
        <w:szCs w:val="22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sz w:val="22"/>
        <w:b w:val="false"/>
        <w:szCs w:val="22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evenAndOddHeaders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link w:val="EndnoteSymbol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Markedcontent" w:customStyle="1">
    <w:name w:val="markedcontent"/>
    <w:basedOn w:val="DefaultParagraphFont"/>
    <w:qFormat/>
    <w:rsid w:val="00a33766"/>
    <w:rPr/>
  </w:style>
  <w:style w:type="character" w:styleId="Style14" w:customStyle="1">
    <w:name w:val="Основной текст с отступом Знак"/>
    <w:basedOn w:val="DefaultParagraphFont"/>
    <w:qFormat/>
    <w:rsid w:val="00730aab"/>
    <w:rPr>
      <w:sz w:val="24"/>
      <w:szCs w:val="24"/>
    </w:rPr>
  </w:style>
  <w:style w:type="character" w:styleId="Style15" w:customStyle="1">
    <w:name w:val="Символы концевой сноск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1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1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1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Style14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link w:val="31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qFormat/>
    <w:rsid w:val="0025139e"/>
    <w:pPr>
      <w:tabs>
        <w:tab w:val="left" w:pos="1134" w:leader="none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link w:val="Style9"/>
    <w:qFormat/>
    <w:rsid w:val="00b56f46"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EndnoteSymbol" w:customStyle="1">
    <w:name w:val="Endnote Symbol"/>
    <w:basedOn w:val="Normal"/>
    <w:link w:val="Style12"/>
    <w:qFormat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spacing w:before="120" w:after="120"/>
      <w:jc w:val="both"/>
      <w:outlineLvl w:val="0"/>
    </w:pPr>
    <w:rPr>
      <w:b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1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1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header" Target="header8.xml"/><Relationship Id="rId12" Type="http://schemas.openxmlformats.org/officeDocument/2006/relationships/footer" Target="footer3.xml"/><Relationship Id="rId13" Type="http://schemas.openxmlformats.org/officeDocument/2006/relationships/footer" Target="footer4.xml"/><Relationship Id="rId14" Type="http://schemas.openxmlformats.org/officeDocument/2006/relationships/footer" Target="footer5.xml"/><Relationship Id="rId15" Type="http://schemas.openxmlformats.org/officeDocument/2006/relationships/footnotes" Target="footnotes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95831-F30E-474B-9143-405C3CFCB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1974</TotalTime>
  <Application>AlterOffice/2025.3.1.0$Linux_X86_64 LibreOffice_project/431cd1b79110582f53535c95ed0a2449aadc8bf9</Application>
  <AppVersion>15.0000</AppVersion>
  <Pages>4</Pages>
  <Words>556</Words>
  <Characters>3788</Characters>
  <CharactersWithSpaces>4266</CharactersWithSpaces>
  <Paragraphs>97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2023-06-04T22:23:00Z</dcterms:created>
  <dc:creator>Филипенко Григорий Валентинович</dc:creator>
  <dc:description/>
  <dc:language>ru-RU</dc:language>
  <cp:lastModifiedBy>vinogradova_ov</cp:lastModifiedBy>
  <dcterms:modified xsi:type="dcterms:W3CDTF">2026-08-04T10:55:07Z</dcterms:modified>
  <cp:revision>522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