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поставку ТМЦ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6"/>
          <w:szCs w:val="26"/>
        </w:rPr>
        <w:t>ОКПД2 20.59.59.900 Поставка пенообразователя для пожарной техники, для нужд Филиала ПАО «РусГидро»- «Карачаево-Черкесский филиал»</w:t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пгт. Правокубанский 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Toc75446566">
            <w:r>
              <w:rPr>
                <w:rStyle w:val="Style14"/>
              </w:rPr>
              <w:t>1.</w:t>
            </w:r>
            <w:r>
              <w:rPr>
                <w:rStyle w:val="Style14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</w:t>
            <w:tab/>
            <w:t>Обозначения и сокращения</w:t>
            <w:tab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  <w:tab/>
            <w:t>Наименование закупаемого Товара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1.3.</w:t>
            <w:tab/>
            <w:t xml:space="preserve">Цель использования закупаемого Товара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1.4.</w:t>
            <w:tab/>
            <w:t xml:space="preserve">Существующее положение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1.5.</w:t>
            <w:tab/>
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w:tab/>
            <w:t>5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rStyle w:val="Style14"/>
                <w:iCs/>
                <w:sz w:val="24"/>
                <w:szCs w:val="24"/>
              </w:rPr>
              <w:t>1.6.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 xml:space="preserve">Иные требования и сведения общего характера 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rStyle w:val="Style14"/>
              </w:rPr>
              <w:t>2.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 xml:space="preserve">Требования к </w:t>
            </w:r>
            <w:r>
              <w:rPr>
                <w:rStyle w:val="Style14"/>
                <w:iCs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rStyle w:val="Style14"/>
                <w:iCs/>
                <w:sz w:val="24"/>
                <w:szCs w:val="24"/>
              </w:rPr>
              <w:t>2.1.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rStyle w:val="Style14"/>
                <w:sz w:val="24"/>
                <w:szCs w:val="24"/>
              </w:rPr>
              <w:t>2.1.1.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Перечень и объем закупаемого </w:t>
            </w:r>
            <w:r>
              <w:rPr>
                <w:rStyle w:val="Style14"/>
                <w:sz w:val="24"/>
                <w:szCs w:val="2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rStyle w:val="Style14"/>
              </w:rPr>
              <w:t xml:space="preserve">Таблица 1.1 Перечень и объем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7">
            <w:r>
              <w:rPr>
                <w:rStyle w:val="Style14"/>
              </w:rPr>
              <w:t>Таблица 1.2 Перечень и объем закупаемых сопутствующих услуг</w:t>
              <w:tab/>
            </w:r>
          </w:hyperlink>
          <w:r>
            <w:rPr/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2.1.2.</w:t>
            <w:tab/>
            <w:t>Требования к срокам поставки Товара и оказания сопутствующих услуг</w:t>
            <w:tab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rStyle w:val="Style14"/>
              </w:rPr>
              <w:t xml:space="preserve">Таблица 2.1 Требования по срокам поставки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2.2.</w:t>
            <w:tab/>
            <w:t>Требования к качеству Товара</w:t>
            <w:tab/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rStyle w:val="Style14"/>
              </w:rPr>
              <w:t>Таблица</w:t>
            </w:r>
          </w:hyperlink>
          <w:r>
            <w:rPr>
              <w:color w:val="000000"/>
            </w:rPr>
            <w:t> </w:t>
          </w: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3. Требования к Товару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3">
            <w:r>
              <w:rPr>
                <w:rStyle w:val="Style14"/>
              </w:rPr>
              <w:t>3.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78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4</w:t>
          </w:r>
          <w:hyperlink w:anchor="_Toc75446585">
            <w:r>
              <w:rPr>
                <w:rStyle w:val="Style14"/>
              </w:rPr>
              <w:t>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79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/>
        <w:t>4.1.Приложение №1 к ТТ…………………………………………………………………………</w:t>
      </w:r>
      <w:r>
        <w:rPr>
          <w:b w:val="false"/>
          <w:i/>
        </w:rPr>
        <w:t>...</w:t>
      </w:r>
      <w:r>
        <w:rPr/>
        <w:t>80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1526"/>
        <w:gridCol w:w="8394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 xml:space="preserve"> </w:t>
            </w:r>
          </w:p>
        </w:tc>
      </w:tr>
      <w:tr>
        <w:trPr/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8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стандарт организации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8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/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8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Гидро-акк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 xml:space="preserve">Наименование закупаемого </w:t>
      </w:r>
      <w:bookmarkEnd w:id="4"/>
      <w:bookmarkEnd w:id="5"/>
      <w:r>
        <w:rPr>
          <w:lang w:val="ru-RU"/>
        </w:rPr>
        <w:t>Товара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 20.59.59.900 Поставка пенообразователя для нужд Филиала ПАО «РусГидро»- «Карачаево-Черкесский филиал»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закупаемого </w:t>
      </w:r>
      <w:bookmarkEnd w:id="6"/>
      <w:r>
        <w:rPr>
          <w:lang w:val="ru-RU"/>
        </w:rPr>
        <w:t>Товара</w:t>
      </w:r>
    </w:p>
    <w:p>
      <w:pPr>
        <w:pStyle w:val="Normal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Закупка осуществляется с целю обеспечения запаса огнетушащих средств, в рамках превентивных мероприятий по локализации возможного пожара.</w:t>
      </w:r>
    </w:p>
    <w:p>
      <w:pPr>
        <w:pStyle w:val="Heading4"/>
        <w:numPr>
          <w:ilvl w:val="1"/>
          <w:numId w:val="3"/>
        </w:numPr>
        <w:rPr/>
      </w:pPr>
      <w:bookmarkStart w:id="8" w:name="_Toc75446570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1.4.1. Зеленчукская ГЭС - 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i w:val="false"/>
          <w:shd w:fill="auto" w:val="clear"/>
        </w:rPr>
        <w:t xml:space="preserve">1.4.2. </w:t>
      </w:r>
      <w:r>
        <w:rPr>
          <w:rStyle w:val="Style8"/>
          <w:b w:val="false"/>
          <w:bCs/>
          <w:i w:val="false"/>
          <w:shd w:fill="auto" w:val="clear"/>
        </w:rPr>
        <w:t>Техническая схема Зеленчукской ГЭС- 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1.4.3. Площадки существующих сооружений Зеленчукской ГЭС-ГАЭС расположены на высотах 740-1012 м между метеостанциями г. Карачаевск (высота 861 м) и г. Черкесск (высота 525 м).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Сейсмичность площадки демонтажа здания – 8 баллов (карта общего сейсмического районирования ОСР-2015).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Климатические условия в месте расположения Зеленчукской ГЭС-ГАЭС: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а) Температура воздуха в районе строительства: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максимальная, º С                           </w:t>
        <w:tab/>
        <w:tab/>
        <w:tab/>
        <w:tab/>
        <w:t>+38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минимальная, º С                                            </w:t>
        <w:tab/>
        <w:t xml:space="preserve">            </w:t>
        <w:tab/>
        <w:t>- 31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среднегодовая º С                                                                         +8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Относительная влажность, %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максимальная,               </w:t>
        <w:tab/>
        <w:tab/>
        <w:tab/>
        <w:t xml:space="preserve"> </w:t>
        <w:tab/>
        <w:t xml:space="preserve"> 73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минимальная,                </w:t>
        <w:tab/>
        <w:tab/>
        <w:t xml:space="preserve">          </w:t>
        <w:tab/>
        <w:t xml:space="preserve"> </w:t>
        <w:tab/>
        <w:t xml:space="preserve"> 66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Среднегодовая скорость ветра, м/с                                </w:t>
        <w:tab/>
        <w:tab/>
        <w:t xml:space="preserve"> 3,1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firstLine="567"/>
        <w:jc w:val="both"/>
        <w:rPr/>
      </w:pPr>
      <w:r>
        <w:rPr/>
        <w:t>Согласно СП 131.13330.2020 «Строительная климатология» (с Изменением №1)</w:t>
      </w:r>
      <w:r>
        <w:rPr>
          <w:rStyle w:val="Hyperlink"/>
          <w:color w:val="BF2F1C"/>
        </w:rPr>
        <w:t xml:space="preserve"> </w:t>
      </w:r>
      <w:r>
        <w:rPr/>
        <w:t>актуализированная редакция СНиП 23-01-99* , район реконструкции сооружений Зеленчукской ГЭС-ГАЭС  характеризуется следующими климатическими характеристиками: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климатический район строительства – </w:t>
      </w:r>
      <w:r>
        <w:rPr>
          <w:lang w:val="en-US"/>
        </w:rPr>
        <w:t>III</w:t>
      </w:r>
      <w:r>
        <w:rPr/>
        <w:t xml:space="preserve"> - климатический подрайон строительства – </w:t>
      </w:r>
      <w:r>
        <w:rPr>
          <w:lang w:val="en-US"/>
        </w:rPr>
        <w:t>III</w:t>
      </w:r>
      <w:r>
        <w:rPr/>
        <w:t xml:space="preserve"> Б;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температура воздуха наиболее холодной пятидневки при обеспеченности 0,92 </w:t>
      </w:r>
      <w:r>
        <w:rPr>
          <w:lang w:val="en-US"/>
        </w:rPr>
        <w:t>t</w:t>
      </w:r>
      <w:r>
        <w:rPr/>
        <w:t xml:space="preserve"> </w:t>
      </w:r>
      <w:r>
        <w:rPr>
          <w:vertAlign w:val="subscript"/>
        </w:rPr>
        <w:t>н</w:t>
      </w:r>
      <w:r>
        <w:rPr/>
        <w:t>= минус 18</w:t>
      </w:r>
      <w:r>
        <w:rPr>
          <w:vertAlign w:val="superscript"/>
        </w:rPr>
        <w:t>0</w:t>
      </w:r>
      <w:r>
        <w:rPr/>
        <w:t>С;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>- средняя температура периода со среднесуточной температурой наружного воздуха не более минус 8</w:t>
      </w:r>
      <w:r>
        <w:rPr>
          <w:vertAlign w:val="superscript"/>
        </w:rPr>
        <w:t>0</w:t>
      </w:r>
      <w:r>
        <w:rPr/>
        <w:t xml:space="preserve">С – </w:t>
      </w:r>
      <w:r>
        <w:rPr>
          <w:lang w:val="en-US"/>
        </w:rPr>
        <w:t>t</w:t>
      </w:r>
      <w:r>
        <w:rPr>
          <w:vertAlign w:val="subscript"/>
        </w:rPr>
        <w:t xml:space="preserve">ср </w:t>
      </w:r>
      <w:r>
        <w:rPr/>
        <w:t>= минус 0,6</w:t>
      </w:r>
      <w:r>
        <w:rPr>
          <w:vertAlign w:val="superscript"/>
        </w:rPr>
        <w:t>0</w:t>
      </w:r>
      <w:r>
        <w:rPr/>
        <w:t>С;</w:t>
      </w:r>
    </w:p>
    <w:p>
      <w:pPr>
        <w:pStyle w:val="BodyTextIndent"/>
        <w:ind w:left="0" w:hanging="0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- по расчетному значению веса снегового покрова для </w:t>
      </w:r>
      <w:r>
        <w:rPr>
          <w:rStyle w:val="Style8"/>
          <w:b w:val="false"/>
          <w:bCs/>
          <w:i w:val="false"/>
          <w:shd w:fill="auto" w:val="clear"/>
          <w:lang w:val="en-US"/>
        </w:rPr>
        <w:t>II</w:t>
      </w:r>
      <w:r>
        <w:rPr>
          <w:rStyle w:val="Style8"/>
          <w:b w:val="false"/>
          <w:bCs/>
          <w:i w:val="false"/>
          <w:shd w:fill="auto" w:val="clear"/>
        </w:rPr>
        <w:t xml:space="preserve"> района по СП 20.13330.2016 (с изменением №4), актуализированная редакция СНиП 2.01.07-85* «Нагрузки и воздействия»- кПа=120кгс/м</w:t>
      </w:r>
      <w:r>
        <w:rPr>
          <w:rStyle w:val="Style8"/>
          <w:b w:val="false"/>
          <w:bCs/>
          <w:i w:val="false"/>
          <w:shd w:fill="auto" w:val="clear"/>
          <w:vertAlign w:val="superscript"/>
        </w:rPr>
        <w:t>2.</w:t>
      </w:r>
    </w:p>
    <w:p>
      <w:pPr>
        <w:pStyle w:val="Heading4"/>
        <w:numPr>
          <w:ilvl w:val="1"/>
          <w:numId w:val="3"/>
        </w:numPr>
        <w:rPr/>
      </w:pPr>
      <w:bookmarkStart w:id="10" w:name="_Toc75446571"/>
      <w:bookmarkStart w:id="11" w:name="_Toc46743509"/>
      <w:bookmarkStart w:id="12" w:name="_Hlk49857604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r>
        <w:rPr>
          <w:lang w:val="ru-RU"/>
        </w:rPr>
        <w:t xml:space="preserve"> </w:t>
      </w:r>
      <w:bookmarkEnd w:id="1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i w:val="false"/>
          <w:sz w:val="24"/>
          <w:szCs w:val="24"/>
          <w:shd w:fill="FFFFFF" w:val="clear"/>
        </w:rPr>
        <w:t>1.5.1. При необходимости, Поставщику предоставляется возможность работы с технической документацией (по заявке) в архиве Зеленчукской ГЭС-ГАЭС (если запрашиваемая</w:t>
      </w:r>
      <w:r>
        <w:rPr>
          <w:rStyle w:val="Style8"/>
          <w:b w:val="false"/>
          <w:iCs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FFFFFF" w:val="clear"/>
        </w:rPr>
        <w:t>документация не является ДСП).</w:t>
      </w:r>
    </w:p>
    <w:p>
      <w:pPr>
        <w:pStyle w:val="Heading4"/>
        <w:numPr>
          <w:ilvl w:val="1"/>
          <w:numId w:val="3"/>
        </w:numPr>
        <w:rPr/>
      </w:pPr>
      <w:bookmarkStart w:id="14" w:name="_Toc75446572"/>
      <w:bookmarkStart w:id="15" w:name="_Toc46743510"/>
      <w:bookmarkStart w:id="16" w:name="_Hlk48209761_Копия_1"/>
      <w:bookmarkStart w:id="17" w:name="_Toc50125126"/>
      <w:bookmarkEnd w:id="15"/>
      <w:bookmarkEnd w:id="16"/>
      <w:bookmarkEnd w:id="17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1.6.1.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Выполняются следующие услуги: поставка Товара и разгрузка в указанном Заказчиком месте (на территории Филиала).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51339693"/>
      <w:bookmarkStart w:id="19" w:name="_Toc75446573"/>
      <w:r>
        <w:rPr>
          <w:iCs/>
        </w:rPr>
        <w:t xml:space="preserve">Требования к </w:t>
      </w:r>
      <w:bookmarkEnd w:id="18"/>
      <w:bookmarkEnd w:id="19"/>
      <w:r>
        <w:rPr>
          <w:iCs/>
          <w:lang w:val="en-US"/>
        </w:rPr>
        <w:t>Товару</w:t>
      </w:r>
    </w:p>
    <w:p>
      <w:pPr>
        <w:pStyle w:val="Heading4"/>
        <w:numPr>
          <w:ilvl w:val="1"/>
          <w:numId w:val="3"/>
        </w:numPr>
        <w:rPr/>
      </w:pPr>
      <w:bookmarkStart w:id="2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3"/>
        </w:numPr>
        <w:rPr/>
      </w:pPr>
      <w:bookmarkStart w:id="21" w:name="_Toc75446575"/>
      <w:r>
        <w:rPr>
          <w:lang w:val="ru-RU"/>
        </w:rPr>
        <w:t xml:space="preserve">Перечень и объем закупаемого </w:t>
      </w:r>
      <w:bookmarkEnd w:id="21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</w:rPr>
      </w:pPr>
      <w:bookmarkStart w:id="22" w:name="_Toc75446576"/>
      <w:bookmarkStart w:id="2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 xml:space="preserve">и объем закупаемого </w:t>
      </w:r>
      <w:bookmarkEnd w:id="22"/>
      <w:r>
        <w:rPr>
          <w:sz w:val="24"/>
          <w:szCs w:val="24"/>
          <w:lang w:val="ru-RU"/>
        </w:rPr>
        <w:t>Товара</w:t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0"/>
        <w:gridCol w:w="6137"/>
        <w:gridCol w:w="1423"/>
        <w:gridCol w:w="1411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Пенообразователь ПО-6РЗ (6%), темп. застывания -15°C (в кубах)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bCs/>
          <w:i/>
          <w:i/>
          <w:sz w:val="24"/>
          <w:szCs w:val="24"/>
          <w:shd w:fill="FFFF99" w:val="clear"/>
        </w:rPr>
      </w:pPr>
      <w:bookmarkStart w:id="24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8"/>
        <w:gridCol w:w="4849"/>
        <w:gridCol w:w="1994"/>
        <w:gridCol w:w="2118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Доставка пенообразователя ПО-6РЗ (6%), темп. застывания -15°C (в кубах)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lang w:val="uk-UA" w:eastAsia="en-US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75446578"/>
      <w:bookmarkStart w:id="26" w:name="_Toc5133969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поставки Товара и оказанию сопутствующих услуг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ru-RU"/>
        </w:rPr>
      </w:pPr>
      <w:bookmarkStart w:id="27" w:name="_Toc75446579"/>
      <w:bookmarkStart w:id="28" w:name="_Toc50125127"/>
      <w:bookmarkStart w:id="29" w:name="_Toc51339697"/>
      <w:bookmarkStart w:id="30" w:name="_Toc50125126_Копия_1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 xml:space="preserve">поставки </w:t>
      </w:r>
      <w:bookmarkEnd w:id="27"/>
      <w:r>
        <w:rPr>
          <w:sz w:val="24"/>
          <w:szCs w:val="24"/>
          <w:lang w:val="ru-RU"/>
        </w:rPr>
        <w:t>Товара</w:t>
      </w:r>
    </w:p>
    <w:tbl>
      <w:tblPr>
        <w:tblW w:w="10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6"/>
        <w:gridCol w:w="4111"/>
        <w:gridCol w:w="2554"/>
        <w:gridCol w:w="2527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Товара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  <w:lang w:val="en-US"/>
              </w:rPr>
              <w:t>Пенообразователь ПО-6РЗ (6%), темп. застывания -15°C (в кубах)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 даты заключения договора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.10.2026</w:t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32" w:name="_Toc46743510_Копия_1"/>
      <w:bookmarkStart w:id="33" w:name="_Toc46743510_Копия_1"/>
      <w:bookmarkEnd w:id="33"/>
    </w:p>
    <w:p>
      <w:pPr>
        <w:pStyle w:val="Heading1"/>
        <w:tabs>
          <w:tab w:val="clear" w:pos="0"/>
        </w:tabs>
        <w:ind w:left="0" w:hanging="0"/>
        <w:jc w:val="right"/>
        <w:rPr>
          <w:bCs/>
          <w:i/>
          <w:i/>
          <w:iCs/>
          <w:sz w:val="24"/>
          <w:szCs w:val="24"/>
          <w:shd w:fill="FFFF99" w:val="clear"/>
        </w:rPr>
      </w:pPr>
      <w:bookmarkStart w:id="34" w:name="_Toc7544658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bookmarkEnd w:id="34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120"/>
        <w:gridCol w:w="3118"/>
        <w:gridCol w:w="1882"/>
        <w:gridCol w:w="2138"/>
        <w:gridCol w:w="1660"/>
      </w:tblGrid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п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>енообразователя ПО-6РЗ (6%), темп. застывания -15°C (в кубах)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5" w:name="_Toc51339698"/>
      <w:bookmarkStart w:id="36" w:name="_Toc75446581"/>
      <w:bookmarkStart w:id="37" w:name="_Toc46743511"/>
      <w:r>
        <w:rPr/>
        <w:t xml:space="preserve">Требования к </w:t>
      </w:r>
      <w:bookmarkEnd w:id="37"/>
      <w:r>
        <w:rPr>
          <w:lang w:val="ru-RU"/>
        </w:rPr>
        <w:t xml:space="preserve">качеству </w:t>
      </w:r>
      <w:bookmarkEnd w:id="36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bookmarkStart w:id="3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5"/>
      <w:bookmarkEnd w:id="38"/>
      <w:r>
        <w:rPr>
          <w:sz w:val="24"/>
          <w:szCs w:val="24"/>
          <w:lang w:val="en-US"/>
        </w:rPr>
        <w:t>Товару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(позиция №1 Таблицы 1.1): Ж</w:t>
      </w:r>
      <w:r>
        <w:rPr>
          <w:b/>
          <w:bCs/>
          <w:i/>
          <w:color w:val="111111"/>
          <w:sz w:val="26"/>
          <w:szCs w:val="22"/>
        </w:rPr>
        <w:t xml:space="preserve">елезобетонные защитные сооружения в количестве 3 шт.. </w:t>
      </w:r>
    </w:p>
    <w:tbl>
      <w:tblPr>
        <w:tblW w:w="153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51"/>
        <w:gridCol w:w="1982"/>
        <w:gridCol w:w="5244"/>
        <w:gridCol w:w="2273"/>
        <w:gridCol w:w="2550"/>
        <w:gridCol w:w="2408"/>
        <w:gridCol w:w="7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Объем и состав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поставки Товара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Пенообразователь ПО-6РЗ (6%), темп. застывания -15°C (в кубах)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Область применения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Пенообразователь ПО-6РЗ (6%), темп. застывания -15°C (в кубах) используется для заправки пожарной техники в процессе тушения пожара на территории Филиала.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услуги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 w:val="false"/>
              <w:tabs>
                <w:tab w:val="clear" w:pos="708"/>
                <w:tab w:val="left" w:pos="302" w:leader="none"/>
              </w:tabs>
              <w:rPr/>
            </w:pPr>
            <w:r>
              <w:rPr/>
              <w:t>Наличие резерва пожаротушащего состава.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конструкции бетонного защитного сооружения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Пенообразователь ПО-6РЗ (6%), темп. застывания -15°C (в кубах)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Пенообразователь ПО-6РЗ, тип S – синтетический, углеводородный биоразлагаемый общего назначения.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Гарантийный срок хранения не менее 12 лет, соответствует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ГОСТ Р 50588-2012.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ГОСТ Р 50588-2012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 эксплуатации от минус 15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до плюс 50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Влажность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Повышенная относительная влажность: 80%</w:t>
            </w:r>
            <w:bookmarkStart w:id="39" w:name="_GoBack_Копия_1"/>
            <w:bookmarkEnd w:id="39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  <w:r>
              <w:rPr/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пенообразователя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до Заказчика (до территории Филиала).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200"/>
              <w:ind w:left="72" w:hang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 осуществляется Филиалом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Гарантийные обязательства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Срок</w:t>
            </w:r>
            <w:r>
              <w:rPr>
                <w:lang w:eastAsia="en-US"/>
              </w:rPr>
              <w:t xml:space="preserve"> службы</w:t>
            </w:r>
            <w:r>
              <w:rPr>
                <w:lang w:val="uk-UA" w:eastAsia="en-US"/>
              </w:rPr>
              <w:t xml:space="preserve"> пенообразователя не менее 10 лет с даты ввода в эксплуатацию. Гарантийный срок эксплуатации не менее 12 месяцев с даты ввода в эксплуатацию.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 изделиями и СИЗ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Все поставляемые ТМЦ должны иметь в комплекте поставки паспорта, сертификаты и инструкции производителя. 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защитных сооружений передать Покупателю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 товарную накладную унифицированной формы ТОРГ-12 в 2 экз..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исполнителю работ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/>
              <w:t>Не требуется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прочим сопутствующим услугам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80" w:leader="none"/>
                <w:tab w:val="left" w:pos="1134" w:leader="none"/>
              </w:tabs>
              <w:ind w:left="0" w:hanging="0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Общие требования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1. </w:t>
            </w:r>
            <w:r>
              <w:rPr>
                <w:lang w:eastAsia="en-US"/>
              </w:rPr>
              <w:t>К</w:t>
            </w:r>
            <w:r>
              <w:rPr>
                <w:lang w:val="uk-UA" w:eastAsia="en-US"/>
              </w:rPr>
              <w:t>ачеств</w:t>
            </w:r>
            <w:r>
              <w:rPr>
                <w:lang w:eastAsia="en-US"/>
              </w:rPr>
              <w:t>о, количество и сроки поставки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>поставляемой Продукции должно быть</w:t>
            </w:r>
            <w:r>
              <w:rPr>
                <w:lang w:val="uk-UA" w:eastAsia="en-US"/>
              </w:rPr>
              <w:t xml:space="preserve"> в полном</w:t>
            </w:r>
            <w:r>
              <w:rPr>
                <w:lang w:eastAsia="en-US"/>
              </w:rPr>
              <w:t xml:space="preserve"> соответствии с условиями договора</w:t>
            </w:r>
            <w:r>
              <w:rPr>
                <w:lang w:val="uk-UA" w:eastAsia="en-US"/>
              </w:rPr>
              <w:t>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2. Основные условия </w:t>
            </w:r>
            <w:r>
              <w:rPr>
                <w:lang w:eastAsia="en-US"/>
              </w:rPr>
              <w:t>поставки</w:t>
            </w:r>
            <w:r>
              <w:rPr>
                <w:lang w:val="uk-UA" w:eastAsia="en-US"/>
              </w:rPr>
              <w:t xml:space="preserve"> указаны в договоре Заказчика.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3. Допускается привлечение Подрядчиком третьих лиц для исполнения обязательств по договору.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4. Продукция должна быть изготовлена на территории РФ из материалов, изготовленных в РФ (подтверждаются сертификатами).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При осуществлении закупки применяется национальный режим в соответствии с постановлением Правительства РФ от 23.12.2024 № 1875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Style w:val="Strong"/>
                <w:rFonts w:eastAsia="Calibri" w:cs="Times New Roman" w:ascii="YS Geo;apple-system;BlinkMacSystemFont;Arial;Helvetica;Arial Unicode MS;sans-serif" w:hAnsi="YS Geo;apple-system;BlinkMacSystemFont;Arial;Helvetica;Arial Unicode MS;sans-serif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uk-UA" w:eastAsia="en-US" w:bidi="ar-SA"/>
                <w14:textFill>
                  <w14:solidFill>
                    <w14:srgbClr w14:val="000000">
                      <w14:alpha w14:val="10196"/>
                    </w14:srgbClr>
                  </w14:solidFill>
                </w14:textFill>
              </w:rPr>
              <w:t xml:space="preserve">Ограничение закупок,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в соотвествии с постановлением Правительства РФ от 23.12.2024 № 1875 к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 xml:space="preserve"> поставке допускается  продукция, включённая в реестр российской промышленной продукции либо в евразийский реестр промышленных товаров.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 xml:space="preserve">Участник закупки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 xml:space="preserve">должен </w:t>
            </w: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представить в составе заявки номер реестровой записи.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Сведения о новизне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Поставляемые изделия должны быть новыми, выпуска не ранее 1 квартала 2026 г., (не бывшим в употреблении, не восстановленным, если это не оговорено требованиями технического задания), не являться выставочными образцами, свободным от прав третьих лиц.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0" w:name="_Toc75446583"/>
      <w:bookmarkStart w:id="41" w:name="_Toc53393312"/>
      <w:r>
        <w:rPr>
          <w:lang w:val="ru-RU"/>
        </w:rPr>
        <w:t>Требования к документации по ценообразованию</w:t>
      </w:r>
      <w:bookmarkEnd w:id="41"/>
      <w:r>
        <w:rPr>
          <w:lang w:val="ru-RU"/>
        </w:rPr>
        <w:t xml:space="preserve"> на этапе закупки</w:t>
      </w:r>
      <w:bookmarkEnd w:id="4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10"/>
        </w:numPr>
        <w:suppressAutoHyphens w:val="false"/>
        <w:spacing w:before="0" w:after="120"/>
        <w:ind w:left="709" w:hanging="425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2"/>
      <w:r>
        <w:rPr>
          <w:bCs/>
          <w:i/>
          <w:iCs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ind w:left="709" w:hanging="425"/>
        <w:rPr/>
      </w:pPr>
      <w:bookmarkStart w:id="43" w:name="_Hlk88327292"/>
      <w:r>
        <w:rPr>
          <w:bCs/>
          <w:i/>
          <w:iCs/>
          <w:sz w:val="24"/>
          <w:szCs w:val="24"/>
          <w:lang w:eastAsia="x-none"/>
        </w:rPr>
        <w:t>3.2. Дополнительные документы по ценообразованию</w:t>
      </w:r>
      <w:bookmarkEnd w:id="43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  <w:bookmarkStart w:id="44" w:name="_GoBack"/>
      <w:bookmarkEnd w:id="44"/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YS Geo">
    <w:altName w:val="apple-system"/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844"/>
        </w:tabs>
        <w:ind w:left="688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shd w:val="clear" w:color="auto" w:fill="FFFFFF"/>
      <w:ind w:left="280" w:hanging="0"/>
    </w:pPr>
    <w:rPr>
      <w:rFonts w:cs="Calibri"/>
      <w:sz w:val="20"/>
      <w:szCs w:val="20"/>
    </w:rPr>
  </w:style>
  <w:style w:type="paragraph" w:styleId="Style22" w:customStyle="1">
    <w:name w:val="Раздел регламента"/>
    <w:basedOn w:val="Normal"/>
    <w:qFormat/>
    <w:pPr/>
    <w:rPr/>
  </w:style>
  <w:style w:type="paragraph" w:styleId="Style23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shd w:val="clear" w:color="auto" w:fill="FFFFFF"/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ККГЭС Текст"/>
    <w:basedOn w:val="Normal"/>
    <w:qFormat/>
    <w:pPr>
      <w:spacing w:before="60" w:after="60"/>
      <w:ind w:firstLine="708"/>
    </w:pPr>
    <w:rPr>
      <w:rFonts w:eastAsia="Calibri"/>
      <w:sz w:val="24"/>
      <w:szCs w:val="24"/>
      <w:lang w:eastAsia="en-US"/>
    </w:rPr>
  </w:style>
  <w:style w:type="paragraph" w:styleId="Style91" w:customStyle="1">
    <w:name w:val="Style9"/>
    <w:basedOn w:val="Normal"/>
    <w:qFormat/>
    <w:pPr>
      <w:widowControl w:val="false"/>
      <w:jc w:val="both"/>
    </w:pPr>
    <w:rPr>
      <w:sz w:val="24"/>
      <w:szCs w:val="24"/>
    </w:rPr>
  </w:style>
  <w:style w:type="paragraph" w:styleId="Style71" w:customStyle="1">
    <w:name w:val="Style7"/>
    <w:basedOn w:val="Normal"/>
    <w:qFormat/>
    <w:pPr>
      <w:widowControl w:val="false"/>
      <w:spacing w:lineRule="exact" w:line="264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Application>AlterOffice/3.4.0.9$Linux_X86_64 LibreOffice_project/b8daf9e823b1a5463a2f48435ddc2e8696e7d4fc</Application>
  <AppVersion>15.0000</AppVersion>
  <Pages>10</Pages>
  <Words>1393</Words>
  <Characters>9210</Characters>
  <CharactersWithSpaces>10591</CharactersWithSpaces>
  <Paragraphs>272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2024-06-11T10:35:00Z</dcterms:created>
  <dc:creator>Быстров Олег Геннадьевич</dc:creator>
  <dc:description/>
  <dc:language>ru-RU</dc:language>
  <cp:lastModifiedBy>zabelkinans@corp.gidroogk.com</cp:lastModifiedBy>
  <cp:lastPrinted>2026-07-29T13:18:06Z</cp:lastPrinted>
  <dcterms:modified xsi:type="dcterms:W3CDTF">2026-08-04T08:24:03Z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