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14.xml" ContentType="application/vnd.openxmlformats-officedocument.wordprocessingml.header+xml"/>
  <Override PartName="/word/header13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ОКПД2 43.12.1 Выполнение подготовительных работ в рамках строительства ЗШО 2 Нерюнгринской ГРЭС для нужд филиала ПАО «РусГидро» – «Хабаровский»</w:t>
      </w:r>
      <w:r>
        <w:rPr>
          <w:sz w:val="24"/>
          <w:szCs w:val="24"/>
        </w:rPr>
        <w:t xml:space="preserve">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Лот 0052-КС ПИР СМР-2026-ХФ</w:t>
      </w:r>
      <w:r>
        <w:br w:type="page"/>
      </w:r>
    </w:p>
    <w:p>
      <w:pPr>
        <w:pStyle w:val="Normal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7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5"/>
              <w:vanish w:val="false"/>
              <w:rFonts w:eastAsia="Calibri" w:cs="Times New Roman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  <w:rFonts w:eastAsia="Calibri" w:cs="Times New Roman"/>
            </w:rPr>
            <w:fldChar w:fldCharType="separate"/>
          </w:r>
          <w:hyperlink w:anchor="_Toc227246032">
            <w:r>
              <w:rPr>
                <w:webHidden/>
                <w:rStyle w:val="Style15"/>
                <w:rFonts w:eastAsia="Calibri" w:cs="Times New Roman"/>
                <w:vanish w:val="false"/>
              </w:rPr>
              <w:t>1.</w:t>
            </w:r>
            <w:r>
              <w:rPr>
                <w:rStyle w:val="Style15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33">
            <w:r>
              <w:rPr>
                <w:webHidden/>
                <w:rStyle w:val="Style15"/>
                <w:rFonts w:eastAsia="Calibri" w:cs="Times New Roman"/>
                <w:b/>
                <w:iCs/>
                <w:vanish w:val="false"/>
              </w:rPr>
              <w:t>1.1.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34">
            <w:r>
              <w:rPr>
                <w:webHidden/>
                <w:rStyle w:val="Style15"/>
                <w:rFonts w:eastAsia="Calibri" w:cs="Times New Roman"/>
                <w:b/>
                <w:iCs/>
                <w:vanish w:val="false"/>
              </w:rPr>
              <w:t>1.2.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35">
            <w:r>
              <w:rPr>
                <w:webHidden/>
                <w:rStyle w:val="Style15"/>
                <w:rFonts w:eastAsia="Calibri" w:cs="Times New Roman"/>
                <w:b/>
                <w:iCs/>
                <w:vanish w:val="false"/>
              </w:rPr>
              <w:t>1.3.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36">
            <w:r>
              <w:rPr>
                <w:webHidden/>
                <w:rStyle w:val="Style15"/>
                <w:rFonts w:eastAsia="Calibri" w:cs="Times New Roman"/>
                <w:b/>
                <w:iCs/>
                <w:vanish w:val="false"/>
              </w:rPr>
              <w:t>1.4.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eastAsia="" w:cs="Times New Roman" w:eastAsiaTheme="minorEastAsia"/>
              <w:bCs w:val="false"/>
              <w:sz w:val="22"/>
              <w:szCs w:val="22"/>
            </w:rPr>
          </w:pPr>
          <w:hyperlink w:anchor="_Toc227246037">
            <w:r>
              <w:rPr>
                <w:webHidden/>
                <w:rStyle w:val="Style15"/>
                <w:rFonts w:eastAsia="Calibri" w:cs="Times New Roman"/>
                <w:vanish w:val="false"/>
              </w:rPr>
              <w:t>Таблица 1. Перечень объектов капитального строительства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38">
            <w:r>
              <w:rPr>
                <w:webHidden/>
                <w:rStyle w:val="Style15"/>
                <w:rFonts w:eastAsia="Calibri" w:cs="Times New Roman"/>
                <w:b/>
                <w:iCs/>
                <w:vanish w:val="false"/>
              </w:rPr>
              <w:t>1.5.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39">
            <w:r>
              <w:rPr>
                <w:webHidden/>
                <w:rStyle w:val="Style15"/>
                <w:rFonts w:eastAsia="Calibri" w:cs="Times New Roman"/>
                <w:b/>
                <w:iCs/>
                <w:vanish w:val="false"/>
              </w:rPr>
              <w:t>1.6.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40">
            <w:r>
              <w:rPr>
                <w:webHidden/>
                <w:rStyle w:val="Style15"/>
                <w:rFonts w:eastAsia="Calibri" w:cs="Times New Roman"/>
                <w:b/>
                <w:iCs/>
                <w:vanish w:val="false"/>
              </w:rPr>
              <w:t>1.7.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Дополнительные затраты к стоимости СМР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7" w:leader="none"/>
              <w:tab w:val="right" w:pos="9911" w:leader="dot"/>
            </w:tabs>
            <w:rPr>
              <w:rFonts w:eastAsia="" w:cs="Times New Roman" w:eastAsiaTheme="minorEastAsia"/>
              <w:bCs w:val="false"/>
              <w:sz w:val="22"/>
              <w:szCs w:val="22"/>
            </w:rPr>
          </w:pPr>
          <w:hyperlink w:anchor="_Toc227246041">
            <w:r>
              <w:rPr>
                <w:webHidden/>
                <w:rStyle w:val="Style15"/>
                <w:rFonts w:eastAsia="Calibri" w:cs="Times New Roman"/>
                <w:vanish w:val="false"/>
              </w:rPr>
              <w:t>2.</w:t>
            </w:r>
            <w:r>
              <w:rPr>
                <w:rStyle w:val="Style15"/>
                <w:rFonts w:eastAsia="" w:cs="Times New Roman" w:eastAsiaTheme="minorEastAsia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42">
            <w:r>
              <w:rPr>
                <w:webHidden/>
                <w:rStyle w:val="Style15"/>
                <w:rFonts w:eastAsia="Calibri" w:cs="Times New Roman"/>
                <w:b/>
                <w:iCs/>
                <w:vanish w:val="false"/>
              </w:rPr>
              <w:t>2.1.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Требования по объемам и срокам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43">
            <w:r>
              <w:rPr>
                <w:webHidden/>
                <w:rStyle w:val="Style15"/>
                <w:rFonts w:eastAsia="Calibri" w:cs="Times New Roman"/>
                <w:b/>
                <w:vanish w:val="false"/>
              </w:rPr>
              <w:t>2.1.1.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Требования к видам и объемам поставок МТР, работ.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44">
            <w:r>
              <w:rPr>
                <w:webHidden/>
                <w:rStyle w:val="Style15"/>
                <w:rFonts w:eastAsia="Calibri" w:cs="Times New Roman"/>
                <w:b/>
                <w:vanish w:val="false"/>
              </w:rPr>
              <w:t>2.1.2.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Требования к срокам поставки МТР, выполнению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eastAsia="" w:cs="Times New Roman" w:eastAsiaTheme="minorEastAsia"/>
              <w:bCs w:val="false"/>
              <w:sz w:val="22"/>
              <w:szCs w:val="22"/>
            </w:rPr>
          </w:pPr>
          <w:hyperlink w:anchor="_Toc227246045">
            <w:r>
              <w:rPr>
                <w:webHidden/>
                <w:rStyle w:val="Style15"/>
                <w:rFonts w:eastAsia="Calibri" w:cs="Times New Roman"/>
                <w:vanish w:val="false"/>
              </w:rPr>
              <w:t>Таблица 3. Требования по срокам выполнения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27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eastAsia="" w:cs="Times New Roman" w:eastAsiaTheme="minorEastAsia"/>
              <w:b/>
              <w:sz w:val="22"/>
              <w:szCs w:val="22"/>
            </w:rPr>
          </w:pPr>
          <w:hyperlink w:anchor="_Toc227246046">
            <w:r>
              <w:rPr>
                <w:webHidden/>
                <w:rStyle w:val="Style15"/>
                <w:rFonts w:eastAsia="Calibri" w:cs="Times New Roman"/>
                <w:b/>
                <w:iCs/>
                <w:vanish w:val="false"/>
              </w:rPr>
              <w:t>2.2.</w:t>
            </w:r>
            <w:r>
              <w:rPr>
                <w:rStyle w:val="Style15"/>
                <w:rFonts w:eastAsia="" w:cs="Times New Roman" w:eastAsiaTheme="minorEastAsia"/>
                <w:b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  <w:b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b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hyperlink w:anchor="_Toc227246047">
            <w:r>
              <w:rPr>
                <w:webHidden/>
                <w:rStyle w:val="Style15"/>
                <w:rFonts w:eastAsia="Calibri" w:cs="Times New Roman"/>
                <w:vanish w:val="false"/>
              </w:rPr>
              <w:t>Таблица 4.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_Toc227246047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7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hyperlink w:anchor="_Toc227246049">
            <w:r>
              <w:rPr>
                <w:webHidden/>
                <w:rStyle w:val="Style15"/>
                <w:rFonts w:eastAsia="Calibri" w:cs="Times New Roman"/>
                <w:vanish w:val="false"/>
              </w:rPr>
              <w:t>3.</w:t>
            </w:r>
            <w:r>
              <w:rPr>
                <w:rStyle w:val="Style15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7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hyperlink w:anchor="_Toc227246050">
            <w:r>
              <w:rPr>
                <w:webHidden/>
                <w:rStyle w:val="Style15"/>
                <w:rFonts w:eastAsia="Calibri" w:cs="Times New Roman"/>
                <w:vanish w:val="false"/>
              </w:rPr>
              <w:t>4.</w:t>
            </w:r>
            <w:r>
              <w:rPr>
                <w:rStyle w:val="Style15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</w:rPr>
              <w:t>Требования к документации по ценообразованию на этапе исполнения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7" w:leader="none"/>
              <w:tab w:val="right" w:pos="9911" w:leader="dot"/>
            </w:tabs>
            <w:rPr>
              <w:rFonts w:eastAsia="" w:cs="Times New Roman" w:eastAsiaTheme="minorEastAsia"/>
              <w:b w:val="false"/>
              <w:bCs w:val="false"/>
              <w:sz w:val="22"/>
              <w:szCs w:val="22"/>
            </w:rPr>
          </w:pPr>
          <w:hyperlink w:anchor="_Toc227246051">
            <w:r>
              <w:rPr>
                <w:webHidden/>
                <w:rStyle w:val="Style15"/>
                <w:rFonts w:eastAsia="Calibri" w:cs="Times New Roman"/>
                <w:vanish w:val="false"/>
              </w:rPr>
              <w:t>5.</w:t>
            </w:r>
            <w:r>
              <w:rPr>
                <w:rStyle w:val="Style15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 w:cs="Times New Roman"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_Toc227246051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</w:rPr>
              <w:tab/>
              <w:t>32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  <w:rFonts w:cs="Times New Roman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left" w:pos="567" w:leader="none"/>
          <w:tab w:val="right" w:pos="9911" w:leader="dot"/>
        </w:tabs>
        <w:rPr>
          <w:rFonts w:eastAsia="" w:cs="Times New Roman" w:eastAsiaTheme="minorEastAsia"/>
          <w:b w:val="false"/>
          <w:bCs w:val="false"/>
          <w:sz w:val="22"/>
          <w:szCs w:val="22"/>
        </w:rPr>
      </w:pPr>
      <w:r>
        <w:rPr>
          <w:rFonts w:eastAsia="" w:cs="Times New Roman" w:eastAsiaTheme="minorEastAsia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20"/>
          <w:tab w:val="left" w:pos="567" w:leader="none"/>
          <w:tab w:val="right" w:pos="9911" w:leader="dot"/>
        </w:tabs>
        <w:rPr>
          <w:rFonts w:eastAsia="" w:cs="Times New Roman" w:eastAsiaTheme="minorEastAsia"/>
          <w:b w:val="false"/>
          <w:bCs w:val="false"/>
        </w:rPr>
      </w:pPr>
      <w:r>
        <w:rPr>
          <w:rFonts w:eastAsia="" w:cs="Times New Roman" w:eastAsiaTheme="minorEastAsia"/>
          <w:b w:val="false"/>
          <w:bCs w:val="false"/>
        </w:rPr>
      </w:r>
    </w:p>
    <w:p>
      <w:pPr>
        <w:pStyle w:val="TOC1"/>
        <w:tabs>
          <w:tab w:val="clear" w:pos="720"/>
          <w:tab w:val="right" w:pos="9911" w:leader="dot"/>
        </w:tabs>
        <w:spacing w:before="0" w:after="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  <w:r>
        <w:br w:type="page"/>
      </w:r>
    </w:p>
    <w:p>
      <w:pPr>
        <w:pStyle w:val="111"/>
        <w:numPr>
          <w:ilvl w:val="0"/>
          <w:numId w:val="3"/>
        </w:numPr>
        <w:ind w:left="0" w:hanging="0"/>
        <w:rPr/>
      </w:pPr>
      <w:bookmarkStart w:id="0" w:name="_Toc227246032"/>
      <w:bookmarkStart w:id="1" w:name="_Toc51339692"/>
      <w:r>
        <w:rPr/>
        <w:t>Общие сведения</w:t>
      </w:r>
      <w:bookmarkEnd w:id="0"/>
      <w:bookmarkEnd w:id="1"/>
    </w:p>
    <w:p>
      <w:pPr>
        <w:pStyle w:val="Normal"/>
        <w:rPr>
          <w:color w:val="000000" w:themeColor="text1"/>
          <w:sz w:val="24"/>
          <w:szCs w:val="24"/>
          <w:lang w:val="x-none" w:eastAsia="x-none"/>
        </w:rPr>
      </w:pPr>
      <w:r>
        <w:rPr>
          <w:color w:val="000000" w:themeColor="text1"/>
          <w:sz w:val="24"/>
          <w:szCs w:val="24"/>
          <w:lang w:val="x-none" w:eastAsia="x-none"/>
        </w:rPr>
      </w:r>
    </w:p>
    <w:p>
      <w:pPr>
        <w:pStyle w:val="Heading4"/>
        <w:numPr>
          <w:ilvl w:val="1"/>
          <w:numId w:val="3"/>
        </w:numPr>
        <w:ind w:left="0" w:firstLine="709"/>
        <w:rPr/>
      </w:pPr>
      <w:bookmarkStart w:id="2" w:name="_Toc227246033"/>
      <w:bookmarkStart w:id="3" w:name="_Toc46743505"/>
      <w:bookmarkStart w:id="4" w:name="_Toc156314589"/>
      <w:r>
        <w:rPr/>
        <w:t>Обозначения и сокращения</w:t>
      </w:r>
      <w:bookmarkEnd w:id="2"/>
      <w:bookmarkEnd w:id="3"/>
      <w:bookmarkEnd w:id="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93"/>
        <w:gridCol w:w="7889"/>
      </w:tblGrid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ГОСТ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Заказчик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ПАО «РусГидро»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МТР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Материально-технические ресурсы – всевозможные материалы, строительные конструкции, детали, комплектующие изделия (за исключением входящих в состав оборудования), инвентарь, отделочные материалы, сырье, смазочные материалы, иные товары, которые Подрядчик  должен задействовать, использовать, смонтировать на объекте согласно условиям договора, необходимые для выполнения работ по договору и последующей нормальной и надежной эксплуатации объекта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ПАО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Проектировщик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АО «Институт Гидропроект», </w:t>
            </w:r>
            <w:r>
              <w:rPr>
                <w:rFonts w:eastAsia="Calibri"/>
                <w:bCs/>
                <w:sz w:val="24"/>
                <w:szCs w:val="24"/>
              </w:rPr>
              <w:t>АО «ВНИИГ им. Б.Е. Веденеева»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РФ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ТТ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ТУ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pdf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lang w:val="en-US"/>
              </w:rPr>
              <w:t>P</w:t>
            </w:r>
            <w:r>
              <w:rPr>
                <w:bCs/>
                <w:iCs/>
                <w:color w:val="000000" w:themeColor="text1"/>
                <w:sz w:val="24"/>
                <w:szCs w:val="24"/>
              </w:rPr>
              <w:t>ortable document format, формат файла электронного документа.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Любое юридическое или физическое лицо, а также объединение этих лиц, способное на законных основаниях поставить требуемую продукцию.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ПНР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Пуско-наладочные работы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ФЗ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СМР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14.07.2022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14.07.2022 № 255-ФЗ «О контроле за деятельностью лиц, находящихся под иностранным влиянием»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Техническая документация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Совокупность графических, расчетных и текстовых материалов, необходимая и достаточная для изготовления и непосредственного использования продукции на каждой стадии ее жизненного цикла (хранение, транспортировка, монтаж, пуско-наладка, консервация, эксплуатация, ремонт).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Эквивалентная продукция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Продукция, которая по техническим и функциональным характеристикам не уступает характеристикам, указанным в ведомости поставки Подрядчика и рабочей документации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‍</w:t>
            </w:r>
            <w:r>
              <w:rPr>
                <w:bCs/>
                <w:iCs/>
                <w:color w:val="000000" w:themeColor="text1"/>
                <w:sz w:val="24"/>
                <w:szCs w:val="24"/>
              </w:rPr>
              <w:t>ЗШО</w:t>
            </w:r>
          </w:p>
        </w:tc>
        <w:tc>
          <w:tcPr>
            <w:tcW w:w="7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золошлакоотвал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‍</w:t>
            </w:r>
            <w:r>
              <w:rPr>
                <w:bCs/>
                <w:iCs/>
                <w:color w:val="000000" w:themeColor="text1"/>
                <w:sz w:val="24"/>
                <w:szCs w:val="24"/>
              </w:rPr>
              <w:t>ИГЭ</w:t>
            </w:r>
          </w:p>
        </w:tc>
        <w:tc>
          <w:tcPr>
            <w:tcW w:w="7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Инженерно-геологический элемент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‍</w:t>
            </w:r>
            <w:r>
              <w:rPr>
                <w:bCs/>
                <w:iCs/>
                <w:color w:val="000000" w:themeColor="text1"/>
                <w:sz w:val="24"/>
                <w:szCs w:val="24"/>
              </w:rPr>
              <w:t>ППР</w:t>
            </w:r>
          </w:p>
        </w:tc>
        <w:tc>
          <w:tcPr>
            <w:tcW w:w="7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Проект производства работ</w:t>
            </w:r>
          </w:p>
        </w:tc>
      </w:tr>
      <w:tr>
        <w:trPr>
          <w:cantSplit w:val="true"/>
        </w:trPr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‍</w:t>
            </w:r>
            <w:r>
              <w:rPr>
                <w:bCs/>
                <w:iCs/>
                <w:color w:val="000000" w:themeColor="text1"/>
                <w:sz w:val="24"/>
                <w:szCs w:val="24"/>
              </w:rPr>
              <w:t>НРС</w:t>
            </w:r>
          </w:p>
        </w:tc>
        <w:tc>
          <w:tcPr>
            <w:tcW w:w="7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Национальный реестр специалистов</w:t>
            </w:r>
          </w:p>
        </w:tc>
      </w:tr>
    </w:tbl>
    <w:p>
      <w:pPr>
        <w:pStyle w:val="Heading4"/>
        <w:tabs>
          <w:tab w:val="clear" w:pos="0"/>
        </w:tabs>
        <w:ind w:left="709" w:hanging="0"/>
        <w:rPr>
          <w:lang w:val="ru-RU"/>
        </w:rPr>
      </w:pPr>
      <w:r>
        <w:rPr>
          <w:lang w:val="ru-RU"/>
        </w:rPr>
      </w:r>
    </w:p>
    <w:p>
      <w:pPr>
        <w:pStyle w:val="Heading4"/>
        <w:numPr>
          <w:ilvl w:val="1"/>
          <w:numId w:val="3"/>
        </w:numPr>
        <w:ind w:left="0" w:firstLine="709"/>
        <w:rPr/>
      </w:pPr>
      <w:bookmarkStart w:id="5" w:name="_Toc227246034"/>
      <w:r>
        <w:rPr/>
        <w:t>Наименование закупаемой продукции</w:t>
      </w:r>
      <w:bookmarkEnd w:id="5"/>
    </w:p>
    <w:p>
      <w:pPr>
        <w:pStyle w:val="Normal"/>
        <w:shd w:val="clear" w:color="auto" w:fill="FFFFFF" w:themeFill="background1"/>
        <w:rPr>
          <w:color w:val="000000" w:themeColor="text1"/>
          <w:sz w:val="24"/>
          <w:szCs w:val="24"/>
          <w:lang w:eastAsia="x-none"/>
        </w:rPr>
      </w:pPr>
      <w:r>
        <w:rPr>
          <w:color w:val="000000" w:themeColor="text1"/>
          <w:sz w:val="24"/>
          <w:szCs w:val="24"/>
          <w:lang w:eastAsia="x-none"/>
        </w:rPr>
      </w:r>
    </w:p>
    <w:p>
      <w:pPr>
        <w:pStyle w:val="Style36"/>
        <w:rPr/>
      </w:pPr>
      <w:r>
        <w:rPr/>
        <w:t>ОКПД2 43.12.1 Выполнение строительно-монтажных работ в рамках строительства  ЗШО 2 Нерюнгринской ГРЭС для нужд филиала ПАО «РусГидро» – «Хабаровский»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1"/>
          <w:numId w:val="3"/>
        </w:numPr>
        <w:ind w:left="0" w:firstLine="709"/>
        <w:rPr/>
      </w:pPr>
      <w:bookmarkStart w:id="6" w:name="_Toc46743507"/>
      <w:bookmarkStart w:id="7" w:name="_Toc227246035"/>
      <w:bookmarkStart w:id="8" w:name="_Toc132019359"/>
      <w:bookmarkStart w:id="9" w:name="_Toc133252981"/>
      <w:bookmarkStart w:id="10" w:name="_Toc131857479"/>
      <w:bookmarkStart w:id="11" w:name="_Toc133252983"/>
      <w:bookmarkEnd w:id="8"/>
      <w:bookmarkEnd w:id="9"/>
      <w:bookmarkEnd w:id="10"/>
      <w:bookmarkEnd w:id="11"/>
      <w:r>
        <w:rPr/>
        <w:t>Цель использования закупаемой продукции</w:t>
      </w:r>
      <w:bookmarkEnd w:id="6"/>
      <w:bookmarkEnd w:id="7"/>
    </w:p>
    <w:p>
      <w:pPr>
        <w:pStyle w:val="Style36"/>
        <w:ind w:hanging="0"/>
        <w:rPr/>
      </w:pPr>
      <w:r>
        <w:rPr/>
      </w:r>
    </w:p>
    <w:p>
      <w:pPr>
        <w:pStyle w:val="Style36"/>
        <w:rPr/>
      </w:pPr>
      <w:r>
        <w:rPr/>
        <w:t>Основной целью и задачей является реализация инвестиционного проекта ПАО «РусГидро»: «Строительство ЗШО 2  Нерюнгринской ГРЭС».</w:t>
      </w:r>
    </w:p>
    <w:p>
      <w:pPr>
        <w:pStyle w:val="Style36"/>
        <w:rPr/>
      </w:pPr>
      <w:r>
        <w:rPr/>
      </w:r>
    </w:p>
    <w:p>
      <w:pPr>
        <w:pStyle w:val="Heading4"/>
        <w:numPr>
          <w:ilvl w:val="1"/>
          <w:numId w:val="3"/>
        </w:numPr>
        <w:ind w:left="0" w:firstLine="709"/>
        <w:rPr/>
      </w:pPr>
      <w:bookmarkStart w:id="12" w:name="_Toc46743508"/>
      <w:bookmarkStart w:id="13" w:name="_Toc227246036"/>
      <w:r>
        <w:rPr/>
        <w:t>Существующее положение</w:t>
      </w:r>
      <w:bookmarkEnd w:id="12"/>
      <w:bookmarkEnd w:id="13"/>
    </w:p>
    <w:p>
      <w:pPr>
        <w:pStyle w:val="Style36"/>
        <w:rPr/>
      </w:pPr>
      <w:r>
        <w:rPr/>
      </w:r>
    </w:p>
    <w:p>
      <w:pPr>
        <w:pStyle w:val="Style36"/>
        <w:rPr/>
      </w:pPr>
      <w:r>
        <w:rPr/>
        <w:t>«Нерюнгринская ГРЭС» – структурное подразделение АО «Дальневосточная генерирующая компания» (АО «ДГК»), входящая в Группу РусГидро, действует на территории г. Нерюнгри, пос. Беркакит, пос. Серебряный Бор, пос. Чульман. Основные виды деятельности – производство электрической и тепловой энергии, транспортировка и реализация тепловой энергии населению и юридическим лицам. В структурное подразделение входят Нерюнгринская ГРЭС, Чульманская ТЭЦ и водогрейная котельная.</w:t>
      </w:r>
    </w:p>
    <w:p>
      <w:pPr>
        <w:pStyle w:val="Style36"/>
        <w:rPr/>
      </w:pPr>
      <w:r>
        <w:rPr/>
        <w:t>Нерюнгринская ГРЭС представляет собой тепловую электростанцию с комбинированной выработкой электроэнергии и тепла. Установленная мощность электростанции – 570 МВт, установленная тепловая мощность – 820 Гкал/час.</w:t>
      </w:r>
    </w:p>
    <w:p>
      <w:pPr>
        <w:pStyle w:val="Style36"/>
        <w:rPr/>
      </w:pPr>
      <w:r>
        <w:rPr/>
        <w:t xml:space="preserve">Производственная площадка Нерюнгринской ГРЭС СП «Нерюнгринская ГРЭС» </w:t>
        <w:br/>
        <w:t>АО «ДГК» расположена по адресу: 678995, Российская Федерация, Республика Саха (Якутия), г. Нерюнгри, гп. Серебряный Бор с ориентировочной 1000-метровой санитарно-защитной зоной, располагается на территориях двух муниципальных образований:</w:t>
      </w:r>
    </w:p>
    <w:p>
      <w:pPr>
        <w:pStyle w:val="Style36"/>
        <w:rPr/>
      </w:pPr>
      <w:r>
        <w:rPr/>
        <w:t>на территории Муниципального образования Городского поселения «Поселок Серебряный Бор» Нерюнгринского района Республики Саха (Якутия);</w:t>
      </w:r>
    </w:p>
    <w:p>
      <w:pPr>
        <w:pStyle w:val="Style36"/>
        <w:rPr/>
      </w:pPr>
      <w:r>
        <w:rPr/>
        <w:t>на территории Муниципального образования «Нерюнгринский район» Республики Саха (Якутия).</w:t>
      </w:r>
    </w:p>
    <w:p>
      <w:pPr>
        <w:pStyle w:val="Style36"/>
        <w:rPr/>
      </w:pPr>
      <w:r>
        <w:rPr/>
        <w:t>Расстояние от Нерюнгринской ГРЭС на запад до г. Нерюнгри составляет 6 км, на север до г. Чульман – 18 км, на юг до г. Беркакит – 10 км. С северо-западной стороны находится гп. Серебряный бор, и также с северо-запада непосредственно участки проектирования 2 очереди Нерюнгринской ГРЭС граничат с полотном существующей железной дороги.</w:t>
      </w:r>
    </w:p>
    <w:p>
      <w:pPr>
        <w:pStyle w:val="Style36"/>
        <w:rPr/>
      </w:pPr>
      <w:r>
        <w:rPr/>
      </w:r>
    </w:p>
    <w:p>
      <w:pPr>
        <w:pStyle w:val="Heading1"/>
        <w:rPr/>
      </w:pPr>
      <w:bookmarkStart w:id="14" w:name="_Toc165976539"/>
      <w:bookmarkStart w:id="15" w:name="_Toc227246037"/>
      <w:r>
        <w:rPr/>
        <w:t>Таблица 1. Перечень объектов капитального строительства заказчика</w:t>
      </w:r>
      <w:bookmarkEnd w:id="14"/>
      <w:bookmarkEnd w:id="15"/>
    </w:p>
    <w:p>
      <w:pPr>
        <w:pStyle w:val="Style36"/>
        <w:rPr/>
      </w:pPr>
      <w:r>
        <w:rPr/>
      </w:r>
    </w:p>
    <w:tbl>
      <w:tblPr>
        <w:tblW w:w="906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3"/>
        <w:gridCol w:w="2692"/>
        <w:gridCol w:w="3829"/>
        <w:gridCol w:w="1982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Наименование объекта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Расположение объекта </w:t>
            </w:r>
            <w:r>
              <w:rPr>
                <w:b/>
                <w:i/>
                <w:iCs/>
                <w:color w:val="000000" w:themeColor="text1"/>
                <w:sz w:val="24"/>
                <w:szCs w:val="24"/>
              </w:rPr>
              <w:t>(место поставки МТР, производства работ, оказания услуг)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46" w:leader="none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6"/>
              <w:widowControl w:val="false"/>
              <w:ind w:hanging="0"/>
              <w:rPr>
                <w:rFonts w:eastAsia="Calibri"/>
              </w:rPr>
            </w:pPr>
            <w:r>
              <w:rPr>
                <w:rFonts w:eastAsia="Calibri"/>
              </w:rPr>
              <w:t>Строительство ЗШО-2 Нерюнгринской ГРЭС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678995, Российская Федерация, Республика Саха (Якутия), г. Нерюнгри, гп. Серебряный Бор, производственная площадка Нерюнгринской ГРЭС.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</w:tc>
      </w:tr>
    </w:tbl>
    <w:p>
      <w:pPr>
        <w:pStyle w:val="Style36"/>
        <w:rPr/>
      </w:pPr>
      <w:r>
        <w:rPr/>
      </w:r>
    </w:p>
    <w:p>
      <w:pPr>
        <w:pStyle w:val="Normal"/>
        <w:rPr>
          <w:color w:val="000000" w:themeColor="text1"/>
          <w:sz w:val="24"/>
          <w:szCs w:val="24"/>
          <w:lang w:eastAsia="x-none"/>
        </w:rPr>
      </w:pPr>
      <w:r>
        <w:rPr>
          <w:color w:val="000000" w:themeColor="text1"/>
          <w:sz w:val="24"/>
          <w:szCs w:val="24"/>
          <w:lang w:eastAsia="x-none"/>
        </w:rPr>
      </w:r>
      <w:r>
        <w:br w:type="page"/>
      </w:r>
    </w:p>
    <w:p>
      <w:pPr>
        <w:pStyle w:val="Heading4"/>
        <w:numPr>
          <w:ilvl w:val="1"/>
          <w:numId w:val="3"/>
        </w:numPr>
        <w:ind w:left="0" w:firstLine="709"/>
        <w:rPr/>
      </w:pPr>
      <w:bookmarkStart w:id="16" w:name="_Toc132019374"/>
      <w:bookmarkStart w:id="17" w:name="_Toc131857494"/>
      <w:bookmarkStart w:id="18" w:name="_Toc227246038"/>
      <w:r>
        <w:rPr/>
        <w:t xml:space="preserve">Информация в отношении исполнения договора, </w:t>
      </w:r>
      <w:bookmarkStart w:id="19" w:name="_Hlk46492347"/>
      <w:r>
        <w:rPr/>
        <w:t xml:space="preserve">которая должна быть учтена при подготовке заявки </w:t>
      </w:r>
      <w:bookmarkEnd w:id="19"/>
      <w:r>
        <w:rPr/>
        <w:t>(в том числе перечень ресурсов, услуг и документов, предоставляемых заказчиком на этапе исполнения договора)</w:t>
      </w:r>
      <w:bookmarkStart w:id="20" w:name="_Hlk48209761"/>
      <w:bookmarkEnd w:id="16"/>
      <w:bookmarkEnd w:id="17"/>
      <w:bookmarkEnd w:id="18"/>
    </w:p>
    <w:p>
      <w:pPr>
        <w:pStyle w:val="Style36"/>
        <w:rPr/>
      </w:pPr>
      <w:r>
        <w:rPr/>
      </w:r>
    </w:p>
    <w:p>
      <w:pPr>
        <w:pStyle w:val="Style36"/>
        <w:numPr>
          <w:ilvl w:val="0"/>
          <w:numId w:val="7"/>
        </w:numPr>
        <w:rPr/>
      </w:pPr>
      <w:bookmarkStart w:id="21" w:name="_Toc131857495"/>
      <w:bookmarkStart w:id="22" w:name="_Toc133252989"/>
      <w:bookmarkStart w:id="23" w:name="_Toc132019375"/>
      <w:r>
        <w:rPr/>
        <w:t>Подрядчик договора самостоятельно обеспечивает себя всеми необходимыми материально-техническими ресурсами.</w:t>
      </w:r>
      <w:bookmarkEnd w:id="21"/>
      <w:bookmarkEnd w:id="22"/>
      <w:bookmarkEnd w:id="23"/>
    </w:p>
    <w:p>
      <w:pPr>
        <w:pStyle w:val="Style36"/>
        <w:numPr>
          <w:ilvl w:val="0"/>
          <w:numId w:val="7"/>
        </w:numPr>
        <w:rPr/>
      </w:pPr>
      <w:bookmarkStart w:id="24" w:name="_Toc132019376"/>
      <w:bookmarkStart w:id="25" w:name="_Toc133252990"/>
      <w:bookmarkStart w:id="26" w:name="_Toc131857496"/>
      <w:r>
        <w:rPr/>
        <w:t>Подрядчик договора самостоятельно выполняет поставку материалов входящих в состав объектов строительства.</w:t>
      </w:r>
      <w:bookmarkEnd w:id="24"/>
      <w:bookmarkEnd w:id="25"/>
      <w:bookmarkEnd w:id="26"/>
    </w:p>
    <w:p>
      <w:pPr>
        <w:pStyle w:val="Style36"/>
        <w:numPr>
          <w:ilvl w:val="0"/>
          <w:numId w:val="7"/>
        </w:numPr>
        <w:rPr/>
      </w:pPr>
      <w:bookmarkStart w:id="27" w:name="_Toc131857497"/>
      <w:bookmarkStart w:id="28" w:name="_Toc133252992"/>
      <w:bookmarkStart w:id="29" w:name="_Toc132019377"/>
      <w:bookmarkStart w:id="30" w:name="_Toc133252991"/>
      <w:bookmarkEnd w:id="30"/>
      <w:r>
        <w:rPr/>
        <w:t>В соответствии с условиями договора Заказчик выдает  рабочую документацию.</w:t>
      </w:r>
      <w:bookmarkEnd w:id="27"/>
      <w:bookmarkEnd w:id="28"/>
      <w:bookmarkEnd w:id="29"/>
    </w:p>
    <w:p>
      <w:pPr>
        <w:pStyle w:val="Normal"/>
        <w:jc w:val="both"/>
        <w:rPr>
          <w:color w:val="000000" w:themeColor="text1"/>
          <w:sz w:val="24"/>
          <w:szCs w:val="24"/>
          <w:lang w:eastAsia="x-none"/>
        </w:rPr>
      </w:pPr>
      <w:r>
        <w:rPr>
          <w:color w:val="000000" w:themeColor="text1"/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ind w:left="0" w:firstLine="709"/>
        <w:rPr/>
      </w:pPr>
      <w:bookmarkStart w:id="31" w:name="_Toc227246039"/>
      <w:bookmarkStart w:id="32" w:name="_Toc46743510"/>
      <w:bookmarkStart w:id="33" w:name="_Toc50125126"/>
      <w:bookmarkEnd w:id="20"/>
      <w:bookmarkEnd w:id="32"/>
      <w:bookmarkEnd w:id="33"/>
      <w:r>
        <w:rPr/>
        <w:t>Иные требования и сведения общего характера</w:t>
      </w:r>
      <w:bookmarkEnd w:id="31"/>
    </w:p>
    <w:p>
      <w:pPr>
        <w:pStyle w:val="Style36"/>
        <w:rPr/>
      </w:pPr>
      <w:r>
        <w:rPr/>
      </w:r>
    </w:p>
    <w:p>
      <w:pPr>
        <w:pStyle w:val="Style36"/>
        <w:rPr/>
      </w:pPr>
      <w:r>
        <w:rPr/>
        <w:t>Подрядчик самостоятельно закупает и поставляет все необходимые материалы.</w:t>
      </w:r>
    </w:p>
    <w:p>
      <w:pPr>
        <w:pStyle w:val="Style36"/>
        <w:rPr/>
      </w:pPr>
      <w:r>
        <w:rPr/>
        <w:t>Указанные в настоящем Технических требованиях, включая все приложения к ним, ссылки на ТУ, марку (тип) продукции носят описательный, а не обязательный характер. В случае, если Подрядчиком предлагается эквивалентная продукция требуемой Заказчику продукции или ее составных частей, Подрядчик до начала поставки должен согласовать изменение с Заказчиком и Проектировщиком. В случае, если изменение материалов или оборудования повлечёт за собой изменение проектных решений, Подрядчик производит корректировку рабочей документации за свой счёт.</w:t>
      </w:r>
    </w:p>
    <w:p>
      <w:pPr>
        <w:pStyle w:val="Style36"/>
        <w:rPr/>
      </w:pPr>
      <w:r>
        <w:rPr/>
        <w:t xml:space="preserve">МТР поставки Подрядчика должны быть новыми, не бывшими в употреблении,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документы. Подрядчик обязан представить Заказчику все копии сертификатов, заключений, разрешений. </w:t>
      </w:r>
    </w:p>
    <w:p>
      <w:pPr>
        <w:pStyle w:val="Style36"/>
        <w:rPr/>
      </w:pPr>
      <w:r>
        <w:rPr/>
        <w:t>При проведении работ должны использоваться сертифицированные материалы в соответствии с Федеральным законом от 27.12.2002 №184-ФЗ  «О техническом регулировании» и Федеральным законом от 22.07.2008 №123-ФЗ «Технический регламент о требованиях пожарной безопасности».</w:t>
      </w:r>
    </w:p>
    <w:p>
      <w:pPr>
        <w:pStyle w:val="Style36"/>
        <w:rPr/>
      </w:pPr>
      <w:r>
        <w:rPr/>
        <w:t>МТР поставки Подрядчика должны быть поставлены в упаковке производителя, не нарушенной, без следов воздействия влаги.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воздействий, а также обеспечивать их сохранность при проведении погрузо-разгрузочных работ вручную или механизированными средствами.</w:t>
      </w:r>
    </w:p>
    <w:p>
      <w:pPr>
        <w:pStyle w:val="Style36"/>
        <w:rPr/>
      </w:pPr>
      <w:r>
        <w:rPr/>
        <w:t>Гарантия на материалы, поставляемые Подрядчиком, составляет срок не менее гарантийного срока, установленного заводом изготовителем.</w:t>
      </w:r>
    </w:p>
    <w:p>
      <w:pPr>
        <w:pStyle w:val="Style36"/>
        <w:rPr/>
      </w:pPr>
      <w:r>
        <w:rPr/>
        <w:t>В случае если какой-либо из указанных в настоящих Технических требованиях ГОСТ или нормативный документ был отменен в связи с выпуском новой редакции стандарта, то Подрядчик необходимо применять актуализированный ГОСТ или нормативный документ, принятый в его развитие.</w:t>
      </w:r>
    </w:p>
    <w:p>
      <w:pPr>
        <w:pStyle w:val="Style36"/>
        <w:rPr/>
      </w:pPr>
      <w:r>
        <w:rPr/>
      </w:r>
    </w:p>
    <w:p>
      <w:pPr>
        <w:pStyle w:val="Style36"/>
        <w:rPr/>
      </w:pPr>
      <w:r>
        <w:rPr/>
      </w:r>
    </w:p>
    <w:p>
      <w:pPr>
        <w:pStyle w:val="Heading4"/>
        <w:numPr>
          <w:ilvl w:val="1"/>
          <w:numId w:val="3"/>
        </w:numPr>
        <w:ind w:left="0" w:firstLine="709"/>
        <w:rPr>
          <w:b w:val="false"/>
        </w:rPr>
      </w:pPr>
      <w:bookmarkStart w:id="34" w:name="_Toc227246040"/>
      <w:r>
        <w:rPr/>
        <w:t>Дополнительные</w:t>
      </w:r>
      <w:r>
        <w:rPr>
          <w:b w:val="false"/>
        </w:rPr>
        <w:t xml:space="preserve"> </w:t>
      </w:r>
      <w:r>
        <w:rPr/>
        <w:t>затраты к стоимости СМР</w:t>
      </w:r>
      <w:bookmarkEnd w:id="34"/>
    </w:p>
    <w:p>
      <w:pPr>
        <w:pStyle w:val="Style36"/>
        <w:rPr/>
      </w:pPr>
      <w:r>
        <w:rPr/>
        <w:t>Кроме стоимости основных объемов работ в цену заявки необходимо включить следующие затраты:</w:t>
      </w:r>
    </w:p>
    <w:p>
      <w:pPr>
        <w:pStyle w:val="Style36"/>
        <w:numPr>
          <w:ilvl w:val="0"/>
          <w:numId w:val="9"/>
        </w:numPr>
        <w:ind w:left="1134" w:hanging="0"/>
        <w:rPr/>
      </w:pPr>
      <w:r>
        <w:rPr/>
        <w:t>Затраты, связанные с проездом до места строительства, доставкой вахтовых работников на объект, выплат, связанных с вахтовым методом производства работ;</w:t>
      </w:r>
    </w:p>
    <w:p>
      <w:pPr>
        <w:pStyle w:val="Style36"/>
        <w:numPr>
          <w:ilvl w:val="0"/>
          <w:numId w:val="9"/>
        </w:numPr>
        <w:ind w:left="1134" w:hanging="0"/>
        <w:rPr/>
      </w:pPr>
      <w:r>
        <w:rPr/>
        <w:t>Командировочные затраты;</w:t>
      </w:r>
    </w:p>
    <w:p>
      <w:pPr>
        <w:pStyle w:val="Style36"/>
        <w:numPr>
          <w:ilvl w:val="0"/>
          <w:numId w:val="9"/>
        </w:numPr>
        <w:ind w:left="1134" w:hanging="0"/>
        <w:rPr/>
      </w:pPr>
      <w:r>
        <w:rPr/>
        <w:t>Затраты на перебазировку строительной техники (компенсация затрат на перебазировку строительной техники осуществляется на основании приказа Минстроя от 13.12.2021 № 916/пр);</w:t>
      </w:r>
    </w:p>
    <w:p>
      <w:pPr>
        <w:pStyle w:val="Style36"/>
        <w:numPr>
          <w:ilvl w:val="0"/>
          <w:numId w:val="9"/>
        </w:numPr>
        <w:ind w:left="1134" w:hanging="0"/>
        <w:rPr/>
      </w:pPr>
      <w:r>
        <w:rPr/>
        <w:t>Затраты на банковскую гарантию;</w:t>
      </w:r>
    </w:p>
    <w:p>
      <w:pPr>
        <w:pStyle w:val="Style36"/>
        <w:numPr>
          <w:ilvl w:val="0"/>
          <w:numId w:val="9"/>
        </w:numPr>
        <w:ind w:left="1134" w:hanging="0"/>
        <w:rPr/>
      </w:pPr>
      <w:r>
        <w:rPr/>
        <w:t>Затраты на зимнее удорожание 6,7%;</w:t>
      </w:r>
    </w:p>
    <w:p>
      <w:pPr>
        <w:pStyle w:val="Style36"/>
        <w:numPr>
          <w:ilvl w:val="0"/>
          <w:numId w:val="9"/>
        </w:numPr>
        <w:ind w:left="1134" w:hanging="0"/>
        <w:rPr/>
      </w:pPr>
      <w:r>
        <w:rPr/>
        <w:t>Затраты на временные здания и сооружения 3,8%;</w:t>
      </w:r>
    </w:p>
    <w:p>
      <w:pPr>
        <w:pStyle w:val="Style36"/>
        <w:numPr>
          <w:ilvl w:val="0"/>
          <w:numId w:val="9"/>
        </w:numPr>
        <w:ind w:left="1134" w:hanging="0"/>
        <w:rPr/>
      </w:pPr>
      <w:r>
        <w:rPr/>
        <w:t>Непредвиденные затраты 3%.</w:t>
      </w:r>
    </w:p>
    <w:p>
      <w:pPr>
        <w:pStyle w:val="111"/>
        <w:numPr>
          <w:ilvl w:val="0"/>
          <w:numId w:val="3"/>
        </w:numPr>
        <w:ind w:left="0" w:hanging="0"/>
        <w:rPr/>
      </w:pPr>
      <w:bookmarkStart w:id="35" w:name="_Toc51339693"/>
      <w:bookmarkStart w:id="36" w:name="_Toc227246041"/>
      <w:bookmarkStart w:id="37" w:name="_Toc133230638"/>
      <w:bookmarkStart w:id="38" w:name="_Toc132019381"/>
      <w:bookmarkStart w:id="39" w:name="_Toc131857501"/>
      <w:bookmarkStart w:id="40" w:name="_Toc133229886"/>
      <w:bookmarkEnd w:id="37"/>
      <w:bookmarkEnd w:id="38"/>
      <w:bookmarkEnd w:id="39"/>
      <w:bookmarkEnd w:id="40"/>
      <w:r>
        <w:rPr/>
        <w:t>Требования к продукции</w:t>
      </w:r>
      <w:bookmarkEnd w:id="35"/>
      <w:bookmarkEnd w:id="36"/>
    </w:p>
    <w:p>
      <w:pPr>
        <w:pStyle w:val="Style36"/>
        <w:rPr/>
      </w:pPr>
      <w:r>
        <w:rPr/>
      </w:r>
    </w:p>
    <w:p>
      <w:pPr>
        <w:pStyle w:val="Heading4"/>
        <w:numPr>
          <w:ilvl w:val="1"/>
          <w:numId w:val="3"/>
        </w:numPr>
        <w:ind w:left="0" w:firstLine="709"/>
        <w:rPr/>
      </w:pPr>
      <w:bookmarkStart w:id="41" w:name="_Toc227246042"/>
      <w:r>
        <w:rPr/>
        <w:t xml:space="preserve">Требования </w:t>
      </w:r>
      <w:r>
        <w:rPr>
          <w:lang w:val="ru-RU"/>
        </w:rPr>
        <w:t>по</w:t>
      </w:r>
      <w:r>
        <w:rPr/>
        <w:t xml:space="preserve"> объемам и срокам</w:t>
      </w:r>
      <w:bookmarkEnd w:id="41"/>
    </w:p>
    <w:p>
      <w:pPr>
        <w:pStyle w:val="Heading3"/>
        <w:numPr>
          <w:ilvl w:val="2"/>
          <w:numId w:val="3"/>
        </w:numPr>
        <w:rPr>
          <w:b/>
        </w:rPr>
      </w:pPr>
      <w:bookmarkStart w:id="42" w:name="_Toc227246043"/>
      <w:r>
        <w:rPr>
          <w:b/>
        </w:rPr>
        <w:t>Требования к видам и объемам поставок</w:t>
      </w:r>
      <w:r>
        <w:rPr>
          <w:b/>
          <w:lang w:val="ru-RU"/>
        </w:rPr>
        <w:t xml:space="preserve"> МТР</w:t>
      </w:r>
      <w:r>
        <w:rPr>
          <w:b/>
        </w:rPr>
        <w:t>, работ.</w:t>
      </w:r>
      <w:bookmarkEnd w:id="42"/>
    </w:p>
    <w:p>
      <w:pPr>
        <w:pStyle w:val="Style36"/>
        <w:rPr>
          <w:rFonts w:eastAsia="Calibri"/>
          <w:b/>
          <w:color w:val="auto"/>
        </w:rPr>
      </w:pPr>
      <w:bookmarkStart w:id="43" w:name="_Toc51339695"/>
      <w:bookmarkStart w:id="44" w:name="_Toc51339695_Копия_1"/>
      <w:bookmarkEnd w:id="43"/>
      <w:bookmarkEnd w:id="44"/>
      <w:r>
        <w:rPr>
          <w:rFonts w:eastAsia="Calibri"/>
          <w:b/>
          <w:color w:val="auto"/>
          <w:lang w:val="x-none"/>
        </w:rPr>
        <w:t>Таблица 2.1 Перечень и объем выполняемых работ и применяемых материалов</w:t>
      </w:r>
      <w:r>
        <w:rPr>
          <w:rFonts w:eastAsia="Calibri"/>
          <w:b/>
          <w:color w:val="auto"/>
        </w:rPr>
        <w:t>*</w:t>
      </w:r>
    </w:p>
    <w:tbl>
      <w:tblPr>
        <w:tblW w:w="1064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6"/>
        <w:gridCol w:w="4991"/>
        <w:gridCol w:w="628"/>
        <w:gridCol w:w="1422"/>
        <w:gridCol w:w="2587"/>
      </w:tblGrid>
      <w:tr>
        <w:trPr>
          <w:trHeight w:val="408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000000"/>
                <w:sz w:val="24"/>
                <w:szCs w:val="24"/>
              </w:rPr>
              <w:t>Ед.</w:t>
              <w:br/>
              <w:t>изм.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Пропуск строительных расходов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Выемка непригодных грунтов основания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2. Земляные работы. Устройство дамбы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Возведение плотин, дамб, насыпей и нижней части экранов и ядер насухо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Горная масса 0...300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6 430,1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3. Земляные работы. Крепление верхового откоса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Укладка горной массы фр. 0-300, t= 1м в верховой откос дамбы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Горная масса фр. 0-300 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Укладка щебня фр.40-70 мм М1000, t=0,5 м в верховой откос дамбы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 фр. 40-70 мм, М1000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Укладка ЩПС С5 в защитный слой, t=0,3 м в верховой откос дамбы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35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ЩПС С5 по ГОСТ 25607-2009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Укладка бентонитовых матов БентоГрид SB*5-ss, 5х40м в верховой откос дамбы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Бентонитовые маты БентоГрид SB*5-ss, 5х40м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Просыпка монтажных швов бентонитовыми гранулами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Бентонитовые гранулы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Укладка ЩПС С5 в подстилающий слой, t=0,3 м в верховой откос дамбы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ЩПС С5 по ГОСТ 25607-2009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Укладка щебня фр.40-70 мм М1000, t=0,5 м в верховой откос дамбы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 фр. 40-70 мм, М1000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4. Монтаж труб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Укладка трубопроводов из полиэтиленовых труб диаметром: 2200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Труба КОРСИС ПЛЮС DN/ID 2200 PR SN4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Обетонирование трубопроводов диаметром 2200 мм в полевых условиях при строительстве подводных переходов при толщине бетонного покрытия: 500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Смеси бетонные тяжелого бетона (БСТ), класс B30 (М400 W4 F300))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1 237,5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Сталь арматурная рифленая свариваемая, класс А500С, диаметр 16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площадки из ЩПС под трубу в районе водобойного колодца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ЩПС С5 по ГОСТ 25607-2009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5. Устройство входного оголовка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Бетонная подготовка В7,5 t=0,1 м ГОСТ 26633-2015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 В20 W4 F300, ГОСТ 26633-2015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Опалубка мелкощитовая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Опалубка криволинейная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Опалубка крупнощитовая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206,95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Покрытие бетонных поверхностей со стороны засыпки соприкасающихся с грунтом  праймером        ТЕХНОНИКОЛЬ №08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0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гидроизоляционной мастикой ТЕХНОНИКОЛЬ № 24 (МГТН) со стороны засыпки соприкасающихся с грунтом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172,2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каменной наброски  на выходе в ручей Dср = 0,25 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Каменная наброска Dср = 0,25 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6. Монтаж полиэтиленовых колодцев колодцев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круглых цельнолитых и собранных в заводских условиях колодцев из полимерных материалов диаметром: 2200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Колодец ГПП КЛСВ СПИРОЛАЙН SN 8 ID1500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фундаментов-столбов: бетонных (забивка бетоном колодца)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Смеси бетонные тяжелого бетона (БСТ), класс B12,5 (М150 W4 F300)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Дамба первичная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Земляные работы. Выемка непригодных грунтов основания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99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171 938,39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8" w:hRule="atLeast"/>
        </w:trPr>
        <w:tc>
          <w:tcPr>
            <w:tcW w:w="1016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</w:t>
            </w:r>
          </w:p>
        </w:tc>
        <w:tc>
          <w:tcPr>
            <w:tcW w:w="49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171 938,39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42 984,6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42 984,6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7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42 984,6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25 790,76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25 790,76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25 790,76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17 193,84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17 193,84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17 193,84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3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39 545,83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3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39 545,83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39 545,83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8 596,92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3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8 596,92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8 596,92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6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 грунтов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8 596,92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8 596,92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8 596,92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 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8 596,92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Дамба на ручье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Выемка.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6 226,794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6 226,794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6 226,794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2 075,598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2 075,598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2 075,598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2 905,837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2 905,837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2 905,837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4 151,196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4 151,196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4 151,196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3 320,957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3 320,957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3 320,957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8 302,392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8 302,392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8 302,392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ИГЭ-10 всего 12453,588м3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ИГЭ-10 5166,258м3 с отвозкой в кавальер на расстояние 1 км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5 166,258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5 166,258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5 166,258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ИГЭ-10 7287,88 м3 с отвозкой на полигон на расстояние 18,8 км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10 7287,88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10 7287,88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10 7287,88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2 075,598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2 075,598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2 075,598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Трубопровод левого борта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Выемка.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10 235,406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10 235,406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3 070,622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3 070,622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38 894,541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38 894,541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10 235,406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10 235,406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4 094,162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4 094,162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1 023,541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1 023,541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2 047,081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2 047,081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12 282,487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12 282,487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5 117,703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5 117,703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8 188,324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8 188,324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40 941,622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40 941,622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5 117,703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5 117,703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5 117,703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5 117,703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11 258,946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11 258,946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4.1.30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40 941,622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4.1.31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40 941,622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4.1.32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6 141,243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4.1.33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6 141,243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Трубопровод правого борта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Выемка.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2 099,281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2 099,281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6 297,843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6 297,843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6 297,843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7 347,483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7 347,483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7 347,483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9 446,764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9 446,764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9 446,764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22 042,45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22 042,45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22 042,45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6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23 092,09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23 092,09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23 092,09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23 092,09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20 992,809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20 992,809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10 496,405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10 496,405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5 248,202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5 248,202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6 297,843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6 297,843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6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17 843,888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17 843,888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17 843,888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17 843,888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6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51 432,382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51 432,382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51 432,382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51 432,382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27 290,652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27 290,652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Отстойный пруд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Подготовка основания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Снятие плодородно-растительного слоя, t= 25 см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20 м бульдозерами,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22 500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3 км, группа грунтов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22 500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Выемка грунта, tср.=1,865, в том числе: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20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перемещением до 20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перемещением до 20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551 103,786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551 103,786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перемещением до 20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перемещением до 20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551 103,786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551 103,786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перемещением до 20 м бульдозерами, группа грунтов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перемещением до 20 м бульдозерами,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551 103,786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551 103,786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551 103,786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ИГЭ-18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перемещением до 20 м бульдозерами,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6.1.19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6.1.20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36 740,252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Подготовка основания с разравниванием, уплотнением и протравливанием гербицидами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Планировка площадей бульдозерами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984 993,36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Уничтожение сорняков на набивных дорожках и площадках ядохимикатами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984 993,36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Русловой дренаж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Подготовка основания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88 921,26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88 921,26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Планировка площадей бульдозерами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46 274,58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Нагорная канава по левому борту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Устройство нагорной канавы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1 472,1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1 472,1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3 430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3 430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3 598,6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3 598,6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3 270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3 270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8.1.19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6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7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8 014,98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8 014,98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8 014,98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4 252,9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4 252,9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Отсыпка щебеночно-песчаной смесью С5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8.1.29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37 299,74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8.1.30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Смесь щебеночно-песчаная готовая, щебень из плотных горных пород М 600, номер смеси С5, размер зерен 0-40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46 997,67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2. Крепление дна и откосов нагорной канавы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Планировка площадей бульдозерами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49 914,68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противофильтрационного экрана из полиэтиленовой пленки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13 878,05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Маты бентонитовые геотекстильные водонепроницаемые, масса гранул бентонита не менее 4800 г/м2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18 041,47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Шлак котельный</w:t>
            </w:r>
          </w:p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Бентонитовые гранулы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2 245,49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4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Стабилизация грунта решеткой геотехнической двуосной при толщине слоя основания 20 см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52 410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Георешетка нетканая объемная пластиковая А Ф, сторона ячейки 210 мм, высота ячейки 150 мм, ТП, площадь в развернутом (монтажном) состоянии 18,0 м2 (3,0х6,0 м)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55 135,751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 М 600, фракция 40-80(70) мм, группа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5 687,19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Укладка слоя растительного грунта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Укрепление откосов земляных сооружений посевом многолетних трав: с подсыпкой растительной земли вручную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5 874,54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 растительная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5 874,54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Выемка анкерной траншеи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4 340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Засыпка траншей и котлованов с перемещением грунта до 5 м бульдозерами, группа грунтов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2 364,56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Смесь щебеночно-песчаная готовая, щебень из плотных горных пород М 600, номер смеси С5, размер зерен 0-40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2 364,56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грунта пневматическими трамбовками, группа грунтов: 1-2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2 364,56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Нагорная канава по правому борту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Устройство нагорной канавы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ЩПС С8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в отвал экскаваторами "драглайн" или "обратная лопата" с ковшом, группа грунтов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2 181,042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48 500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содержание грунтовых землевозных дорог на каждые 0,5 км длины, группа грунтов: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48 500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48 500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32 390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содержание грунтовых землевозных дорог на каждые 0,5 км длины, группа грунтов: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32 390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32 390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64 780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содержание грунтовых землевозных дорог на каждые 0,5 км длины, группа грунтов: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64 780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64 780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49 660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содержание грунтовых землевозных дорог на каждые 0,5 км длины, группа грунтов: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49 660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49 660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21 590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содержание грунтовых землевозных дорог на каждые 0,5 км длины, группа грунтов: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21 590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21 590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7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15 115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15 115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9.1.19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содержание грунтовых землевозных дорог на каждые 0,5 км длины, группа грунтов: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15 115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9.1.20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15 115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Отсыпка ЩПС С5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9.1.21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1 310,54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9.1.22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Смесь щебеночно-песчаная готовая, щебень из плотных горных пород М 600, номер смеси С5, размер зерен 0-40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1 310,54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2. Крепление дна и откосов нагорной канавы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Планировка площадей бульдозерами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82 819,69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противофильтрационного экрана из полиэтиленовой пленки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16 447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Геоматы бентонитовые NaBento RL-N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19 736,4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Засыпка вручную траншей, пазух котлованов и ям, группа грунтов: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2 661,073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Шлак котельный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2 661,073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Стабилизация грунта решеткой геотехнической двуосной при толщине слоя основания 20 см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86 960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Георешетка нетканая объемная пластиковая А Ф, сторона ячейки 210 мм, высота ячейки 150 мм, площадь в развернутом (монтажном) состоянии 18,0 м2 (3,0х6,0 м)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91 481,92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 М 600, фракция 40-80(70) мм, группа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6 739,741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Крюк анкерный для геотехнической полимерной решетки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7 312,884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Крепление откосов при уклоне 1:3 и положе песчано-гравийной смесью или щебнем слоем толщиной: до 0,2 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9 694,724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 растительная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9 694,724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Крепление откосов при уклоне 1:3 и положе песчано-гравийной смесью или щебнем слоем толщиной: до 0,2 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2 005,89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 растительная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2 005,89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содержание грунтовых землевозных дорог на каждые 0,5 км длины, группа грунтов: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9 725,59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2 364,556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9.2.18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Смесь щебеночно-песчаная готовая, щебень из плотных горных пород М 600, номер смеси С5, размер зерен 0-40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2 364,556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Быстроток по левому борту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Выемка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86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4 873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4 873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4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3 248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3 248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4 550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4 550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5 847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5 847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2 599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2 599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6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7 797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7 797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7 797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7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3 573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3 573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3 573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2. Устройство бетонной подготовки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бетонной подготовки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Смеси бетонные тяжелого бетона (БСТ), класс B7,5 (М100)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150,144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3. Монтаж лотков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отдельных конструкций емкостных сооружений, устройство: лотков между сооружениями при толщине стен до 100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Смеси бетонные тяжелого бетона (БСТ), класс B25 (М350)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1 079,96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(Надбавка) Смеси бетонные тяжелого бетона (БСТ), класс B25 (М350) (Бетон В25, W4, F400)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Сталь арматурная, горячекатаная, класс А-I, А-II, А-III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108,53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4. Опалубка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 разборка кранами на гусеничном ходу 25 т опалубки деревянной крупнопанельной щитовой: плоской с горизонтальными и наклонными тяжами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4 393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 разборка кранами на гусеничном ходу 25 т опалубки деревянной стационарной: простых массивных блоков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5. Гидроизоляция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Гидроизоляция боковая обмазочная битумная в 2 слоя по выровненной поверхности бутовой кладки, кирпичу, бетону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2 463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Праймер битумный производства «Техно-Николь»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Мастика битумная гидроизоляционная для подземных строительных конструкций, холодная, готовая к применению, диапазон температур от -20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5 911,2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9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6. Уплотнение деформационных и строительных швов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деформационного шва прочими вертикальными уплотнениями: из резиновой диафрагмы ДВ-220/25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Изоляция плоских и криволинейных поверхностей штучными изделиями из пенополиуретана (плитами)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Плиты пенополистирольные экструзионные ТЕХНОПЛЕКС (ТУ 2244-047-17925162-2006), марки: 35 Стандарт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3,717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7. Земляные работы. Насыпь и обратные засыпки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Засыпка вручную траншей, пазух котлованов и ям, группа грунтов: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26 121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грунта пневматическими трамбовками, группа грунтов: 1-2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26 121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Смесь щебеночно-песчаная готовая, щебень из плотных горных пород М 600, номер смеси С5, размер зерен 0-40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26 121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8. Леерное ограждение быстротока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Электродуговая сварка при монтаже одноэтажных производственных зданий: ограждений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металлических пешеходных ограждений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Прокат угловой горячекатаный нормальной точности прокатки немерной длины из стали: С245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Болты анкерные с гайкой, диаметр 16 мм, длина 150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Окраска металлических огрунтованных поверхностей: эмалью ПФ-115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Быстроток по правому борту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Выемка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2 244,078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2 244,078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2 805,097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2 805,09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1 122,039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1 122,039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перемещением до 10 м бульдозерами, группа грунтов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841,529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841,529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841,529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1 402,549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1 402,549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280,51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280,51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6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12 342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12 342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12 342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7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7 013</w:t>
            </w:r>
          </w:p>
        </w:tc>
        <w:tc>
          <w:tcPr>
            <w:tcW w:w="25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грунтов будет уточнена на этапе исполнения договора на основании выданной в производство работ Рабочей документации.</w:t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7 013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11.1.19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7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7 013</w:t>
            </w:r>
          </w:p>
        </w:tc>
        <w:tc>
          <w:tcPr>
            <w:tcW w:w="25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2. Устройство бетонной подготовки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бетонной подготовки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74,75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Смеси бетонные тяжелого бетона (БСТ), класс B7,5 (М100)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76,245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3. Монтаж лотков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отдельных конструкций емкостных сооружений, устройство: лотков между сооружениями при толщине стен до 100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Смеси бетонные тяжелого бетона (БСТ), класс B25 (М350)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629,3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(Надбавка) Смеси бетонные тяжелого бетона (БСТ), класс B25 (М350) (Бетон В25, W4, F400)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Сталь арматурная, горячекатаная, класс А-I, А-II, А-III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63,24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4. Опалубка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 разборка опалубки деревянной крупнопанельной щитовой: плоской с горизонтальными и наклонными тяжам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4 393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 разборка опалубки деревянной стационарной: простых массивных блоков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5. Гидроизоляция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Гидроизоляция боковая обмазочная битумная в 2 слоя по выровненной поверхности бутовой кладки, кирпичу, бетону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Праймер битумный производства «Техно-Николь»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Мастика битумная гидроизоляционная для подземных строительных конструкций, холодная, готовая к применению, диапазон температур от -20 до +40 °C, прочность сцепления с металлом/бетоном не менее 0,1 МПа, расход для горизонтальной поверхности 1 кг/м2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2130,8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6. Уплотнение деформационных и строительных швов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деформационного шва прочими вертикальными уплотнениями: из резиновой диафрагмы ДВ-220/25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1 005,4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Изоляция плоских и криволинейных поверхностей штучными изделиями из пенополиуретана (плитами)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Плиты пенополистирольные экструзионные ТЕХНОПЛЕКС (ТУ 2244-047-17925162-2006), марки: 35 Стандарт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2,037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7. Земляные работы. Насыпь и обратные засыпки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Засыпка вручную траншей, пазух котлованов и ям, группа грунтов: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1 077,605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грунта пневматическими трамбовками, группа грунтов: 1-2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1 077,605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Засыпка траншей и котлованов с перемещением грунта до 5 м бульдозерами,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9 698,445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грунтов катками самоходными грунтовыми вибрационными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9 698,445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6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Смесь щебеночно-песчаная готовая, щебень из плотных горных пород М 600, номер смеси С5, размер зерен 0-40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10 776,05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8. Леерное ограждение быстротока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Электродуговая сварка при монтаже одноэтажных производственных зданий: ограждений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металлических пешеходных ограждений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Прокат угловой горячекатаный нормальной точности прокатки немерной длины из стали: С245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Болты анкерные с гайкой, диаметр 16 мм, длина 150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156 600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Окраска металлических огрунтованных поверхностей: эмалью ПФ-115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37 600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Водобойный колодец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Выемка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Каменная наброска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Крепление откосов  скальной породой или камнем слоем толщиной: до 1 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Горная масса 0...300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520,2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2. Бетонные работы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бетонной подготовки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53,95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Смеси бетонные тяжелого бетона (БСТ), класс B7,5 (М100)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53,95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Укладка бетонной смеси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 В20 W4 F300, ГОСТ 26633-2015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1 122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арматуры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Арматура А500С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56,1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3. Опалубка.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крупнощитовой опалубки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Демонтаж крупнощитовой опалубки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Крупнощитовая опалубка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мелкощитовой опалубки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Демонтаж мелкощитовой опалубки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Мелкощитовая опалубка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криволинейной опалубки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Демонтаж криволинейной опалубки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Криволинейная опалубка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4. Гидроизоляции.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Гидроизоляция бетонных поверхностей битумной мастикой ТЕХНОНИКОЛЬ №24 (МГТН) в два слоя по битумному праймеру  ТЕХНОНИКОЛЬ №08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Праймер ТЕХНОНИКОЛЬ №08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Гидроизоляционная мастика ТЕХНОНИКОЛЬ №24 (МГТН)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5. Уплотнение деформационных и строительных швов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шпонки деформационной Аквастоп ДВ-240/20 ПВХ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Шпонка деформационная Аквастоп ДВ 240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шпонки уплотнения строительных швов Аквастоп ХВ-240 ПВХ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Шпонка уплотнения строительных швов Аквастоп ХВ240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плит пенополистерольных RAVATEX XPS Standart L-35 t=20мм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Плиты пенополистерольные t=2см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Нагорная канава автомобильного проезда на участке ЗШО1-ЗШО2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Устройство нагорной канавы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1 363,136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1 363,136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4 985,107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4 985,107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6 929,798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6 929,798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ИГЭ-9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12 017,72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12 017,72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ИГЭ-14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934,157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934,157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208,567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208,567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ИГЭ-22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Рыхление гидромолотом на базе экскаватора скального грунта 6 группы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2937,6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2937,6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2937,6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Отсыпка ЩПС С5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подстилающих и выравнивающих слоев оснований: из щебня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5 158,88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Смесь щебеночно-песчаная готовая, щебень из плотных горных пород М 600, номер смеси С5, размер зерен 0-40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6 491,37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2. Крепление дна и откосов нагорной канавы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Планировка площадей бульдозерами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16 451,44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Укладка геомата трехмерного для склонов: пологих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4 430,155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Маты бентонитовые геотекстильные водонепроницаемые, масса гранул бентонита не менее 4800 г/м2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5 759,202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Засыпка вручную траншей, пазух котлованов и ям, группа грунтов: 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775,277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Шлак котельный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775,277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13.2.6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Стабилизация грунта решеткой геотехнической двуосной при толщине слоя основания 20 см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16 450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13.2.7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Георешетка нетканая объемная пластиковая А Ф, сторона ячейки 210 мм, высота ячейки 150 мм, ТП, площадь в развернутом (монтажном) состоянии 18,0 м2 (3,0х6,0 м)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17 306,915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13.2.8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 М 600, фракция 40-80(70) мм, группа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1 996,978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991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Укладка слоя растительного грунт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13.2.9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Укрепление откосов земляных сооружений посевом многолетних трав: с подсыпкой растительной земли вручную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2 385,64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13.2.10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 растительная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477,128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Выемка анкерной траншеи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19 км, группа грунтов 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5 145,813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2-3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5 145,813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Засыпка траншей и котлованов с перемещением грунта до 5 м бульдозерами, группа грунтов 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2 364,556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Смесь щебеночно-песчаная готовая, щебень из плотных горных пород М 600, номер смеси С5, размер зерен 0-40 мм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2 364,556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13.2.15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Уплотнение грунта пневматическими трамбовками, группа грунтов: 1-2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2 364,556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Кавальер грунта.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Раздел 1. Земляные работы. Кавальер грунта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14.1.1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rPr/>
            </w:pPr>
            <w:r>
              <w:rPr>
                <w:sz w:val="22"/>
                <w:szCs w:val="22"/>
              </w:rPr>
              <w:t>Разработка грунта с погрузкой на автомобили-самосвалы и перевозкой на расстояние до 16 км, группа грунтов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784 496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14.1.2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и содержание грунтовых землевозных дорог на каждые 0,5 км длины, группа грунтов: 5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784 496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14.1.3</w:t>
            </w:r>
          </w:p>
        </w:tc>
        <w:tc>
          <w:tcPr>
            <w:tcW w:w="49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отвале, группа грунтов: 5-6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м3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784 496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ListParagraph"/>
        <w:tabs>
          <w:tab w:val="clear" w:pos="720"/>
          <w:tab w:val="left" w:pos="1403" w:leader="none"/>
        </w:tabs>
        <w:ind w:left="-142" w:hanging="0"/>
        <w:jc w:val="both"/>
        <w:rPr/>
      </w:pPr>
      <w:r>
        <w:rPr>
          <w:bCs/>
          <w:sz w:val="20"/>
          <w:szCs w:val="20"/>
        </w:rPr>
        <w:t>* Перечень и объем выполняемых работ может быть уточнена на этапе исполнения договора на основании выданной в производство работ Рабочей документации.</w:t>
      </w:r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567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20"/>
          <w:tab w:val="left" w:pos="1403" w:leader="none"/>
        </w:tabs>
        <w:jc w:val="both"/>
        <w:rPr/>
      </w:pPr>
      <w:r>
        <w:rPr/>
        <w:tab/>
      </w:r>
    </w:p>
    <w:p>
      <w:pPr>
        <w:pStyle w:val="Heading3"/>
        <w:numPr>
          <w:ilvl w:val="2"/>
          <w:numId w:val="3"/>
        </w:numPr>
        <w:rPr>
          <w:b/>
        </w:rPr>
      </w:pPr>
      <w:bookmarkStart w:id="45" w:name="_Toc227246044"/>
      <w:bookmarkStart w:id="46" w:name="_Toc51339696"/>
      <w:r>
        <w:rPr>
          <w:b/>
        </w:rPr>
        <w:t xml:space="preserve">Требования </w:t>
      </w:r>
      <w:bookmarkEnd w:id="46"/>
      <w:r>
        <w:rPr>
          <w:b/>
        </w:rPr>
        <w:t xml:space="preserve">к срокам поставки </w:t>
      </w:r>
      <w:r>
        <w:rPr>
          <w:b/>
          <w:lang w:val="ru-RU"/>
        </w:rPr>
        <w:t>МТР</w:t>
      </w:r>
      <w:r>
        <w:rPr>
          <w:b/>
        </w:rPr>
        <w:t>, выполнению работ</w:t>
      </w:r>
      <w:bookmarkEnd w:id="45"/>
    </w:p>
    <w:p>
      <w:pPr>
        <w:pStyle w:val="Style36"/>
        <w:rPr/>
      </w:pPr>
      <w:r>
        <w:rPr/>
      </w:r>
    </w:p>
    <w:p>
      <w:pPr>
        <w:pStyle w:val="Heading1"/>
        <w:ind w:left="0" w:firstLine="709"/>
        <w:rPr/>
      </w:pPr>
      <w:bookmarkStart w:id="47" w:name="_Toc165976546"/>
      <w:bookmarkStart w:id="48" w:name="_Toc227246045"/>
      <w:bookmarkStart w:id="49" w:name="_Hlk50465284"/>
      <w:bookmarkStart w:id="50" w:name="_Toc51339697"/>
      <w:bookmarkStart w:id="51" w:name="_Toc50125127"/>
      <w:bookmarkStart w:id="52" w:name="_Toc50125126_Копия_1"/>
      <w:bookmarkEnd w:id="52"/>
      <w:r>
        <w:rPr/>
        <w:t>Таблица 3</w:t>
      </w:r>
      <w:r>
        <w:rPr>
          <w:lang w:val="ru-RU"/>
        </w:rPr>
        <w:t xml:space="preserve">. </w:t>
      </w:r>
      <w:r>
        <w:rPr/>
        <w:t xml:space="preserve">Требования </w:t>
      </w:r>
      <w:bookmarkEnd w:id="49"/>
      <w:bookmarkEnd w:id="50"/>
      <w:bookmarkEnd w:id="51"/>
      <w:r>
        <w:rPr/>
        <w:t>по срокам выполнения работ</w:t>
      </w:r>
      <w:bookmarkEnd w:id="47"/>
      <w:bookmarkEnd w:id="48"/>
    </w:p>
    <w:p>
      <w:pPr>
        <w:pStyle w:val="Normal"/>
        <w:ind w:firstLine="709"/>
        <w:rPr/>
      </w:pPr>
      <w:r>
        <w:rPr/>
      </w:r>
    </w:p>
    <w:tbl>
      <w:tblPr>
        <w:tblW w:w="15167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630"/>
        <w:gridCol w:w="6740"/>
        <w:gridCol w:w="2859"/>
        <w:gridCol w:w="3937"/>
      </w:tblGrid>
      <w:tr>
        <w:trPr>
          <w:trHeight w:val="1199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bookmarkStart w:id="53" w:name="_Toc46743510_Копия_1_Копия_1"/>
            <w:bookmarkEnd w:id="53"/>
            <w:r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Наименование работ (вид / этап (работ)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Требования к началу срока выполнения работ (этапа работ)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Требования к окончанию срока выполнения работ (этапа работ)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Пропуск строительных расходов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Дамба первичная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Дамба на ручье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 левого борта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 правого борта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Отстойный пруд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Русловой дренаж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  <w:t>‍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Нагорная канава по левому берегу 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/>
            </w:pPr>
            <w:r>
              <w:rPr/>
              <w:t>‍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Нагорная канава по правому берегу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510" w:leader="none"/>
              </w:tabs>
              <w:ind w:left="567" w:hanging="0"/>
              <w:jc w:val="center"/>
              <w:rPr/>
            </w:pPr>
            <w:r>
              <w:rPr/>
              <w:t>10.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Быстроток по левому берегу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ind w:left="360" w:hanging="0"/>
              <w:jc w:val="center"/>
              <w:rPr/>
            </w:pPr>
            <w:r>
              <w:rPr/>
              <w:t>11‍.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Быстроток по правому берегу 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ind w:left="360" w:hanging="0"/>
              <w:jc w:val="center"/>
              <w:rPr/>
            </w:pPr>
            <w:r>
              <w:rPr/>
              <w:t>12‍.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Водобойный колодец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ind w:left="360" w:hanging="0"/>
              <w:jc w:val="center"/>
              <w:rPr/>
            </w:pPr>
            <w:r>
              <w:rPr/>
              <w:t>13.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Нагорная канава автомобильного проезда от ЗШО 1 к ЗШО 2 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  <w:tr>
        <w:trPr>
          <w:trHeight w:val="714" w:hRule="atLeast"/>
        </w:trPr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57" w:type="dxa"/>
            </w:tcMar>
            <w:vAlign w:val="center"/>
          </w:tcPr>
          <w:p>
            <w:pPr>
              <w:pStyle w:val="ListParagraph"/>
              <w:widowControl w:val="false"/>
              <w:ind w:left="360" w:hanging="0"/>
              <w:jc w:val="center"/>
              <w:rPr/>
            </w:pPr>
            <w:r>
              <w:rPr/>
              <w:t>14.</w:t>
            </w:r>
          </w:p>
        </w:tc>
        <w:tc>
          <w:tcPr>
            <w:tcW w:w="6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1560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Кавальер грунта</w:t>
            </w: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(восемь) месяцев с даты заключения договора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rPr/>
      </w:pPr>
      <w:r>
        <w:rPr/>
      </w:r>
    </w:p>
    <w:p>
      <w:pPr>
        <w:pStyle w:val="Heading4"/>
        <w:numPr>
          <w:ilvl w:val="1"/>
          <w:numId w:val="3"/>
        </w:numPr>
        <w:ind w:left="0" w:firstLine="709"/>
        <w:rPr/>
      </w:pPr>
      <w:bookmarkStart w:id="54" w:name="_Toc51339698"/>
      <w:bookmarkStart w:id="55" w:name="_Toc50125131"/>
      <w:bookmarkStart w:id="56" w:name="_Toc227246046"/>
      <w:r>
        <w:rPr/>
        <w:t>Требования к качеству продукции</w:t>
      </w:r>
      <w:bookmarkEnd w:id="54"/>
      <w:bookmarkEnd w:id="55"/>
      <w:bookmarkEnd w:id="56"/>
    </w:p>
    <w:p>
      <w:pPr>
        <w:pStyle w:val="Style36"/>
        <w:rPr/>
      </w:pPr>
      <w:r>
        <w:rPr/>
      </w:r>
    </w:p>
    <w:p>
      <w:pPr>
        <w:pStyle w:val="Heading1"/>
        <w:rPr/>
      </w:pPr>
      <w:bookmarkStart w:id="57" w:name="_Toc227246047"/>
      <w:bookmarkStart w:id="58" w:name="_Toc165976548"/>
      <w:r>
        <w:rPr/>
        <w:t>Таблица </w:t>
      </w:r>
      <w:r>
        <w:rPr>
          <w:lang w:val="ru-RU"/>
        </w:rPr>
        <w:t xml:space="preserve">4. </w:t>
      </w:r>
      <w:r>
        <w:rPr/>
        <w:t>Требования к качеству продукции</w:t>
      </w:r>
      <w:bookmarkEnd w:id="57"/>
      <w:bookmarkEnd w:id="58"/>
      <w:r>
        <w:rPr/>
        <w:t xml:space="preserve"> </w:t>
      </w:r>
    </w:p>
    <w:p>
      <w:pPr>
        <w:pStyle w:val="Heading1"/>
        <w:rPr>
          <w:b w:val="false"/>
          <w:lang w:val="ru-RU"/>
        </w:rPr>
      </w:pPr>
      <w:bookmarkStart w:id="59" w:name="_Toc227246048"/>
      <w:bookmarkStart w:id="60" w:name="_Toc227244340"/>
      <w:r>
        <w:rPr/>
        <w:t>Наименование продукции (МТР, работ (этапа работ)</w:t>
      </w:r>
      <w:r>
        <w:rPr>
          <w:lang w:val="ru-RU"/>
        </w:rPr>
        <w:t>:</w:t>
      </w:r>
      <w:r>
        <w:rPr/>
        <w:t xml:space="preserve"> </w:t>
      </w:r>
      <w:bookmarkEnd w:id="59"/>
      <w:bookmarkEnd w:id="60"/>
      <w:r>
        <w:rPr>
          <w:b w:val="false"/>
          <w:lang w:val="ru-RU"/>
        </w:rPr>
        <w:t>Выполнение строительно-монтажных работы в рамках строительства ЗШО 2  Нерюнгринской ГРЭС</w:t>
      </w:r>
    </w:p>
    <w:p>
      <w:pPr>
        <w:pStyle w:val="Style36"/>
        <w:rPr/>
      </w:pPr>
      <w:r>
        <w:rPr/>
      </w:r>
    </w:p>
    <w:tbl>
      <w:tblPr>
        <w:tblStyle w:val="2e"/>
        <w:tblW w:w="153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17"/>
        <w:gridCol w:w="4525"/>
        <w:gridCol w:w="2843"/>
        <w:gridCol w:w="2839"/>
        <w:gridCol w:w="3679"/>
      </w:tblGrid>
      <w:tr>
        <w:trPr/>
        <w:tc>
          <w:tcPr>
            <w:tcW w:w="14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5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5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14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5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67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525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43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3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679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73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  <w:tc>
          <w:tcPr>
            <w:tcW w:w="2839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73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2839" w:type="dxa"/>
            <w:tcBorders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‍</w:t>
            </w:r>
          </w:p>
        </w:tc>
        <w:tc>
          <w:tcPr>
            <w:tcW w:w="45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lang w:val="ru-RU" w:eastAsia="ru-RU" w:bidi="ar-SA"/>
              </w:rPr>
              <w:t>Проектная документация согласно приложению №2 к ТТ</w:t>
            </w:r>
          </w:p>
        </w:tc>
        <w:tc>
          <w:tcPr>
            <w:tcW w:w="28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Отступления согласовываются с автором проекта и заказчиком. Подрядчиком при исполнении договора может быть применена эквивалентная продукция, предварительно согласованная с Заказчиком. В случае, если на этапе исполнения договора Подрядчиком, вместо материалов конкретных торговых знаков, марок и/или наименований, указанных в ведомости поставки Подрядчика будут применяться эквивалентные материалы, Подрядчик после согласования с Заказчиком, вносит изменения в сметную документацию, в лимитах общей стоимости по Договору</w:t>
            </w:r>
          </w:p>
        </w:tc>
        <w:tc>
          <w:tcPr>
            <w:tcW w:w="283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79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Постановление Правительства РФ от 16.09.2020 №1479 (ред. от 31.12.2020) "Об утверждении Правил противопожарного режима в Российской Федерации"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Свод правил СП 48.13330.2019 «Организация строительства. Актуализированная редакция СНиП 12-01-2004»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Свод правил СП 49.13330.2010 «СНиП 12-03-2001 «Безопасность труда в строительстве»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Свод правил СП 34.13330.2012 «Автомобильные дороги. Актуализированная редакция СНиП 2.05.02-85*»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Строительных норм и правил СНиП 12-04-2002 «Безопасность труда в строительстве. Часть 2. Строительное производство»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Федеральный закон «Технический регламент о требованиях пожарной безопасности» №123 от 22.07.2008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Градостроительный кодекс Российской Федерации» от 29.12.2004 №190-ФЗ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 Российской Федерации от 10.01.2002 № 7-ФЗ «Об охране окружающей среды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Федерального закона «О техническом регулировании» № 184-ФЗ от 27.12.2002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lang w:val="ru-RU" w:eastAsia="ru-RU" w:bidi="ar-SA"/>
              </w:rPr>
              <w:t>Санитарно-эпидемиологических правил и нормативов "Гигиенические требования к организации строительного производства и строительных работ. СанПиН 2.2.3.1384-03", утвержденные постановлением Главного государственного санитарного врача Российской Федерации от 11.06.2003 №141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‍</w:t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Иные межгосударственные и национальные стандарты, своды правил и нормативные документы в области проектирования и строительства объектов инфраструктуры железнодорожного транспорта, применяемые на добровольной основе.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‍</w:t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 случае возникновения разночтений, противоречий или коллизий между положениями настоящих ТТ и иной сопутствующей проектной документацией (включая, но не ограничиваясь: чертежи, спецификации, сметы, пояснительные записки, стандарты, инструкции), приоритет в обязательном порядке отдается положениям настоящих ТТ.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434" w:leader="none"/>
                <w:tab w:val="left" w:pos="1134" w:leader="none"/>
              </w:tabs>
              <w:suppressAutoHyphens w:val="true"/>
              <w:spacing w:before="0" w:after="0"/>
              <w:ind w:left="26" w:hanging="26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Подрядчик обязан руководствоваться исключительно ТТ в таких ситуациях, а все расхождения с проектной документацией должны быть немедленно зафиксированы и доведены до сведения заказчика для разрешения. При этом исполнение работ продолжается в соответствии с ТТ до получения письменного уточнения от заказчика.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73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</w:p>
        </w:tc>
        <w:tc>
          <w:tcPr>
            <w:tcW w:w="2839" w:type="dxa"/>
            <w:vMerge w:val="continue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Соответствие Разделу </w:t>
            </w: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 проекта Договора.</w:t>
            </w:r>
          </w:p>
        </w:tc>
        <w:tc>
          <w:tcPr>
            <w:tcW w:w="28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73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2839" w:type="dxa"/>
            <w:vMerge w:val="continue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Соответствие Разделу </w:t>
            </w: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 проекта Договора.</w:t>
            </w:r>
          </w:p>
        </w:tc>
        <w:tc>
          <w:tcPr>
            <w:tcW w:w="28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обязан обеспечить наличие системы контроля качества работ с приложением копии приказов о назначении ответственных лиц за организацию контроля качества, инструкций, а также сведений о наличии в штате специалистов, состоящих в НРС.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обязан обеспечить работников средствами индивидуальной защиты.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течении 7 (семи) календарных дней с даты заключения Договора разработать и направить в адрес Заказчика ППР на выполнение работ согласно п. 1 - 22 Таблицы 3 настоящих ТТ. Оформление ППР должно соответствовать требованиям СП 48.13330.2019 «Организация строительства», МДС 12-81.2007 «Методические рекомендации по разработке и оформлению проекта организации строительства и проекта производства работ».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Материалы поставки Подрядчика должны быть поставлены в упаковке производителя, не нарушенной, без следов воздействия влаги.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воздействий, а также обеспечивать их сохранность при проведении.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 поставляемые и применяемые Подрядчиком на объекте строительные материалы, оборудование, изделия должны соответствовать рабочей документации), должны быть пригодными для использования, иметь действующие сертификаты, технические паспорта и протоколы испытаний и разрешены для использования на территории РФ на русском языке.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обязан вести входной контроль применяемых строительных материалов, изделий, конструкций и оборудования в соответствии с СП 48.13330.2019, ГОСТ 24297-2013 с заполнением советующего журнала.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обязан обеспечить операционный контроль за качеством выполняемых работ, который осуществляется назначенным по приказу представителем Подрядчика и представителем Заказчика. Данные пооперационного контроля должны фиксироваться в журнале производства работ.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Поставка, погрузка, разгрузка продукции на площадке строительства осуществляется силами и средствами Поставщика или привлеченной транспортной компанией.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обязан вести входной контроль применяемых строительных материалов, изделий, конструкций и оборудования с заполнением советующего журнала.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370" w:hRule="atLeast"/>
        </w:trPr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52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Подрядчик обязан обеспечить операционный контроль за качеством выполняемых работ, который осуществляется назначенным по приказу представителем Подрядчика и представителем Заказчика. Данные пооперационного контроля должны фиксироваться в журнале производства работ.</w:t>
            </w:r>
          </w:p>
        </w:tc>
        <w:tc>
          <w:tcPr>
            <w:tcW w:w="28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7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495" w:hRule="atLeast"/>
        </w:trPr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ind w:left="184" w:hanging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452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 подрядчика</w:t>
            </w:r>
          </w:p>
        </w:tc>
        <w:tc>
          <w:tcPr>
            <w:tcW w:w="28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6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7" w:hRule="atLeast"/>
        </w:trPr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ind w:left="184" w:hanging="0"/>
              <w:contextualSpacing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en-US" w:eastAsia="ru-RU" w:bidi="ar-SA"/>
              </w:rPr>
              <w:t>5.1.1.</w:t>
            </w:r>
          </w:p>
        </w:tc>
        <w:tc>
          <w:tcPr>
            <w:tcW w:w="452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Разделу 8 проекта Договора.</w:t>
            </w:r>
          </w:p>
        </w:tc>
        <w:tc>
          <w:tcPr>
            <w:tcW w:w="28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false"/>
              <w:spacing w:before="40" w:after="0"/>
              <w:jc w:val="left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111"/>
        <w:numPr>
          <w:ilvl w:val="0"/>
          <w:numId w:val="3"/>
        </w:numPr>
        <w:ind w:left="0" w:hanging="0"/>
        <w:rPr/>
      </w:pPr>
      <w:bookmarkStart w:id="61" w:name="_Toc54646411"/>
      <w:bookmarkStart w:id="62" w:name="_Toc227246049"/>
      <w:bookmarkStart w:id="63" w:name="_Toc53393312"/>
      <w:r>
        <w:rPr/>
        <w:t>Требования к документации по ценообразованию</w:t>
      </w:r>
      <w:bookmarkEnd w:id="63"/>
      <w:r>
        <w:rPr/>
        <w:t xml:space="preserve"> на этапе закупки</w:t>
      </w:r>
      <w:bookmarkEnd w:id="61"/>
      <w:bookmarkEnd w:id="62"/>
    </w:p>
    <w:p>
      <w:pPr>
        <w:pStyle w:val="Style36"/>
        <w:rPr/>
      </w:pPr>
      <w:r>
        <w:rPr/>
      </w:r>
    </w:p>
    <w:p>
      <w:pPr>
        <w:pStyle w:val="Style36"/>
        <w:rPr/>
      </w:pPr>
      <w:r>
        <w:rPr/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с указанием понижающего коэффициента, (размер данного коэффициента рекомендуется учитывать с округлением до 7 знаков после запятой).</w:t>
      </w:r>
    </w:p>
    <w:p>
      <w:pPr>
        <w:pStyle w:val="Style36"/>
        <w:rPr/>
      </w:pPr>
      <w:r>
        <w:rPr/>
        <w:t>3.2.</w:t>
        <w:tab/>
        <w:t>Дополнительные документы по ценообразованию (сметная документация) в состав заявки Участника не включается.</w:t>
      </w:r>
    </w:p>
    <w:p>
      <w:pPr>
        <w:pStyle w:val="Style36"/>
        <w:rPr/>
      </w:pPr>
      <w:r>
        <w:rPr/>
      </w:r>
    </w:p>
    <w:p>
      <w:pPr>
        <w:pStyle w:val="111"/>
        <w:numPr>
          <w:ilvl w:val="0"/>
          <w:numId w:val="3"/>
        </w:numPr>
        <w:ind w:left="0" w:hanging="0"/>
        <w:rPr/>
      </w:pPr>
      <w:bookmarkStart w:id="64" w:name="_Toc54646412"/>
      <w:bookmarkStart w:id="65" w:name="_Toc227246050"/>
      <w:r>
        <w:rPr/>
        <w:t>Требования к документации по ценообразованию на этапе исполнения договора</w:t>
      </w:r>
      <w:bookmarkEnd w:id="64"/>
      <w:bookmarkEnd w:id="65"/>
    </w:p>
    <w:p>
      <w:pPr>
        <w:pStyle w:val="Style36"/>
        <w:rPr/>
      </w:pPr>
      <w:r>
        <w:rPr/>
      </w:r>
    </w:p>
    <w:p>
      <w:pPr>
        <w:pStyle w:val="Style36"/>
        <w:rPr/>
      </w:pPr>
      <w:r>
        <w:rPr/>
        <w:t>4.1. По результатам настоящей закупки заключается договор с предельной ценой, путем применения к начальной максимальной цене договора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</w:p>
    <w:p>
      <w:pPr>
        <w:pStyle w:val="Style36"/>
        <w:rPr/>
      </w:pPr>
      <w:r>
        <w:rPr/>
        <w:t xml:space="preserve">4.2. В рамках исполнения договора взаиморасчеты будут осуществляться по сметам, </w:t>
      </w:r>
      <w:r>
        <w:rPr>
          <w:i/>
          <w:iCs/>
        </w:rPr>
        <w:t xml:space="preserve">разработанным проектным институтом </w:t>
      </w:r>
      <w:r>
        <w:rPr>
          <w:bCs/>
          <w:i/>
          <w:iCs/>
        </w:rPr>
        <w:t xml:space="preserve">в соответствии с требованиями, указанными в приложении № 2 к настоящим Техническим требованиям и </w:t>
      </w:r>
      <w:r>
        <w:rPr/>
        <w:t>выданным Заказчиком «в производство» работ, с учетом понижающего коэффициента по результатам закупки.</w:t>
      </w:r>
    </w:p>
    <w:p>
      <w:pPr>
        <w:pStyle w:val="Style36"/>
        <w:rPr/>
      </w:pPr>
      <w:r>
        <w:rPr/>
        <w:t xml:space="preserve">4.3. </w:t>
      </w:r>
      <w:r>
        <w:rPr>
          <w:iCs/>
        </w:rPr>
        <w:t>Понижающий коэффициент, предложенный победителем конкурентной процедуры, начисляется в каждой локальной смете к итогу.</w:t>
      </w:r>
    </w:p>
    <w:p>
      <w:pPr>
        <w:pStyle w:val="Style36"/>
        <w:rPr/>
      </w:pPr>
      <w:r>
        <w:rPr/>
        <w:t xml:space="preserve">4.4. В случае если стоимость по сметам, выданным в производство работ, будет превышать стоимость, указанную в Коммерческом предложении, в ходе исполнения договора </w:t>
      </w:r>
      <w:r>
        <w:rPr>
          <w:iCs/>
        </w:rPr>
        <w:t>Подрядчику</w:t>
      </w:r>
      <w:r>
        <w:rPr/>
        <w:t xml:space="preserve">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>
      <w:pPr>
        <w:pStyle w:val="Style36"/>
        <w:rPr>
          <w:color w:val="auto"/>
        </w:rPr>
      </w:pPr>
      <w:r>
        <w:rPr/>
        <w:t xml:space="preserve">4.5. В случае если стоимость по сметам, выданным в производство работ, будет ниже стоимости, указанной в Коммерческом предложении, взаиморасчеты будут осуществляться по данным сметам без увеличения стоимости, указанной </w:t>
      </w:r>
      <w:r>
        <w:rPr>
          <w:color w:val="auto"/>
        </w:rPr>
        <w:t>в Коммерческом предложении.</w:t>
      </w:r>
    </w:p>
    <w:p>
      <w:pPr>
        <w:pStyle w:val="Style36"/>
        <w:rPr/>
      </w:pPr>
      <w:r>
        <w:rPr/>
        <w:t>4.6. В сметной документации предусмотрен резерв средств на непредвиденные работы и затраты в размере 3%.</w:t>
      </w:r>
    </w:p>
    <w:p>
      <w:pPr>
        <w:pStyle w:val="Style36"/>
        <w:rPr/>
      </w:pPr>
      <w:r>
        <w:rPr/>
        <w:t>4.6.1. В случае возникновения непредвиденных расходов в рамках реализации договора необходимо составлять и оформлять сметную документацию в обосновании данных затрат в соответствии с требованиями, указанными в приложении №2 к настоящим Техническим требованиям, с применением понижающего коэффициента, определенного по результатам закупочной процедуры (п.4.1 ТТ). Заключение дополнительного соглашения на увеличение стоимости работ производится после использования резерва средств на непредвиденные работы и затраты. В дополнительном соглашении резерв средств на непредвиденные работы и затраты не предусматривается.</w:t>
      </w:r>
    </w:p>
    <w:p>
      <w:pPr>
        <w:pStyle w:val="Style36"/>
        <w:rPr/>
      </w:pPr>
      <w:r>
        <w:rPr/>
      </w:r>
    </w:p>
    <w:p>
      <w:pPr>
        <w:pStyle w:val="111"/>
        <w:numPr>
          <w:ilvl w:val="0"/>
          <w:numId w:val="3"/>
        </w:numPr>
        <w:ind w:left="0" w:hanging="0"/>
        <w:rPr/>
      </w:pPr>
      <w:bookmarkStart w:id="66" w:name="_Toc51339699"/>
      <w:bookmarkStart w:id="67" w:name="_Toc54646413"/>
      <w:bookmarkStart w:id="68" w:name="_Toc46743519"/>
      <w:bookmarkStart w:id="69" w:name="_Toc227246051"/>
      <w:r>
        <w:rPr/>
        <w:t>Приложения</w:t>
      </w:r>
      <w:bookmarkEnd w:id="66"/>
      <w:bookmarkEnd w:id="67"/>
      <w:bookmarkEnd w:id="68"/>
      <w:bookmarkEnd w:id="69"/>
    </w:p>
    <w:p>
      <w:pPr>
        <w:pStyle w:val="Style36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firstLine="142"/>
        <w:rPr/>
      </w:pPr>
      <w:r>
        <w:rPr/>
        <w:t>Приложение № 1: Требования к оформлению и составлению документации по ценообразованию.</w:t>
      </w:r>
    </w:p>
    <w:p>
      <w:pPr>
        <w:pStyle w:val="Style36"/>
        <w:ind w:firstLine="142"/>
        <w:rPr/>
      </w:pPr>
      <w:r>
        <w:rPr/>
        <w:t>Приложение № 2: Проектная документация.</w:t>
      </w:r>
    </w:p>
    <w:p>
      <w:pPr>
        <w:pStyle w:val="Style36"/>
        <w:ind w:firstLine="142"/>
        <w:rPr/>
      </w:pPr>
      <w:r>
        <w:rPr/>
      </w:r>
    </w:p>
    <w:p>
      <w:pPr>
        <w:pStyle w:val="Style36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before="0" w:after="0"/>
        <w:ind w:left="2552" w:hanging="0"/>
        <w:contextualSpacing/>
        <w:jc w:val="right"/>
        <w:rPr>
          <w:sz w:val="24"/>
          <w:szCs w:val="24"/>
        </w:rPr>
      </w:pPr>
      <w:bookmarkStart w:id="70" w:name="_Hlk48222348"/>
      <w:r>
        <w:rPr>
          <w:sz w:val="24"/>
          <w:szCs w:val="24"/>
        </w:rPr>
        <w:t>к Техническим требованиям</w:t>
      </w:r>
      <w:bookmarkEnd w:id="70"/>
    </w:p>
    <w:p>
      <w:pPr>
        <w:pStyle w:val="Standard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Standard"/>
        <w:jc w:val="center"/>
        <w:rPr/>
      </w:pPr>
      <w:r>
        <w:rPr>
          <w:b/>
          <w:color w:val="000000"/>
          <w:sz w:val="24"/>
          <w:szCs w:val="24"/>
        </w:rPr>
        <w:t>Требования к оформлению и составлению документации по ценообразованию</w:t>
      </w:r>
    </w:p>
    <w:p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35"/>
        </w:numPr>
        <w:tabs>
          <w:tab w:val="clear" w:pos="720"/>
          <w:tab w:val="left" w:pos="1134" w:leader="none"/>
        </w:tabs>
        <w:suppressAutoHyphens w:val="false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условия ценообразования изложены в приложении № 3 к настоящим требованиям и являются неотъемлемой частью требований к составлению сметной документации.</w:t>
      </w:r>
    </w:p>
    <w:p>
      <w:pPr>
        <w:pStyle w:val="Normal"/>
        <w:numPr>
          <w:ilvl w:val="0"/>
          <w:numId w:val="36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Использование нормативов ценообразования, не зарегистрированных и не вошедших в ФРСН, </w:t>
      </w:r>
      <w:r>
        <w:rPr>
          <w:b/>
          <w:sz w:val="24"/>
          <w:szCs w:val="24"/>
          <w:u w:val="single"/>
        </w:rPr>
        <w:t>не допускается</w:t>
      </w:r>
      <w:r>
        <w:rPr>
          <w:sz w:val="24"/>
          <w:szCs w:val="24"/>
        </w:rPr>
        <w:t>, кроме случаев, прямо указанных в настоящих требованиях.</w:t>
      </w:r>
    </w:p>
    <w:p>
      <w:pPr>
        <w:pStyle w:val="Normal"/>
        <w:numPr>
          <w:ilvl w:val="0"/>
          <w:numId w:val="37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sz w:val="24"/>
          <w:szCs w:val="24"/>
        </w:rPr>
        <w:t>При составлении смет руководствоваться «Методикой определения сметной стоимости строительства»,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– Методика определения сметной стоимости строительства) с учетом изменений и дополнений,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08.08.2022г № 648/пр. с учетом изменений и дополнений.</w:t>
      </w:r>
    </w:p>
    <w:p>
      <w:pPr>
        <w:pStyle w:val="Normal"/>
        <w:numPr>
          <w:ilvl w:val="0"/>
          <w:numId w:val="38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Сметная цена материальных ресурсов и (или) оборудования (далее –МТР), закупаемых на территории региона субъекта Российской Федерации,</w:t>
      </w:r>
      <w:r>
        <w:rPr>
          <w:rFonts w:eastAsia="Calibri"/>
          <w:color w:val="1F497D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определяется в базисном уровне цен по состоянию на 01.01.2022 с использованием ФСБЦ-2022, индексов по группам однородных строительных ресурсов, размещенных во ФГИС ЦС по субъекту Российской Федерации, в котором расположен объект строительства.</w:t>
      </w:r>
    </w:p>
    <w:p>
      <w:pPr>
        <w:pStyle w:val="Normal"/>
        <w:tabs>
          <w:tab w:val="clear" w:pos="720"/>
          <w:tab w:val="left" w:pos="142" w:leader="none"/>
          <w:tab w:val="left" w:pos="1276" w:leader="none"/>
        </w:tabs>
        <w:ind w:firstLine="709"/>
        <w:jc w:val="both"/>
        <w:textAlignment w:val="baseline"/>
        <w:rPr>
          <w:rFonts w:eastAsia="Calibri"/>
          <w:strike/>
          <w:sz w:val="24"/>
          <w:szCs w:val="24"/>
        </w:rPr>
      </w:pPr>
      <w:r>
        <w:rPr>
          <w:sz w:val="24"/>
          <w:szCs w:val="24"/>
        </w:rPr>
        <w:t xml:space="preserve">При </w:t>
      </w:r>
      <w:r>
        <w:rPr>
          <w:i/>
          <w:sz w:val="24"/>
          <w:szCs w:val="24"/>
        </w:rPr>
        <w:t xml:space="preserve">отсутствии </w:t>
      </w:r>
      <w:r>
        <w:rPr>
          <w:sz w:val="24"/>
          <w:szCs w:val="24"/>
        </w:rPr>
        <w:t xml:space="preserve">информации о сметных ценах в ФГИС ЦС и ФССЦ по материальным ресурсам и оборудованию, </w:t>
      </w:r>
      <w:r>
        <w:rPr>
          <w:rFonts w:eastAsia="Calibri"/>
          <w:color w:val="000000"/>
          <w:sz w:val="24"/>
          <w:szCs w:val="24"/>
        </w:rPr>
        <w:t>их сметная цена формируется на основании расчета по наиболее экономичному варианту (минимальному значению) по результатам конъюнктурного анализа на основании Методики определения сметной стоимости строительства от 04.08.2020 № 421/пр.</w:t>
      </w:r>
    </w:p>
    <w:p>
      <w:pPr>
        <w:pStyle w:val="Normal"/>
        <w:numPr>
          <w:ilvl w:val="0"/>
          <w:numId w:val="39"/>
        </w:numPr>
        <w:tabs>
          <w:tab w:val="clear" w:pos="720"/>
          <w:tab w:val="left" w:pos="1276" w:leader="none"/>
        </w:tabs>
        <w:spacing w:before="0" w:after="0"/>
        <w:ind w:left="0" w:firstLine="709"/>
        <w:contextualSpacing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>
      <w:pPr>
        <w:pStyle w:val="Normal"/>
        <w:numPr>
          <w:ilvl w:val="0"/>
          <w:numId w:val="40"/>
        </w:numPr>
        <w:tabs>
          <w:tab w:val="clear" w:pos="720"/>
          <w:tab w:val="left" w:pos="567" w:leader="none"/>
          <w:tab w:val="left" w:pos="1276" w:leader="none"/>
        </w:tabs>
        <w:suppressAutoHyphens w:val="false"/>
        <w:spacing w:before="40" w:after="40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Затраты на эксплуатацию строительной техники, не учтенной нормами и расценками, включенными в ФРСН, на основании расчёта по наиболее экономичному варианту (минимальному значению) по результатам конъюнктурного анализа на основании Методики определения сметной стоимости строительства и учитываются в Главе 9 Сводного сметного расчёта стоимости строительства (далее - ССРСС).</w:t>
      </w:r>
    </w:p>
    <w:p>
      <w:pPr>
        <w:pStyle w:val="Normal"/>
        <w:numPr>
          <w:ilvl w:val="0"/>
          <w:numId w:val="41"/>
        </w:numPr>
        <w:tabs>
          <w:tab w:val="clear" w:pos="720"/>
          <w:tab w:val="left" w:pos="567" w:leader="none"/>
          <w:tab w:val="left" w:pos="1276" w:leader="none"/>
        </w:tabs>
        <w:suppressAutoHyphens w:val="false"/>
        <w:spacing w:before="40" w:after="40"/>
        <w:ind w:left="0" w:firstLine="709"/>
        <w:jc w:val="both"/>
        <w:rPr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При составлении сметной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</w:t>
      </w:r>
      <w:r>
        <w:rPr>
          <w:rFonts w:cs="Arial"/>
          <w:i/>
          <w:color w:val="000000"/>
          <w:sz w:val="24"/>
          <w:szCs w:val="24"/>
        </w:rPr>
        <w:t>например, Разборка, очистка, замена уплотнения, сборка крышки ванны подшипника: диаметр шейки вала свыше 0.95 до 1,5 м (диаметр шейки вала – 1.3 м), л</w:t>
      </w:r>
      <w:r>
        <w:rPr>
          <w:rFonts w:cs="Arial"/>
          <w:color w:val="000000"/>
          <w:sz w:val="24"/>
          <w:szCs w:val="24"/>
        </w:rPr>
        <w:t xml:space="preserve">ибо указывается в примечании, через дополнительную информацию </w:t>
      </w:r>
      <w:r>
        <w:rPr>
          <w:rFonts w:cs="Arial"/>
          <w:color w:val="000000"/>
          <w:sz w:val="24"/>
          <w:szCs w:val="24"/>
          <w:lang w:val="en-US"/>
        </w:rPr>
        <w:t>(в ПК Гранд-Смета).</w:t>
      </w:r>
    </w:p>
    <w:p>
      <w:pPr>
        <w:pStyle w:val="Normal"/>
        <w:numPr>
          <w:ilvl w:val="0"/>
          <w:numId w:val="42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При формировании сметной стоимости с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>
      <w:pPr>
        <w:pStyle w:val="Normal"/>
        <w:numPr>
          <w:ilvl w:val="0"/>
          <w:numId w:val="43"/>
        </w:numPr>
        <w:tabs>
          <w:tab w:val="clear" w:pos="720"/>
          <w:tab w:val="left" w:pos="1276" w:leader="none"/>
        </w:tabs>
        <w:spacing w:before="0" w:after="0"/>
        <w:ind w:left="0" w:firstLine="709"/>
        <w:contextualSpacing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>
      <w:pPr>
        <w:pStyle w:val="Normal"/>
        <w:numPr>
          <w:ilvl w:val="0"/>
          <w:numId w:val="44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указываются попозиционно.</w:t>
      </w:r>
      <w:r>
        <w:rPr>
          <w:rFonts w:eastAsia="Calibri"/>
          <w:color w:val="FF0000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</w:t>
      </w:r>
      <w:r>
        <w:rPr>
          <w:rFonts w:eastAsia="Calibri"/>
          <w:color w:val="000000"/>
          <w:sz w:val="24"/>
          <w:szCs w:val="24"/>
        </w:rPr>
        <w:t>применении коэффициенты перемножаются, результат округляется до семи знаков после запятой.</w:t>
      </w:r>
    </w:p>
    <w:p>
      <w:pPr>
        <w:pStyle w:val="Normal"/>
        <w:numPr>
          <w:ilvl w:val="0"/>
          <w:numId w:val="45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>
      <w:pPr>
        <w:pStyle w:val="Normal"/>
        <w:widowControl w:val="false"/>
        <w:numPr>
          <w:ilvl w:val="0"/>
          <w:numId w:val="46"/>
        </w:numPr>
        <w:tabs>
          <w:tab w:val="clear" w:pos="720"/>
          <w:tab w:val="left" w:pos="567" w:leader="none"/>
          <w:tab w:val="left" w:pos="709" w:leader="none"/>
        </w:tabs>
        <w:suppressAutoHyphens w:val="false"/>
        <w:spacing w:before="40" w:after="40"/>
        <w:ind w:left="0"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В ЛСР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>
      <w:pPr>
        <w:pStyle w:val="Normal"/>
        <w:widowControl w:val="false"/>
        <w:numPr>
          <w:ilvl w:val="0"/>
          <w:numId w:val="47"/>
        </w:numPr>
        <w:tabs>
          <w:tab w:val="clear" w:pos="720"/>
          <w:tab w:val="left" w:pos="567" w:leader="none"/>
          <w:tab w:val="left" w:pos="709" w:leader="none"/>
        </w:tabs>
        <w:suppressAutoHyphens w:val="false"/>
        <w:spacing w:before="40" w:after="40"/>
        <w:ind w:left="0"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В ЛСР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 </w:t>
      </w:r>
    </w:p>
    <w:p>
      <w:pPr>
        <w:pStyle w:val="Normal"/>
        <w:numPr>
          <w:ilvl w:val="0"/>
          <w:numId w:val="48"/>
        </w:numPr>
        <w:tabs>
          <w:tab w:val="clear" w:pos="720"/>
          <w:tab w:val="left" w:pos="567" w:leader="none"/>
          <w:tab w:val="left" w:pos="709" w:leader="none"/>
        </w:tabs>
        <w:suppressAutoHyphens w:val="false"/>
        <w:spacing w:before="40" w:after="40"/>
        <w:ind w:left="0" w:firstLine="709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 При этом, понижающий коэффициент, указывается в размере не более 7-ми знаков после запятой.</w:t>
      </w:r>
    </w:p>
    <w:p>
      <w:pPr>
        <w:pStyle w:val="Normal"/>
        <w:numPr>
          <w:ilvl w:val="0"/>
          <w:numId w:val="49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>
      <w:pPr>
        <w:pStyle w:val="Normal"/>
        <w:numPr>
          <w:ilvl w:val="0"/>
          <w:numId w:val="50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В локальных сметных расчётах построчные и итоговые суммы округлять: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при базисно-индексном методе до двух знаков после запятой (до копеек);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в объектных сметных расчётах (сметах), сводном сметном расчёте стоимости строительства и сводке затрат – рублях до двух знаков после запятой. Величину НДС не указывать.</w:t>
      </w:r>
    </w:p>
    <w:p>
      <w:pPr>
        <w:pStyle w:val="Normal"/>
        <w:numPr>
          <w:ilvl w:val="0"/>
          <w:numId w:val="51"/>
        </w:numPr>
        <w:tabs>
          <w:tab w:val="clear" w:pos="720"/>
          <w:tab w:val="left" w:pos="567" w:leader="none"/>
          <w:tab w:val="left" w:pos="993" w:leader="none"/>
        </w:tabs>
        <w:suppressAutoHyphens w:val="false"/>
        <w:spacing w:before="40" w:after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Выходные формы сметных расчётов должны соответствовать Образцам по приложениям 1.5. </w:t>
      </w:r>
    </w:p>
    <w:p>
      <w:pPr>
        <w:pStyle w:val="Normal"/>
        <w:numPr>
          <w:ilvl w:val="0"/>
          <w:numId w:val="52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В сметных расчётах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>
      <w:pPr>
        <w:pStyle w:val="Normal"/>
        <w:numPr>
          <w:ilvl w:val="0"/>
          <w:numId w:val="53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Сметная документация должна быть представлена в двух вариантах: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на бумажном носителе (количество указано в конкурсной документации);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на электронном носителе (в форматах «xml», ПК «Гранд-Смета», «Excel», «pdf»), полностью соответствующему бумажному варианту;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276" w:leader="none"/>
        </w:tabs>
        <w:ind w:left="0" w:firstLine="709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сметная документация в формате «Excel» должна быть представлена в одном файле с внесением ССРСС, ЛСР и других расчетов на отдельные листы (вкладки) документа.</w:t>
      </w:r>
    </w:p>
    <w:p>
      <w:pPr>
        <w:pStyle w:val="Normal"/>
        <w:numPr>
          <w:ilvl w:val="0"/>
          <w:numId w:val="54"/>
        </w:numPr>
        <w:tabs>
          <w:tab w:val="clear" w:pos="720"/>
          <w:tab w:val="left" w:pos="1276" w:leader="none"/>
        </w:tabs>
        <w:suppressAutoHyphens w:val="false"/>
        <w:ind w:left="0" w:firstLine="709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При наличии двух и более сметных расчетов составлять ССРСС в текущем уровне цен по форме Приложения № 1.1 к Требованиям к оформлению и составлению документации по ценообразованию по образцу.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1276" w:leader="none"/>
        </w:tabs>
        <w:suppressAutoHyphens w:val="false"/>
        <w:ind w:left="0" w:firstLine="709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В случае заключений дополнительных соглашений к договору (далее - д/с), ССРСС необходимо выполнять в накопительной форме с учетом ЛСР (ЛС)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№ 1.2 к Требованиям к оформлению и составлению документации по ценообразованию.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1276" w:leader="none"/>
        </w:tabs>
        <w:suppressAutoHyphens w:val="false"/>
        <w:ind w:left="0" w:firstLine="709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к Требованиям к оформлению и составлению документации по ценообразованию.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1276" w:leader="none"/>
        </w:tabs>
        <w:suppressAutoHyphens w:val="false"/>
        <w:ind w:left="0" w:firstLine="709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1276" w:leader="none"/>
        </w:tabs>
        <w:suppressAutoHyphens w:val="false"/>
        <w:ind w:left="0" w:firstLine="709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1276" w:leader="none"/>
        </w:tabs>
        <w:suppressAutoHyphens w:val="false"/>
        <w:ind w:left="0" w:firstLine="709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</w:rPr>
        <w:t>В ССРСС, построчные и итоговые суммы указывать в рублях с округлением до двух знаков после запятой. Величину НДС не указывать.</w:t>
      </w:r>
    </w:p>
    <w:p>
      <w:pPr>
        <w:pStyle w:val="Normal"/>
        <w:numPr>
          <w:ilvl w:val="0"/>
          <w:numId w:val="10"/>
        </w:numPr>
        <w:tabs>
          <w:tab w:val="clear" w:pos="720"/>
        </w:tabs>
        <w:ind w:left="0" w:hanging="0"/>
        <w:jc w:val="both"/>
        <w:rPr/>
      </w:pPr>
      <w:r>
        <w:rPr/>
      </w:r>
    </w:p>
    <w:p>
      <w:pPr>
        <w:pStyle w:val="Standard"/>
        <w:widowControl/>
        <w:numPr>
          <w:ilvl w:val="0"/>
          <w:numId w:val="0"/>
        </w:numPr>
        <w:suppressAutoHyphens w:val="true"/>
        <w:bidi w:val="0"/>
        <w:spacing w:before="0" w:after="0"/>
        <w:ind w:left="5812" w:hanging="0"/>
        <w:jc w:val="left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andard"/>
        <w:ind w:left="581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andard"/>
        <w:ind w:left="581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andard"/>
        <w:ind w:left="581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andard"/>
        <w:ind w:left="581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andard"/>
        <w:ind w:left="581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andard"/>
        <w:ind w:left="581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709" w:right="567" w:gutter="0" w:header="709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Standard"/>
        <w:ind w:left="581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</w:t>
      </w:r>
    </w:p>
    <w:p>
      <w:pPr>
        <w:pStyle w:val="ConsPlusNormal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</w:t>
      </w:r>
    </w:p>
    <w:p>
      <w:pPr>
        <w:pStyle w:val="ConsPlusNormal1"/>
        <w:jc w:val="right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 xml:space="preserve">Приложение № 1.1 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20"/>
        </w:tabs>
        <w:ind w:left="0"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Требованиям к оформлению 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20"/>
        </w:tabs>
        <w:ind w:left="0" w:firstLine="720"/>
        <w:jc w:val="right"/>
        <w:rPr>
          <w:sz w:val="20"/>
          <w:szCs w:val="20"/>
        </w:rPr>
      </w:pPr>
      <w:r>
        <w:rPr>
          <w:sz w:val="20"/>
          <w:szCs w:val="20"/>
        </w:rPr>
        <w:t>и составлению документации по ценообразованию</w:t>
      </w:r>
    </w:p>
    <w:tbl>
      <w:tblPr>
        <w:tblW w:w="158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38"/>
        <w:gridCol w:w="73"/>
        <w:gridCol w:w="1635"/>
        <w:gridCol w:w="583"/>
        <w:gridCol w:w="2842"/>
        <w:gridCol w:w="105"/>
        <w:gridCol w:w="12"/>
        <w:gridCol w:w="1525"/>
        <w:gridCol w:w="130"/>
        <w:gridCol w:w="14"/>
        <w:gridCol w:w="1677"/>
        <w:gridCol w:w="68"/>
        <w:gridCol w:w="14"/>
        <w:gridCol w:w="1840"/>
        <w:gridCol w:w="11"/>
        <w:gridCol w:w="37"/>
        <w:gridCol w:w="1930"/>
        <w:gridCol w:w="14"/>
        <w:gridCol w:w="293"/>
        <w:gridCol w:w="1667"/>
        <w:gridCol w:w="10"/>
        <w:gridCol w:w="114"/>
      </w:tblGrid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ОБРАЗЕЦ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85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3952" w:type="dxa"/>
            <w:gridSpan w:val="6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__ от ______</w:t>
            </w:r>
          </w:p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 Договору № _________ от ______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СОГЛАСОВАНО: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5806" w:type="dxa"/>
            <w:gridSpan w:val="8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УТВЕРЖДАЮ: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___________________ФИО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5806" w:type="dxa"/>
            <w:gridSpan w:val="8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___________________ФИО      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648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"_______" _____________ 20___ г.</w:t>
            </w:r>
          </w:p>
        </w:tc>
        <w:tc>
          <w:tcPr>
            <w:tcW w:w="166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5802" w:type="dxa"/>
            <w:gridSpan w:val="8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"______" ____________________ 20__ г.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7258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Сводный сметный расчет в сумме:______</w:t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 без НДС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528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СВОДНЫЙ СМЕТНЫЙ РАСЧЕТ </w:t>
            </w:r>
          </w:p>
        </w:tc>
        <w:tc>
          <w:tcPr>
            <w:tcW w:w="197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8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0205" w:type="dxa"/>
            <w:gridSpan w:val="13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294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528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(наименование стройки)</w:t>
            </w:r>
          </w:p>
        </w:tc>
        <w:tc>
          <w:tcPr>
            <w:tcW w:w="197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678" w:type="dxa"/>
            <w:gridSpan w:val="12"/>
            <w:tcBorders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Составлен в ценах, соответствующих периоду выполнения работ по договору</w:t>
            </w:r>
          </w:p>
        </w:tc>
        <w:tc>
          <w:tcPr>
            <w:tcW w:w="18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97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пп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29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7258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Сметная стоимость, руб.</w:t>
            </w:r>
          </w:p>
        </w:tc>
        <w:tc>
          <w:tcPr>
            <w:tcW w:w="1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сметная стоимость, руб.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строительных работ</w:t>
            </w:r>
          </w:p>
        </w:tc>
        <w:tc>
          <w:tcPr>
            <w:tcW w:w="175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монтажных работ</w:t>
            </w:r>
          </w:p>
        </w:tc>
        <w:tc>
          <w:tcPr>
            <w:tcW w:w="185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1978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прочих</w:t>
            </w:r>
          </w:p>
        </w:tc>
        <w:tc>
          <w:tcPr>
            <w:tcW w:w="197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‍</w:t>
            </w:r>
          </w:p>
        </w:tc>
        <w:tc>
          <w:tcPr>
            <w:tcW w:w="22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7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59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8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47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67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5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7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74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71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Глава 2. Основные объекты строительства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02-01-01</w:t>
            </w:r>
          </w:p>
        </w:tc>
        <w:tc>
          <w:tcPr>
            <w:tcW w:w="29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…</w:t>
            </w:r>
          </w:p>
        </w:tc>
        <w:tc>
          <w:tcPr>
            <w:tcW w:w="16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6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Главе 2. "Основные объекты строительства"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Главам 1-12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1571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Непредвиденные затраты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9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с учетом "Непредвиденные затраты"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сводному расчету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1311" w:type="dxa"/>
            <w:gridSpan w:val="2"/>
            <w:tcBorders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35" w:type="dxa"/>
            <w:tcBorders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Составил:</w:t>
            </w:r>
          </w:p>
        </w:tc>
        <w:tc>
          <w:tcPr>
            <w:tcW w:w="342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37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33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37" w:type="dxa"/>
            <w:gridSpan w:val="3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91" w:type="dxa"/>
            <w:gridSpan w:val="3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Проверил:</w:t>
            </w:r>
          </w:p>
        </w:tc>
        <w:tc>
          <w:tcPr>
            <w:tcW w:w="342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37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9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724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25" w:type="dxa"/>
            <w:gridSpan w:val="2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33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37" w:type="dxa"/>
            <w:gridSpan w:val="3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91" w:type="dxa"/>
            <w:gridSpan w:val="3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</w:tbl>
    <w:p>
      <w:pPr>
        <w:pStyle w:val="Normal"/>
        <w:spacing w:before="0" w:after="0"/>
        <w:ind w:left="928" w:hanging="0"/>
        <w:contextualSpacing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</w:r>
    </w:p>
    <w:p>
      <w:pPr>
        <w:pStyle w:val="Normal"/>
        <w:ind w:left="720" w:hanging="0"/>
        <w:textAlignment w:val="baseline"/>
        <w:rPr/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20"/>
        </w:tabs>
        <w:ind w:left="0"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ab/>
        <w:tab/>
        <w:tab/>
        <w:t>Приложение №1.2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20"/>
        </w:tabs>
        <w:ind w:left="0"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Требованиям к оформлению и составлению               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20"/>
        </w:tabs>
        <w:ind w:left="0"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>документации по ценообразованию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20"/>
        </w:tabs>
        <w:ind w:left="0" w:firstLine="720"/>
        <w:rPr>
          <w:sz w:val="24"/>
          <w:szCs w:val="24"/>
        </w:rPr>
      </w:pPr>
      <w:r>
        <w:rPr>
          <w:b/>
          <w:sz w:val="24"/>
          <w:szCs w:val="24"/>
        </w:rPr>
        <w:t>ОБРАЗЕЦ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20"/>
        </w:tabs>
        <w:ind w:left="0" w:firstLine="720"/>
        <w:jc w:val="righ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6199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2"/>
        <w:gridCol w:w="219"/>
        <w:gridCol w:w="1445"/>
        <w:gridCol w:w="220"/>
        <w:gridCol w:w="3264"/>
        <w:gridCol w:w="235"/>
        <w:gridCol w:w="217"/>
        <w:gridCol w:w="1207"/>
        <w:gridCol w:w="1843"/>
        <w:gridCol w:w="246"/>
        <w:gridCol w:w="823"/>
        <w:gridCol w:w="917"/>
        <w:gridCol w:w="256"/>
        <w:gridCol w:w="536"/>
        <w:gridCol w:w="217"/>
        <w:gridCol w:w="841"/>
        <w:gridCol w:w="416"/>
        <w:gridCol w:w="23"/>
        <w:gridCol w:w="434"/>
        <w:gridCol w:w="439"/>
        <w:gridCol w:w="217"/>
        <w:gridCol w:w="716"/>
        <w:gridCol w:w="744"/>
      </w:tblGrid>
      <w:tr>
        <w:trPr>
          <w:trHeight w:val="78" w:hRule="atLeast"/>
        </w:trPr>
        <w:tc>
          <w:tcPr>
            <w:tcW w:w="260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СОГЛАСОВАНО:</w:t>
            </w:r>
          </w:p>
        </w:tc>
        <w:tc>
          <w:tcPr>
            <w:tcW w:w="371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29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99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458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УТВЕРЖДАЮ:</w:t>
            </w:r>
          </w:p>
        </w:tc>
      </w:tr>
      <w:tr>
        <w:trPr>
          <w:trHeight w:val="312" w:hRule="atLeast"/>
        </w:trPr>
        <w:tc>
          <w:tcPr>
            <w:tcW w:w="2606" w:type="dxa"/>
            <w:gridSpan w:val="4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 ФИО</w:t>
            </w:r>
          </w:p>
        </w:tc>
        <w:tc>
          <w:tcPr>
            <w:tcW w:w="3716" w:type="dxa"/>
            <w:gridSpan w:val="3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96" w:type="dxa"/>
            <w:gridSpan w:val="3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996" w:type="dxa"/>
            <w:gridSpan w:val="3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458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________________ФИО</w:t>
            </w:r>
          </w:p>
        </w:tc>
      </w:tr>
      <w:tr>
        <w:trPr>
          <w:trHeight w:val="312" w:hRule="atLeast"/>
        </w:trPr>
        <w:tc>
          <w:tcPr>
            <w:tcW w:w="6322" w:type="dxa"/>
            <w:gridSpan w:val="7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"___" _____________ 20__ г.</w:t>
            </w:r>
          </w:p>
        </w:tc>
        <w:tc>
          <w:tcPr>
            <w:tcW w:w="3296" w:type="dxa"/>
            <w:gridSpan w:val="3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96" w:type="dxa"/>
            <w:gridSpan w:val="3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4583" w:type="dxa"/>
            <w:gridSpan w:val="10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"___" _____________ 20__ г.</w:t>
            </w:r>
          </w:p>
        </w:tc>
      </w:tr>
      <w:tr>
        <w:trPr>
          <w:trHeight w:val="312" w:hRule="atLeast"/>
        </w:trPr>
        <w:tc>
          <w:tcPr>
            <w:tcW w:w="941" w:type="dxa"/>
            <w:gridSpan w:val="2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516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433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70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05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87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43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93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6095" w:type="dxa"/>
            <w:gridSpan w:val="9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Сводный сметный расчет в сумме </w:t>
            </w:r>
          </w:p>
        </w:tc>
        <w:tc>
          <w:tcPr>
            <w:tcW w:w="182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 без НДС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1261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СВОДНЫЙ СМЕТНЫЙ РАСЧЕТ </w:t>
            </w:r>
          </w:p>
        </w:tc>
        <w:tc>
          <w:tcPr>
            <w:tcW w:w="180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2351" w:type="dxa"/>
            <w:gridSpan w:val="1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548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 </w:t>
            </w:r>
            <w:r>
              <w:rPr>
                <w:i/>
                <w:iCs/>
                <w:sz w:val="20"/>
                <w:szCs w:val="20"/>
              </w:rPr>
              <w:t>(наименование стройки)</w:t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2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67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 в текущих ценах, соответствующих периоду выполнения работ по договору</w:t>
            </w:r>
          </w:p>
        </w:tc>
        <w:tc>
          <w:tcPr>
            <w:tcW w:w="237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‍</w:t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82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‍</w:t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82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пп</w:t>
            </w:r>
          </w:p>
        </w:tc>
        <w:tc>
          <w:tcPr>
            <w:tcW w:w="16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3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775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Сметная стоимость, руб.</w:t>
            </w:r>
          </w:p>
        </w:tc>
        <w:tc>
          <w:tcPr>
            <w:tcW w:w="18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3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сметная</w:t>
            </w:r>
          </w:p>
          <w:p>
            <w:pPr>
              <w:pStyle w:val="Normal"/>
              <w:widowControl w:val="false"/>
              <w:ind w:left="-113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стоимость, руб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97" w:hRule="atLeast"/>
        </w:trPr>
        <w:tc>
          <w:tcPr>
            <w:tcW w:w="7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строитель-</w:t>
              <w:br/>
              <w:t>ных работ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монтажных работ</w:t>
            </w:r>
          </w:p>
        </w:tc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22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прочих</w:t>
            </w:r>
          </w:p>
        </w:tc>
        <w:tc>
          <w:tcPr>
            <w:tcW w:w="1829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6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8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66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29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Глава 2. Основные объекты 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Сметы основного договора: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02-01-01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Исключить дополнительным соглашением №___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исключено Дополнительным соглашением №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Включить дополнительным соглашением №____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02-01-02/1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включено Дополнительным соглашением №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 по Главе 2. "Основные объекты"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по сводному сметному расчету, без учета НДС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сумма основного договора (без НДС)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71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ДС №___ от ___.__.20___г.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сумма увеличения основного договора на основании дополнительного соглашения № ___ без НДС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0  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Составил: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8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‍</w:t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986" w:type="dxa"/>
            <w:gridSpan w:val="3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1829" w:type="dxa"/>
            <w:gridSpan w:val="5"/>
            <w:tcBorders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Проверил: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8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829" w:type="dxa"/>
            <w:gridSpan w:val="5"/>
            <w:tcBorders/>
          </w:tcPr>
          <w:p>
            <w:pPr>
              <w:pStyle w:val="Normal"/>
              <w:widowControl w:val="false"/>
              <w:rPr>
                <w:i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720" w:right="766" w:gutter="0" w:header="709" w:top="766" w:footer="0" w:bottom="924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ind w:left="720" w:hanging="0"/>
        <w:textAlignment w:val="baseline"/>
        <w:rPr>
          <w:b/>
        </w:rPr>
      </w:pPr>
      <w:r>
        <w:rPr>
          <w:b/>
        </w:rPr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71" w:name="P2736"/>
      <w:bookmarkStart w:id="72" w:name="P2506"/>
      <w:bookmarkStart w:id="73" w:name="P3258"/>
      <w:bookmarkStart w:id="74" w:name="P2525"/>
      <w:bookmarkStart w:id="75" w:name="P2527"/>
      <w:bookmarkStart w:id="76" w:name="P2529"/>
      <w:bookmarkStart w:id="77" w:name="P2746"/>
      <w:bookmarkStart w:id="78" w:name="P2945"/>
      <w:bookmarkStart w:id="79" w:name="P2566"/>
      <w:bookmarkStart w:id="80" w:name="P2616"/>
      <w:bookmarkStart w:id="81" w:name="P2531"/>
      <w:bookmarkStart w:id="82" w:name="P2524"/>
      <w:bookmarkStart w:id="83" w:name="P2528"/>
      <w:bookmarkStart w:id="84" w:name="P2530"/>
      <w:bookmarkStart w:id="85" w:name="P2523"/>
      <w:bookmarkStart w:id="86" w:name="P2526"/>
      <w:bookmarkStart w:id="87" w:name="P2522"/>
      <w:bookmarkStart w:id="88" w:name="P2546"/>
      <w:bookmarkStart w:id="89" w:name="P2736"/>
      <w:bookmarkStart w:id="90" w:name="P2506"/>
      <w:bookmarkStart w:id="91" w:name="P3258"/>
      <w:bookmarkStart w:id="92" w:name="P2525"/>
      <w:bookmarkStart w:id="93" w:name="P2527"/>
      <w:bookmarkStart w:id="94" w:name="P2529"/>
      <w:bookmarkStart w:id="95" w:name="P2746"/>
      <w:bookmarkStart w:id="96" w:name="P2945"/>
      <w:bookmarkStart w:id="97" w:name="P2566"/>
      <w:bookmarkStart w:id="98" w:name="P2616"/>
      <w:bookmarkStart w:id="99" w:name="P2531"/>
      <w:bookmarkStart w:id="100" w:name="P2524"/>
      <w:bookmarkStart w:id="101" w:name="P2528"/>
      <w:bookmarkStart w:id="102" w:name="P2530"/>
      <w:bookmarkStart w:id="103" w:name="P2523"/>
      <w:bookmarkStart w:id="104" w:name="P2526"/>
      <w:bookmarkStart w:id="105" w:name="P2522"/>
      <w:bookmarkStart w:id="106" w:name="P2546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widowControl w:val="false"/>
        <w:suppressAutoHyphens w:val="true"/>
        <w:bidi w:val="0"/>
        <w:spacing w:before="0" w:after="0"/>
        <w:ind w:firstLine="7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426" w:right="924" w:gutter="0" w:header="709" w:top="766" w:footer="0" w:bottom="720"/>
          <w:pgNumType w:fmt="decimal"/>
          <w:formProt w:val="false"/>
          <w:textDirection w:val="lrTb"/>
          <w:docGrid w:type="default" w:linePitch="381" w:charSpace="0"/>
        </w:sect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jc w:val="right"/>
        <w:rPr>
          <w:b/>
        </w:rPr>
      </w:pPr>
      <w:r>
        <w:rPr>
          <w:b/>
        </w:rPr>
      </w:r>
      <w:bookmarkStart w:id="107" w:name="_GoBack"/>
      <w:bookmarkStart w:id="108" w:name="_GoBack"/>
      <w:bookmarkEnd w:id="108"/>
    </w:p>
    <w:p>
      <w:pPr>
        <w:pStyle w:val="Standard"/>
        <w:ind w:firstLine="720"/>
        <w:jc w:val="right"/>
        <w:rPr/>
      </w:pPr>
      <w:r>
        <w:rPr>
          <w:sz w:val="20"/>
          <w:szCs w:val="20"/>
        </w:rPr>
        <w:t>Приложение №1.3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 xml:space="preserve">к Требованиям к оформлению и составлению               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документации по ценообразованию</w:t>
      </w:r>
    </w:p>
    <w:p>
      <w:pPr>
        <w:pStyle w:val="Standard"/>
        <w:ind w:firstLine="720"/>
        <w:rPr/>
      </w:pPr>
      <w:r>
        <w:rPr>
          <w:b/>
        </w:rPr>
        <w:t>ОБРАЗЕЦ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№___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дополнительному соглашению от ___ № ___</w:t>
      </w:r>
    </w:p>
    <w:p>
      <w:pPr>
        <w:pStyle w:val="ConsPlusNormal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</w:t>
      </w:r>
      <w:r>
        <w:rPr>
          <w:rFonts w:cs="Times New Roman" w:ascii="Times New Roman" w:hAnsi="Times New Roman"/>
        </w:rPr>
        <w:t>к договору от_______№_____</w:t>
      </w:r>
    </w:p>
    <w:p>
      <w:pPr>
        <w:pStyle w:val="ConsPlusNormal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widowControl w:val="false"/>
        <w:ind w:firstLine="720"/>
        <w:jc w:val="center"/>
        <w:rPr/>
      </w:pPr>
      <w:r>
        <w:rPr>
          <w:b/>
        </w:rPr>
        <w:t>Сопоставительная ведомость изменения сметной стоимости</w:t>
      </w:r>
    </w:p>
    <w:p>
      <w:pPr>
        <w:pStyle w:val="Standard"/>
        <w:widowControl w:val="false"/>
        <w:ind w:firstLine="720"/>
        <w:jc w:val="both"/>
        <w:rPr>
          <w:b/>
        </w:rPr>
      </w:pPr>
      <w:r>
        <w:rPr>
          <w:b/>
        </w:rPr>
      </w:r>
    </w:p>
    <w:tbl>
      <w:tblPr>
        <w:tblW w:w="10067" w:type="dxa"/>
        <w:jc w:val="left"/>
        <w:tblInd w:w="6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851"/>
        <w:gridCol w:w="856"/>
        <w:gridCol w:w="850"/>
        <w:gridCol w:w="1279"/>
        <w:gridCol w:w="1284"/>
        <w:gridCol w:w="1409"/>
        <w:gridCol w:w="1557"/>
        <w:gridCol w:w="1979"/>
      </w:tblGrid>
      <w:tr>
        <w:trPr>
          <w:trHeight w:val="433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Обоснование изменений сметной стоимости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шифр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позиции сметного расчета (сметы) в ССР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подлежащая включению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подлежащая исключению</w:t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18"/>
                <w:szCs w:val="18"/>
              </w:rPr>
              <w:t>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>
                <w:sz w:val="18"/>
                <w:szCs w:val="18"/>
              </w:rPr>
              <w:t>‍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Standard"/>
        <w:widowControl w:val="false"/>
        <w:ind w:firstLine="720"/>
        <w:jc w:val="both"/>
        <w:rPr/>
      </w:pPr>
      <w:r>
        <w:rPr/>
      </w:r>
    </w:p>
    <w:p>
      <w:pPr>
        <w:pStyle w:val="Standard"/>
        <w:ind w:firstLine="720"/>
        <w:jc w:val="right"/>
        <w:rPr/>
      </w:pPr>
      <w:r>
        <w:rPr/>
      </w:r>
      <w:r>
        <w:br w:type="page"/>
      </w:r>
    </w:p>
    <w:p>
      <w:pPr>
        <w:pStyle w:val="Standard"/>
        <w:ind w:firstLine="720"/>
        <w:jc w:val="right"/>
        <w:rPr/>
      </w:pPr>
      <w:r>
        <w:rPr>
          <w:sz w:val="20"/>
          <w:szCs w:val="20"/>
        </w:rPr>
        <w:t>Приложение №1.4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Требованиям к оформлению и составлению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>документации по ценообразованию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№___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дополнительному соглашению от ___ № ___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договору от_______№_____</w:t>
      </w:r>
    </w:p>
    <w:p>
      <w:pPr>
        <w:pStyle w:val="Standard"/>
        <w:ind w:firstLine="720"/>
        <w:jc w:val="both"/>
        <w:rPr/>
      </w:pPr>
      <w:r>
        <w:rPr/>
      </w:r>
    </w:p>
    <w:p>
      <w:pPr>
        <w:pStyle w:val="Standard"/>
        <w:ind w:firstLine="720"/>
        <w:jc w:val="both"/>
        <w:rPr/>
      </w:pPr>
      <w:r>
        <w:rPr/>
      </w:r>
    </w:p>
    <w:p>
      <w:pPr>
        <w:pStyle w:val="Standard"/>
        <w:ind w:firstLine="720"/>
        <w:jc w:val="both"/>
        <w:rPr/>
      </w:pPr>
      <w:r>
        <w:rPr/>
      </w:r>
    </w:p>
    <w:p>
      <w:pPr>
        <w:pStyle w:val="ConsPlusNormal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Сопоставительная ведомость объемов работ</w:t>
      </w:r>
    </w:p>
    <w:p>
      <w:pPr>
        <w:pStyle w:val="ConsPlusNormal1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10842" w:type="dxa"/>
        <w:jc w:val="left"/>
        <w:tblInd w:w="3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30"/>
        <w:gridCol w:w="709"/>
        <w:gridCol w:w="850"/>
        <w:gridCol w:w="1210"/>
        <w:gridCol w:w="915"/>
        <w:gridCol w:w="849"/>
        <w:gridCol w:w="851"/>
        <w:gridCol w:w="850"/>
        <w:gridCol w:w="851"/>
        <w:gridCol w:w="775"/>
        <w:gridCol w:w="567"/>
        <w:gridCol w:w="850"/>
        <w:gridCol w:w="1134"/>
      </w:tblGrid>
      <w:tr>
        <w:trPr>
          <w:trHeight w:val="880" w:hRule="atLeast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3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firstLine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Примечание</w:t>
            </w:r>
          </w:p>
        </w:tc>
      </w:tr>
      <w:tr>
        <w:trPr>
          <w:trHeight w:val="62" w:hRule="atLeast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позиции в сметном расчете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firstLine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firstLine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  <w:tc>
          <w:tcPr>
            <w:tcW w:w="13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firstLine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firstLine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308" w:hRule="atLeast"/>
        </w:trPr>
        <w:tc>
          <w:tcPr>
            <w:tcW w:w="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увели</w:t>
            </w:r>
          </w:p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20"/>
              <w:rPr/>
            </w:pPr>
            <w:r>
              <w:rPr/>
            </w:r>
          </w:p>
        </w:tc>
      </w:tr>
      <w:tr>
        <w:trPr>
          <w:trHeight w:val="232" w:hRule="atLeas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32" w:hRule="atLeas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sectPr>
          <w:headerReference w:type="default" r:id="rId12"/>
          <w:headerReference w:type="first" r:id="rId13"/>
          <w:type w:val="nextPage"/>
          <w:pgSz w:w="11906" w:h="16838"/>
          <w:pgMar w:left="426" w:right="924" w:gutter="0" w:header="709" w:top="766" w:footer="0" w:bottom="720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Standard"/>
        <w:ind w:left="4536" w:firstLine="85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Приложение№1.5 </w:t>
      </w:r>
    </w:p>
    <w:p>
      <w:pPr>
        <w:pStyle w:val="Standard"/>
        <w:ind w:left="4536" w:firstLine="851"/>
        <w:jc w:val="right"/>
        <w:rPr>
          <w:color w:val="000000"/>
          <w:sz w:val="20"/>
          <w:szCs w:val="20"/>
        </w:rPr>
      </w:pPr>
      <w:r>
        <w:rPr>
          <w:sz w:val="20"/>
          <w:szCs w:val="20"/>
        </w:rPr>
        <w:t>к Требованиям к оформлению и составлению</w:t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документации по ценообразованию</w:t>
      </w:r>
      <w:r>
        <w:rPr>
          <w:color w:val="000000"/>
          <w:sz w:val="20"/>
          <w:szCs w:val="20"/>
        </w:rPr>
        <w:t xml:space="preserve">  </w:t>
      </w:r>
    </w:p>
    <w:p>
      <w:pPr>
        <w:pStyle w:val="ConsPlusNormal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rPr/>
      </w:pPr>
      <w:r>
        <w:rPr>
          <w:b/>
          <w:color w:val="000000"/>
        </w:rPr>
        <w:t>ОБРАЗЕЦ</w:t>
      </w:r>
    </w:p>
    <w:p>
      <w:pPr>
        <w:pStyle w:val="Standard"/>
        <w:rPr>
          <w:color w:val="000000"/>
        </w:rPr>
      </w:pPr>
      <w:r>
        <w:rPr>
          <w:color w:val="000000"/>
        </w:rPr>
      </w:r>
    </w:p>
    <w:tbl>
      <w:tblPr>
        <w:tblW w:w="5000" w:type="pct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0"/>
        <w:gridCol w:w="856"/>
        <w:gridCol w:w="644"/>
        <w:gridCol w:w="1706"/>
        <w:gridCol w:w="591"/>
        <w:gridCol w:w="727"/>
        <w:gridCol w:w="488"/>
        <w:gridCol w:w="695"/>
        <w:gridCol w:w="722"/>
        <w:gridCol w:w="486"/>
        <w:gridCol w:w="695"/>
        <w:gridCol w:w="394"/>
        <w:gridCol w:w="506"/>
        <w:gridCol w:w="1369"/>
      </w:tblGrid>
      <w:tr>
        <w:trPr>
          <w:trHeight w:val="285" w:hRule="atLeast"/>
        </w:trPr>
        <w:tc>
          <w:tcPr>
            <w:tcW w:w="2250" w:type="dxa"/>
            <w:gridSpan w:val="3"/>
            <w:tcBorders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1706" w:type="dxa"/>
            <w:tcBorders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591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964" w:type="dxa"/>
            <w:gridSpan w:val="4"/>
            <w:tcBorders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</w:tr>
      <w:tr>
        <w:trPr>
          <w:trHeight w:val="96" w:hRule="exact"/>
        </w:trPr>
        <w:tc>
          <w:tcPr>
            <w:tcW w:w="3956" w:type="dxa"/>
            <w:gridSpan w:val="4"/>
            <w:tcBorders/>
          </w:tcPr>
          <w:p>
            <w:pPr>
              <w:pStyle w:val="Standard"/>
              <w:widowControl w:val="false"/>
              <w:rPr/>
            </w:pPr>
            <w:r>
              <w:rPr/>
              <w:t>‍</w:t>
            </w:r>
          </w:p>
        </w:tc>
        <w:tc>
          <w:tcPr>
            <w:tcW w:w="591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3450" w:type="dxa"/>
            <w:gridSpan w:val="5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44" w:type="dxa"/>
            <w:tcBorders/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91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94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9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30" w:hRule="atLeast"/>
        </w:trPr>
        <w:tc>
          <w:tcPr>
            <w:tcW w:w="1606" w:type="dxa"/>
            <w:gridSpan w:val="2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644" w:type="dxa"/>
            <w:tcBorders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6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91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394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"_____" ________2021 г</w:t>
            </w:r>
          </w:p>
        </w:tc>
      </w:tr>
      <w:tr>
        <w:trPr>
          <w:trHeight w:val="225" w:hRule="atLeast"/>
        </w:trPr>
        <w:tc>
          <w:tcPr>
            <w:tcW w:w="2250" w:type="dxa"/>
            <w:gridSpan w:val="3"/>
            <w:tcBorders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Наименование редакции сметных нормативов</w:t>
            </w:r>
          </w:p>
        </w:tc>
        <w:tc>
          <w:tcPr>
            <w:tcW w:w="8379" w:type="dxa"/>
            <w:gridSpan w:val="11"/>
            <w:tcBorders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2250" w:type="dxa"/>
            <w:gridSpan w:val="3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229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727" w:type="dxa"/>
            <w:tcBorders>
              <w:bottom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8" w:type="dxa"/>
            <w:tcBorders>
              <w:bottom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22" w:type="dxa"/>
            <w:tcBorders>
              <w:bottom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94" w:type="dxa"/>
            <w:tcBorders>
              <w:bottom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06" w:type="dxa"/>
            <w:tcBorders>
              <w:bottom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9" w:type="dxa"/>
            <w:tcBorders>
              <w:bottom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65" w:hRule="exac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‍</w:t>
            </w:r>
          </w:p>
        </w:tc>
        <w:tc>
          <w:tcPr>
            <w:tcW w:w="85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44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70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91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7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394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10629" w:type="dxa"/>
            <w:gridSpan w:val="14"/>
            <w:tcBorders>
              <w:top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>
        <w:trPr>
          <w:trHeight w:val="225" w:hRule="exact"/>
        </w:trPr>
        <w:tc>
          <w:tcPr>
            <w:tcW w:w="10629" w:type="dxa"/>
            <w:gridSpan w:val="14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  <w:t>‍</w:t>
            </w:r>
          </w:p>
        </w:tc>
      </w:tr>
      <w:tr>
        <w:trPr>
          <w:trHeight w:val="225" w:hRule="atLeast"/>
        </w:trPr>
        <w:tc>
          <w:tcPr>
            <w:tcW w:w="10629" w:type="dxa"/>
            <w:gridSpan w:val="14"/>
            <w:tcBorders>
              <w:top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>
        <w:trPr>
          <w:trHeight w:val="480" w:hRule="atLeast"/>
        </w:trPr>
        <w:tc>
          <w:tcPr>
            <w:tcW w:w="10629" w:type="dxa"/>
            <w:gridSpan w:val="14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ЛОКАЛЬНЫЙ СМЕТНЫЙ РАСЧЕТ (СМЕТА) №</w:t>
            </w:r>
          </w:p>
        </w:tc>
      </w:tr>
      <w:tr>
        <w:trPr>
          <w:trHeight w:val="165" w:hRule="exac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b/>
                <w:bCs/>
                <w:color w:val="000000"/>
              </w:rPr>
              <w:t>‍</w:t>
            </w:r>
          </w:p>
        </w:tc>
        <w:tc>
          <w:tcPr>
            <w:tcW w:w="856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44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706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91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4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6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10629" w:type="dxa"/>
            <w:gridSpan w:val="14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‍</w:t>
            </w:r>
          </w:p>
        </w:tc>
      </w:tr>
      <w:tr>
        <w:trPr>
          <w:trHeight w:val="270" w:hRule="atLeast"/>
        </w:trPr>
        <w:tc>
          <w:tcPr>
            <w:tcW w:w="10629" w:type="dxa"/>
            <w:gridSpan w:val="14"/>
            <w:tcBorders>
              <w:top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>
        <w:trPr>
          <w:trHeight w:val="300" w:hRule="atLeas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Составлен</w:t>
            </w:r>
          </w:p>
        </w:tc>
        <w:tc>
          <w:tcPr>
            <w:tcW w:w="85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644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1706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91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394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4524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394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524" w:type="dxa"/>
            <w:gridSpan w:val="5"/>
            <w:tcBorders>
              <w:top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394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jc w:val="right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2250" w:type="dxa"/>
            <w:gridSpan w:val="3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Составлен(а) в текущем (базисном) уровне цен</w:t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591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4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506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6" w:type="dxa"/>
            <w:gridSpan w:val="2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Сметная стоимость</w:t>
            </w:r>
          </w:p>
        </w:tc>
        <w:tc>
          <w:tcPr>
            <w:tcW w:w="644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91" w:type="dxa"/>
            <w:tcBorders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394" w:type="dxa"/>
            <w:tcBorders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85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4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91" w:type="dxa"/>
            <w:tcBorders/>
          </w:tcPr>
          <w:p>
            <w:pPr>
              <w:pStyle w:val="Standard"/>
              <w:widowControl w:val="false"/>
              <w:jc w:val="right"/>
              <w:rPr/>
            </w:pPr>
            <w:r>
              <w:rPr/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394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856" w:type="dxa"/>
            <w:tcBorders/>
            <w:vAlign w:val="bottom"/>
          </w:tcPr>
          <w:p>
            <w:pPr>
              <w:pStyle w:val="Standard"/>
              <w:widowControl w:val="false"/>
              <w:tabs>
                <w:tab w:val="clear" w:pos="720"/>
                <w:tab w:val="left" w:pos="519" w:leader="none"/>
              </w:tabs>
              <w:rPr/>
            </w:pPr>
            <w:r>
              <w:rPr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644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91" w:type="dxa"/>
            <w:tcBorders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91" w:type="dxa"/>
            <w:gridSpan w:val="4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94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9" w:type="dxa"/>
            <w:tcBorders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тыс.руб.</w:t>
            </w:r>
          </w:p>
        </w:tc>
      </w:tr>
      <w:tr>
        <w:trPr>
          <w:trHeight w:val="255" w:hRule="atLeas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644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91" w:type="dxa"/>
            <w:tcBorders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91" w:type="dxa"/>
            <w:gridSpan w:val="4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94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чел.час.</w:t>
            </w:r>
          </w:p>
        </w:tc>
      </w:tr>
      <w:tr>
        <w:trPr>
          <w:trHeight w:val="255" w:hRule="atLeas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644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91" w:type="dxa"/>
            <w:tcBorders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91" w:type="dxa"/>
            <w:gridSpan w:val="4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94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чел.час.</w:t>
            </w:r>
          </w:p>
        </w:tc>
      </w:tr>
      <w:tr>
        <w:trPr>
          <w:trHeight w:val="255" w:hRule="atLeast"/>
        </w:trPr>
        <w:tc>
          <w:tcPr>
            <w:tcW w:w="750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644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6" w:type="dxa"/>
            <w:tcBorders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91" w:type="dxa"/>
            <w:tcBorders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3086" w:type="dxa"/>
            <w:gridSpan w:val="5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Расчетный измеритель конструктивного решения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andard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95" w:hRule="exact"/>
        </w:trPr>
        <w:tc>
          <w:tcPr>
            <w:tcW w:w="750" w:type="dxa"/>
            <w:tcBorders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  <w:t>‍</w:t>
            </w:r>
          </w:p>
        </w:tc>
        <w:tc>
          <w:tcPr>
            <w:tcW w:w="85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44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70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91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7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722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48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695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394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tcBorders/>
            <w:vAlign w:val="bottom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29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9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5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>
        <w:trPr>
          <w:trHeight w:val="735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color w:val="000000"/>
                <w:sz w:val="16"/>
                <w:szCs w:val="16"/>
              </w:rPr>
              <w:t>‍</w:t>
            </w:r>
          </w:p>
        </w:tc>
        <w:tc>
          <w:tcPr>
            <w:tcW w:w="8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0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7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16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9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3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</w:tbl>
    <w:p>
      <w:pPr>
        <w:pStyle w:val="Normal"/>
        <w:jc w:val="center"/>
        <w:rPr>
          <w:color w:val="000000" w:themeColor="text1"/>
          <w:sz w:val="24"/>
          <w:szCs w:val="24"/>
          <w:lang w:eastAsia="x-none"/>
        </w:rPr>
      </w:pPr>
      <w:r>
        <w:rPr>
          <w:color w:val="000000" w:themeColor="text1"/>
          <w:sz w:val="24"/>
          <w:szCs w:val="24"/>
          <w:lang w:eastAsia="x-none"/>
        </w:rPr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yle36"/>
        <w:ind w:hanging="0"/>
        <w:rPr/>
      </w:pPr>
      <w:r>
        <w:rPr/>
      </w:r>
    </w:p>
    <w:p>
      <w:pPr>
        <w:pStyle w:val="Standard"/>
        <w:ind w:left="581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andard"/>
        <w:ind w:left="5812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ConsPlusNormal1"/>
        <w:jc w:val="right"/>
        <w:rPr>
          <w:color w:val="000000" w:themeColor="text1"/>
          <w:sz w:val="24"/>
          <w:szCs w:val="24"/>
          <w:lang w:eastAsia="x-none"/>
        </w:rPr>
      </w:pPr>
      <w:r>
        <w:rPr>
          <w:color w:val="000000" w:themeColor="text1"/>
          <w:sz w:val="24"/>
          <w:szCs w:val="24"/>
          <w:lang w:eastAsia="x-none"/>
        </w:rPr>
      </w:r>
    </w:p>
    <w:p>
      <w:pPr>
        <w:pStyle w:val="Style36"/>
        <w:ind w:hanging="0"/>
        <w:rPr/>
      </w:pPr>
      <w:r>
        <w:rPr/>
      </w:r>
    </w:p>
    <w:sectPr>
      <w:headerReference w:type="default" r:id="rId14"/>
      <w:headerReference w:type="first" r:id="rId15"/>
      <w:type w:val="nextPage"/>
      <w:pgSz w:w="11906" w:h="16838"/>
      <w:pgMar w:left="709" w:right="567" w:gutter="0" w:header="709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alibri Light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16"/>
        <w:szCs w:val="16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45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16"/>
        <w:szCs w:val="16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47</w:t>
    </w:r>
    <w:r>
      <w:rPr/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16"/>
        <w:szCs w:val="16"/>
      </w:rPr>
    </w:pPr>
    <w:r>
      <w:rPr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16"/>
        <w:szCs w:val="16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03529988"/>
    </w:sdtPr>
    <w:sdtContent>
      <w:p>
        <w:pPr>
          <w:pStyle w:val="Header"/>
          <w:jc w:val="center"/>
          <w:rPr>
            <w:sz w:val="16"/>
            <w:szCs w:val="16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27</w:t>
        </w:r>
        <w:r>
          <w:rPr/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39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42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eastAsia="Calibri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8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Times New Roman" w:hAnsi="Times New Roman" w:cs="Times New Roman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Times New Roman" w:hAnsi="Times New Roman" w:cs="Times New Roman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Times New Roman" w:hAnsi="Times New Roman" w:cs="Times New Roman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Times New Roman" w:hAnsi="Times New Roman" w:cs="Times New Roman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lvl w:ilvl="0">
      <w:start w:val="2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eastAsia="Calibri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14"/>
    <w:lvlOverride w:ilvl="0">
      <w:startOverride w:val="1"/>
    </w:lvlOverride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14"/>
  </w:num>
  <w:num w:numId="45">
    <w:abstractNumId w:val="14"/>
  </w:num>
  <w:num w:numId="46">
    <w:abstractNumId w:val="14"/>
  </w:num>
  <w:num w:numId="47">
    <w:abstractNumId w:val="14"/>
  </w:num>
  <w:num w:numId="48">
    <w:abstractNumId w:val="14"/>
  </w:num>
  <w:num w:numId="49">
    <w:abstractNumId w:val="14"/>
  </w:num>
  <w:num w:numId="50">
    <w:abstractNumId w:val="14"/>
  </w:num>
  <w:num w:numId="51">
    <w:abstractNumId w:val="14"/>
  </w:num>
  <w:num w:numId="52">
    <w:abstractNumId w:val="14"/>
  </w:num>
  <w:num w:numId="53">
    <w:abstractNumId w:val="14"/>
  </w:num>
  <w:num w:numId="54">
    <w:abstractNumId w:val="14"/>
  </w:num>
</w:numbering>
</file>

<file path=word/settings.xml><?xml version="1.0" encoding="utf-8"?>
<w:settings xmlns:w="http://schemas.openxmlformats.org/wordprocessingml/2006/main">
  <w:zoom w:percent="80"/>
  <w:trackRevision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400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493aa3"/>
    <w:pPr>
      <w:tabs>
        <w:tab w:val="clear" w:pos="0"/>
      </w:tabs>
      <w:ind w:left="0" w:hanging="0"/>
      <w:outlineLvl w:val="0"/>
    </w:pPr>
    <w:rPr>
      <w:b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93aa3"/>
    <w:pPr>
      <w:tabs>
        <w:tab w:val="clear" w:pos="720"/>
        <w:tab w:val="left" w:pos="0" w:leader="none"/>
      </w:tabs>
      <w:ind w:left="1224" w:hanging="504"/>
      <w:jc w:val="both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297d32"/>
    <w:pPr>
      <w:ind w:left="0" w:firstLine="709"/>
      <w:outlineLvl w:val="3"/>
    </w:pPr>
    <w:rPr>
      <w:b/>
      <w:bCs/>
      <w:color w:val="000000" w:themeColor="text1"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493aa3"/>
    <w:rPr>
      <w:rFonts w:eastAsia="Calibri"/>
      <w:b/>
      <w:sz w:val="24"/>
      <w:szCs w:val="24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93aa3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297d32"/>
    <w:rPr>
      <w:rFonts w:eastAsia="Calibri"/>
      <w:b/>
      <w:bCs/>
      <w:color w:val="000000" w:themeColor="text1"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4f0b32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650926"/>
    <w:rPr>
      <w:color w:val="954F72"/>
      <w:u w:val="single"/>
    </w:rPr>
  </w:style>
  <w:style w:type="character" w:styleId="ConsPlusNormal" w:customStyle="1">
    <w:name w:val="ConsPlusNormal Знак"/>
    <w:link w:val="ConsPlusNormal1"/>
    <w:qFormat/>
    <w:rsid w:val="003f20f5"/>
    <w:rPr>
      <w:rFonts w:ascii="Arial" w:hAnsi="Arial" w:cs="Arial"/>
    </w:rPr>
  </w:style>
  <w:style w:type="character" w:styleId="14" w:customStyle="1">
    <w:name w:val="Заголовок1 Знак"/>
    <w:basedOn w:val="1"/>
    <w:link w:val="111"/>
    <w:qFormat/>
    <w:rsid w:val="00f820bc"/>
    <w:rPr>
      <w:rFonts w:eastAsia="Calibri"/>
      <w:b/>
      <w:sz w:val="28"/>
      <w:szCs w:val="28"/>
      <w:lang w:val="x-none" w:eastAsia="x-non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201d6"/>
    <w:rPr>
      <w:rFonts w:ascii="Tahoma" w:hAnsi="Tahoma" w:cs="Tahoma"/>
      <w:sz w:val="16"/>
      <w:szCs w:val="16"/>
    </w:rPr>
  </w:style>
  <w:style w:type="character" w:styleId="Linenumber1" w:customStyle="1">
    <w:name w:val="line number1"/>
    <w:qFormat/>
    <w:rPr/>
  </w:style>
  <w:style w:type="character" w:styleId="Style15" w:customStyle="1">
    <w:name w:val="Ссылка указателя"/>
    <w:qFormat/>
    <w:rPr/>
  </w:style>
  <w:style w:type="character" w:styleId="Style16" w:customStyle="1">
    <w:name w:val="Текст Знак"/>
    <w:basedOn w:val="DefaultParagraphFont"/>
    <w:link w:val="PlainText"/>
    <w:uiPriority w:val="99"/>
    <w:semiHidden/>
    <w:qFormat/>
    <w:rsid w:val="005f0f7f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Style17" w:customStyle="1">
    <w:name w:val="Символ нумерации"/>
    <w:qFormat/>
    <w:rPr/>
  </w:style>
  <w:style w:type="character" w:styleId="Linenumber2" w:customStyle="1">
    <w:name w:val="line number2"/>
    <w:qFormat/>
    <w:rPr/>
  </w:style>
  <w:style w:type="character" w:styleId="Linenumber3">
    <w:name w:val="line number3"/>
    <w:qFormat/>
    <w:rPr/>
  </w:style>
  <w:style w:type="character" w:styleId="LineNumber">
    <w:name w:val="Line Number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e2850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b084c"/>
    <w:pPr>
      <w:tabs>
        <w:tab w:val="clear" w:pos="720"/>
        <w:tab w:val="left" w:pos="1120" w:leader="none"/>
        <w:tab w:val="right" w:pos="9911" w:leader="dot"/>
      </w:tabs>
      <w:ind w:left="567" w:hanging="0"/>
      <w:jc w:val="both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2376ae"/>
    <w:pPr>
      <w:tabs>
        <w:tab w:val="clear" w:pos="720"/>
        <w:tab w:val="left" w:pos="1120" w:leader="none"/>
        <w:tab w:val="right" w:pos="9911" w:leader="dot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" w:customStyle="1">
    <w:name w:val="caption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650926"/>
    <w:pPr>
      <w:spacing w:beforeAutospacing="1" w:afterAutospacing="1"/>
    </w:pPr>
    <w:rPr>
      <w:sz w:val="24"/>
      <w:szCs w:val="24"/>
    </w:rPr>
  </w:style>
  <w:style w:type="paragraph" w:styleId="Xl65" w:customStyle="1">
    <w:name w:val="xl65"/>
    <w:basedOn w:val="Normal"/>
    <w:qFormat/>
    <w:rsid w:val="00650926"/>
    <w:pPr>
      <w:spacing w:beforeAutospacing="1" w:afterAutospacing="1"/>
      <w:jc w:val="center"/>
      <w:textAlignment w:val="center"/>
    </w:pPr>
    <w:rPr>
      <w:rFonts w:ascii="Calibri Light" w:hAnsi="Calibri Light" w:cs="Calibri Light"/>
      <w:b/>
      <w:bCs/>
      <w:sz w:val="24"/>
      <w:szCs w:val="24"/>
    </w:rPr>
  </w:style>
  <w:style w:type="paragraph" w:styleId="Xl66" w:customStyle="1">
    <w:name w:val="xl66"/>
    <w:basedOn w:val="Normal"/>
    <w:qFormat/>
    <w:rsid w:val="00650926"/>
    <w:pPr>
      <w:spacing w:beforeAutospacing="1" w:afterAutospacing="1"/>
      <w:textAlignment w:val="center"/>
    </w:pPr>
    <w:rPr>
      <w:rFonts w:ascii="Calibri Light" w:hAnsi="Calibri Light" w:cs="Calibri Light"/>
      <w:b/>
      <w:bCs/>
      <w:sz w:val="24"/>
      <w:szCs w:val="24"/>
    </w:rPr>
  </w:style>
  <w:style w:type="paragraph" w:styleId="Xl67" w:customStyle="1">
    <w:name w:val="xl67"/>
    <w:basedOn w:val="Normal"/>
    <w:qFormat/>
    <w:rsid w:val="00650926"/>
    <w:pPr>
      <w:spacing w:beforeAutospacing="1" w:afterAutospacing="1"/>
    </w:pPr>
    <w:rPr>
      <w:rFonts w:ascii="Calibri Light" w:hAnsi="Calibri Light" w:cs="Calibri Light"/>
      <w:sz w:val="24"/>
      <w:szCs w:val="24"/>
    </w:rPr>
  </w:style>
  <w:style w:type="paragraph" w:styleId="Xl68" w:customStyle="1">
    <w:name w:val="xl68"/>
    <w:basedOn w:val="Normal"/>
    <w:qFormat/>
    <w:rsid w:val="00650926"/>
    <w:pPr>
      <w:spacing w:beforeAutospacing="1" w:afterAutospacing="1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styleId="Xl69" w:customStyle="1">
    <w:name w:val="xl69"/>
    <w:basedOn w:val="Normal"/>
    <w:qFormat/>
    <w:rsid w:val="00650926"/>
    <w:pPr>
      <w:spacing w:beforeAutospacing="1" w:afterAutospacing="1"/>
      <w:textAlignment w:val="center"/>
    </w:pPr>
    <w:rPr>
      <w:rFonts w:ascii="Calibri Light" w:hAnsi="Calibri Light" w:cs="Calibri Light"/>
      <w:sz w:val="24"/>
      <w:szCs w:val="24"/>
    </w:rPr>
  </w:style>
  <w:style w:type="paragraph" w:styleId="Xl70" w:customStyle="1">
    <w:name w:val="xl70"/>
    <w:basedOn w:val="Normal"/>
    <w:qFormat/>
    <w:rsid w:val="00650926"/>
    <w:pPr>
      <w:spacing w:beforeAutospacing="1" w:afterAutospacing="1"/>
      <w:jc w:val="center"/>
      <w:textAlignment w:val="center"/>
    </w:pPr>
    <w:rPr>
      <w:rFonts w:ascii="Calibri Light" w:hAnsi="Calibri Light" w:cs="Calibri Light"/>
      <w:b/>
      <w:bCs/>
      <w:sz w:val="24"/>
      <w:szCs w:val="24"/>
    </w:rPr>
  </w:style>
  <w:style w:type="paragraph" w:styleId="Xl71" w:customStyle="1">
    <w:name w:val="xl71"/>
    <w:basedOn w:val="Normal"/>
    <w:qFormat/>
    <w:rsid w:val="00650926"/>
    <w:pPr>
      <w:spacing w:beforeAutospacing="1" w:afterAutospacing="1"/>
      <w:ind w:firstLine="100"/>
      <w:jc w:val="right"/>
      <w:textAlignment w:val="center"/>
    </w:pPr>
    <w:rPr>
      <w:rFonts w:ascii="Calibri Light" w:hAnsi="Calibri Light" w:cs="Calibri Light"/>
      <w:sz w:val="24"/>
      <w:szCs w:val="24"/>
    </w:rPr>
  </w:style>
  <w:style w:type="paragraph" w:styleId="Xl72" w:customStyle="1">
    <w:name w:val="xl72"/>
    <w:basedOn w:val="Normal"/>
    <w:qFormat/>
    <w:rsid w:val="00650926"/>
    <w:pPr>
      <w:spacing w:beforeAutospacing="1" w:afterAutospacing="1"/>
      <w:ind w:firstLine="100"/>
      <w:jc w:val="right"/>
      <w:textAlignment w:val="center"/>
    </w:pPr>
    <w:rPr>
      <w:rFonts w:ascii="Calibri Light" w:hAnsi="Calibri Light" w:cs="Calibri Light"/>
      <w:b/>
      <w:bCs/>
      <w:sz w:val="24"/>
      <w:szCs w:val="24"/>
    </w:rPr>
  </w:style>
  <w:style w:type="paragraph" w:styleId="Xl73" w:customStyle="1">
    <w:name w:val="xl73"/>
    <w:basedOn w:val="Normal"/>
    <w:qFormat/>
    <w:rsid w:val="00650926"/>
    <w:pPr>
      <w:spacing w:beforeAutospacing="1" w:afterAutospacing="1"/>
      <w:jc w:val="center"/>
      <w:textAlignment w:val="center"/>
    </w:pPr>
    <w:rPr>
      <w:rFonts w:ascii="Calibri Light" w:hAnsi="Calibri Light" w:cs="Calibri Light"/>
      <w:b/>
      <w:bCs/>
      <w:color w:val="FF0000"/>
      <w:sz w:val="24"/>
      <w:szCs w:val="24"/>
    </w:rPr>
  </w:style>
  <w:style w:type="paragraph" w:styleId="Xl74" w:customStyle="1">
    <w:name w:val="xl74"/>
    <w:basedOn w:val="Normal"/>
    <w:qFormat/>
    <w:rsid w:val="00650926"/>
    <w:pPr>
      <w:spacing w:beforeAutospacing="1" w:afterAutospacing="1"/>
      <w:textAlignment w:val="center"/>
    </w:pPr>
    <w:rPr>
      <w:rFonts w:ascii="Calibri Light" w:hAnsi="Calibri Light" w:cs="Calibri Light"/>
      <w:b/>
      <w:bCs/>
      <w:color w:val="FF0000"/>
      <w:sz w:val="24"/>
      <w:szCs w:val="24"/>
    </w:rPr>
  </w:style>
  <w:style w:type="paragraph" w:styleId="Xl75" w:customStyle="1">
    <w:name w:val="xl75"/>
    <w:basedOn w:val="Normal"/>
    <w:qFormat/>
    <w:rsid w:val="00650926"/>
    <w:pPr>
      <w:spacing w:beforeAutospacing="1" w:afterAutospacing="1"/>
      <w:textAlignment w:val="center"/>
    </w:pPr>
    <w:rPr>
      <w:rFonts w:ascii="Calibri Light" w:hAnsi="Calibri Light" w:cs="Calibri Light"/>
      <w:sz w:val="24"/>
      <w:szCs w:val="24"/>
    </w:rPr>
  </w:style>
  <w:style w:type="paragraph" w:styleId="Xl76" w:customStyle="1">
    <w:name w:val="xl76"/>
    <w:basedOn w:val="Normal"/>
    <w:qFormat/>
    <w:rsid w:val="00650926"/>
    <w:pPr>
      <w:spacing w:beforeAutospacing="1" w:afterAutospacing="1"/>
      <w:textAlignment w:val="center"/>
    </w:pPr>
    <w:rPr>
      <w:rFonts w:ascii="Calibri Light" w:hAnsi="Calibri Light" w:cs="Calibri Light"/>
      <w:sz w:val="24"/>
      <w:szCs w:val="24"/>
    </w:rPr>
  </w:style>
  <w:style w:type="paragraph" w:styleId="Xl77" w:customStyle="1">
    <w:name w:val="xl77"/>
    <w:basedOn w:val="Normal"/>
    <w:qFormat/>
    <w:rsid w:val="00d751e9"/>
    <w:pPr>
      <w:spacing w:beforeAutospacing="1" w:afterAutospacing="1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styleId="Xl78" w:customStyle="1">
    <w:name w:val="xl78"/>
    <w:basedOn w:val="Normal"/>
    <w:qFormat/>
    <w:rsid w:val="00d751e9"/>
    <w:pPr>
      <w:spacing w:beforeAutospacing="1" w:afterAutospacing="1"/>
      <w:jc w:val="center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styleId="Xl79" w:customStyle="1">
    <w:name w:val="xl79"/>
    <w:basedOn w:val="Normal"/>
    <w:qFormat/>
    <w:rsid w:val="00d751e9"/>
    <w:pPr>
      <w:spacing w:beforeAutospacing="1" w:afterAutospacing="1"/>
      <w:jc w:val="right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styleId="Xl80" w:customStyle="1">
    <w:name w:val="xl80"/>
    <w:basedOn w:val="Normal"/>
    <w:qFormat/>
    <w:rsid w:val="00d751e9"/>
    <w:pPr>
      <w:spacing w:beforeAutospacing="1" w:afterAutospacing="1"/>
      <w:jc w:val="right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styleId="Xl81" w:customStyle="1">
    <w:name w:val="xl81"/>
    <w:basedOn w:val="Normal"/>
    <w:qFormat/>
    <w:rsid w:val="00d751e9"/>
    <w:pPr>
      <w:spacing w:beforeAutospacing="1" w:afterAutospacing="1"/>
      <w:jc w:val="right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styleId="Xl82" w:customStyle="1">
    <w:name w:val="xl82"/>
    <w:basedOn w:val="Normal"/>
    <w:qFormat/>
    <w:rsid w:val="00d751e9"/>
    <w:pPr>
      <w:spacing w:beforeAutospacing="1" w:afterAutospacing="1"/>
      <w:jc w:val="right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styleId="Xl83" w:customStyle="1">
    <w:name w:val="xl83"/>
    <w:basedOn w:val="Normal"/>
    <w:qFormat/>
    <w:rsid w:val="00d751e9"/>
    <w:pPr>
      <w:spacing w:beforeAutospacing="1" w:afterAutospacing="1"/>
      <w:jc w:val="right"/>
      <w:textAlignment w:val="center"/>
    </w:pPr>
    <w:rPr>
      <w:rFonts w:ascii="Calibri Light" w:hAnsi="Calibri Light" w:cs="Calibri Light"/>
      <w:color w:val="000000"/>
      <w:sz w:val="24"/>
      <w:szCs w:val="24"/>
    </w:rPr>
  </w:style>
  <w:style w:type="paragraph" w:styleId="Xl84" w:customStyle="1">
    <w:name w:val="xl84"/>
    <w:basedOn w:val="Normal"/>
    <w:qFormat/>
    <w:rsid w:val="00d751e9"/>
    <w:pPr>
      <w:spacing w:beforeAutospacing="1" w:afterAutospacing="1"/>
      <w:jc w:val="right"/>
      <w:textAlignment w:val="center"/>
    </w:pPr>
    <w:rPr>
      <w:rFonts w:ascii="Calibri Light" w:hAnsi="Calibri Light" w:cs="Calibri Light"/>
      <w:sz w:val="24"/>
      <w:szCs w:val="24"/>
    </w:rPr>
  </w:style>
  <w:style w:type="paragraph" w:styleId="Xl85" w:customStyle="1">
    <w:name w:val="xl85"/>
    <w:basedOn w:val="Normal"/>
    <w:qFormat/>
    <w:rsid w:val="00d751e9"/>
    <w:pPr>
      <w:spacing w:beforeAutospacing="1" w:afterAutospacing="1"/>
      <w:jc w:val="center"/>
      <w:textAlignment w:val="center"/>
    </w:pPr>
    <w:rPr>
      <w:rFonts w:ascii="Calibri Light" w:hAnsi="Calibri Light" w:cs="Calibri Light"/>
      <w:sz w:val="24"/>
      <w:szCs w:val="24"/>
    </w:rPr>
  </w:style>
  <w:style w:type="paragraph" w:styleId="Xl86" w:customStyle="1">
    <w:name w:val="xl86"/>
    <w:basedOn w:val="Normal"/>
    <w:qFormat/>
    <w:rsid w:val="00d751e9"/>
    <w:pPr>
      <w:spacing w:beforeAutospacing="1" w:afterAutospacing="1"/>
      <w:textAlignment w:val="center"/>
    </w:pPr>
    <w:rPr>
      <w:rFonts w:ascii="Calibri Light" w:hAnsi="Calibri Light" w:cs="Calibri Light"/>
      <w:b/>
      <w:bCs/>
      <w:sz w:val="24"/>
      <w:szCs w:val="24"/>
    </w:rPr>
  </w:style>
  <w:style w:type="paragraph" w:styleId="Xl87" w:customStyle="1">
    <w:name w:val="xl87"/>
    <w:basedOn w:val="Normal"/>
    <w:qFormat/>
    <w:rsid w:val="00d751e9"/>
    <w:pPr>
      <w:spacing w:beforeAutospacing="1" w:afterAutospacing="1"/>
      <w:textAlignment w:val="center"/>
    </w:pPr>
    <w:rPr>
      <w:rFonts w:ascii="Calibri Light" w:hAnsi="Calibri Light" w:cs="Calibri Light"/>
      <w:sz w:val="24"/>
      <w:szCs w:val="24"/>
    </w:rPr>
  </w:style>
  <w:style w:type="paragraph" w:styleId="Xl88" w:customStyle="1">
    <w:name w:val="xl88"/>
    <w:basedOn w:val="Normal"/>
    <w:qFormat/>
    <w:rsid w:val="00d751e9"/>
    <w:pPr>
      <w:spacing w:beforeAutospacing="1" w:afterAutospacing="1"/>
      <w:jc w:val="right"/>
      <w:textAlignment w:val="center"/>
    </w:pPr>
    <w:rPr>
      <w:rFonts w:ascii="Calibri Light" w:hAnsi="Calibri Light" w:cs="Calibri Light"/>
      <w:sz w:val="24"/>
      <w:szCs w:val="24"/>
    </w:rPr>
  </w:style>
  <w:style w:type="paragraph" w:styleId="Xl89" w:customStyle="1">
    <w:name w:val="xl89"/>
    <w:basedOn w:val="Normal"/>
    <w:qFormat/>
    <w:rsid w:val="00d751e9"/>
    <w:pPr>
      <w:spacing w:beforeAutospacing="1" w:afterAutospacing="1"/>
      <w:jc w:val="right"/>
      <w:textAlignment w:val="center"/>
    </w:pPr>
    <w:rPr>
      <w:rFonts w:ascii="Calibri Light" w:hAnsi="Calibri Light" w:cs="Calibri Light"/>
      <w:b/>
      <w:bCs/>
      <w:sz w:val="24"/>
      <w:szCs w:val="24"/>
    </w:rPr>
  </w:style>
  <w:style w:type="paragraph" w:styleId="Style36" w:customStyle="1">
    <w:name w:val="[РГ] Текст"/>
    <w:basedOn w:val="Normal"/>
    <w:qFormat/>
    <w:rsid w:val="00297d32"/>
    <w:pPr>
      <w:ind w:firstLine="709"/>
      <w:jc w:val="both"/>
    </w:pPr>
    <w:rPr>
      <w:color w:val="000000" w:themeColor="text1"/>
      <w:sz w:val="24"/>
      <w:szCs w:val="24"/>
      <w:lang w:eastAsia="x-none"/>
    </w:rPr>
  </w:style>
  <w:style w:type="paragraph" w:styleId="Xl63" w:customStyle="1">
    <w:name w:val="xl63"/>
    <w:basedOn w:val="Normal"/>
    <w:qFormat/>
    <w:rsid w:val="00334a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styleId="Xl64" w:customStyle="1">
    <w:name w:val="xl64"/>
    <w:basedOn w:val="Normal"/>
    <w:qFormat/>
    <w:rsid w:val="00334a1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styleId="111" w:customStyle="1">
    <w:name w:val="Заголовок1"/>
    <w:basedOn w:val="Heading1"/>
    <w:link w:val="14"/>
    <w:qFormat/>
    <w:rsid w:val="00f820bc"/>
    <w:pPr>
      <w:pageBreakBefore/>
      <w:numPr>
        <w:ilvl w:val="0"/>
        <w:numId w:val="3"/>
      </w:numPr>
      <w:ind w:left="0" w:hanging="0"/>
      <w:jc w:val="center"/>
    </w:pPr>
    <w:rPr>
      <w:sz w:val="28"/>
      <w:szCs w:val="28"/>
    </w:rPr>
  </w:style>
  <w:style w:type="paragraph" w:styleId="Style37" w:customStyle="1">
    <w:name w:val="Содержимое врезки"/>
    <w:basedOn w:val="Normal"/>
    <w:qFormat/>
    <w:pPr/>
    <w:rPr/>
  </w:style>
  <w:style w:type="paragraph" w:styleId="PlainText">
    <w:name w:val="Plain Text"/>
    <w:basedOn w:val="Normal"/>
    <w:link w:val="Style16"/>
    <w:uiPriority w:val="99"/>
    <w:semiHidden/>
    <w:unhideWhenUsed/>
    <w:qFormat/>
    <w:rsid w:val="005f0f7f"/>
    <w:pPr>
      <w:suppressAutoHyphens w:val="false"/>
    </w:pPr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andard" w:customStyle="1">
    <w:name w:val="Standard"/>
    <w:qFormat/>
    <w:rsid w:val="00702a33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3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6" w:customStyle="1">
    <w:name w:val="Стиль3"/>
    <w:uiPriority w:val="99"/>
    <w:qFormat/>
    <w:rsid w:val="00c07d98"/>
  </w:style>
  <w:style w:type="numbering" w:styleId="42" w:customStyle="1">
    <w:name w:val="Стиль4"/>
    <w:uiPriority w:val="99"/>
    <w:qFormat/>
    <w:rsid w:val="004325e1"/>
  </w:style>
  <w:style w:type="numbering" w:styleId="13517140451" w:customStyle="1">
    <w:name w:val="13517140451"/>
    <w:qFormat/>
  </w:style>
  <w:style w:type="numbering" w:styleId="123" w:customStyle="1">
    <w:name w:val="Нумерованный 123"/>
    <w:qFormat/>
  </w:style>
  <w:style w:type="table" w:default="1" w:styleId="a9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Grid"/>
    <w:basedOn w:val="a9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9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9"/>
    <w:uiPriority w:val="39"/>
    <w:rsid w:val="0089073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<Relationship Id="rId21" Type="http://schemas.openxmlformats.org/officeDocument/2006/relationships/customXml" Target="../customXml/item2.xml"/><Relationship Id="rId22" Type="http://schemas.openxmlformats.org/officeDocument/2006/relationships/customXml" Target="../customXml/item3.xml"/><Relationship Id="rId2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6183A76AE1B9479D13E692560BA3A1" ma:contentTypeVersion="1" ma:contentTypeDescription="Создание документа." ma:contentTypeScope="" ma:versionID="fe9656d68f00400e483b82b86049f42a">
  <xsd:schema xmlns:xsd="http://www.w3.org/2001/XMLSchema" xmlns:xs="http://www.w3.org/2001/XMLSchema" xmlns:p="http://schemas.microsoft.com/office/2006/metadata/properties" xmlns:ns2="e20b8c0d-372d-4424-b649-01a7cb84bca0" targetNamespace="http://schemas.microsoft.com/office/2006/metadata/properties" ma:root="true" ma:fieldsID="6ef416ee02a1e34638b763bf9babf4c8" ns2:_="">
    <xsd:import namespace="e20b8c0d-372d-4424-b649-01a7cb84bca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b8c0d-372d-4424-b649-01a7cb84bc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66F25-2648-4CEA-B5A4-9EE9836A1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b8c0d-372d-4424-b649-01a7cb84b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5566A-8EAA-4943-A9F6-4FC1BA8999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3BC7C-9231-49BB-B0E9-D930CD10AF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90B6EB-A318-4DFD-A1DC-3CD58DB0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AlterOffice/3.4.0.9$Linux_X86_64 LibreOffice_project/b8daf9e823b1a5463a2f48435ddc2e8696e7d4fc</Application>
  <AppVersion>15.0000</AppVersion>
  <Pages>47</Pages>
  <Words>10837</Words>
  <Characters>65064</Characters>
  <CharactersWithSpaces>74351</CharactersWithSpaces>
  <Paragraphs>2652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2026-07-08T10:25:00Z</dcterms:created>
  <dc:creator>Быстров Олег Геннадьевич</dc:creator>
  <dc:description/>
  <dc:language>ru-RU</dc:language>
  <cp:lastModifiedBy>batsaginmmi@corp.gidroogk.com</cp:lastModifiedBy>
  <cp:lastPrinted>2026-02-18T00:55:00Z</cp:lastPrinted>
  <dcterms:modified xsi:type="dcterms:W3CDTF">2026-08-04T16:34:52Z</dcterms:modified>
  <cp:revision>12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0x0101002E6183A76AE1B9479D13E692560BA3A1</vt:lpwstr>
  </property>
</Properties>
</file>