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9.xml" ContentType="application/vnd.openxmlformats-officedocument.wordprocessingml.header+xml"/>
  <Override PartName="/word/header12.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10.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ntTable.xml" ContentType="application/vnd.openxmlformats-officedocument.wordprocessingml.fontTable+xml"/>
  <Override PartName="/word/footnotes.xml" ContentType="application/vnd.openxmlformats-officedocument.wordprocessingml.footnotes+xml"/>
  <Override PartName="/word/footer1.xml" ContentType="application/vnd.openxmlformats-officedocument.wordprocessingml.footer+xml"/>
  <Override PartName="/word/header16.xml" ContentType="application/vnd.openxmlformats-officedocument.wordprocessingml.header+xml"/>
  <Override PartName="/word/header18.xml" ContentType="application/vnd.openxmlformats-officedocument.wordprocessingml.header+xml"/>
  <Override PartName="/word/header17.xml" ContentType="application/vnd.openxmlformats-officedocument.wordprocessingml.header+xml"/>
  <Override PartName="/word/header13.xml" ContentType="application/vnd.openxmlformats-officedocument.wordprocessingml.header+xml"/>
  <Override PartName="/word/media/image29.wmf" ContentType="image/x-wmf"/>
  <Override PartName="/word/media/image46.wmf" ContentType="image/x-wmf"/>
  <Override PartName="/word/media/image28.wmf" ContentType="image/x-wmf"/>
  <Override PartName="/word/media/image45.wmf" ContentType="image/x-wmf"/>
  <Override PartName="/word/media/image27.wmf" ContentType="image/x-wmf"/>
  <Override PartName="/word/media/image44.wmf" ContentType="image/x-wmf"/>
  <Override PartName="/word/media/image19.wmf" ContentType="image/x-wmf"/>
  <Override PartName="/word/media/image36.wmf" ContentType="image/x-wmf"/>
  <Override PartName="/word/media/image26.wmf" ContentType="image/x-wmf"/>
  <Override PartName="/word/media/image43.wmf" ContentType="image/x-wmf"/>
  <Override PartName="/word/media/image18.wmf" ContentType="image/x-wmf"/>
  <Override PartName="/word/media/image35.wmf" ContentType="image/x-wmf"/>
  <Override PartName="/word/media/image25.wmf" ContentType="image/x-wmf"/>
  <Override PartName="/word/media/image42.wmf" ContentType="image/x-wmf"/>
  <Override PartName="/word/media/image17.wmf" ContentType="image/x-wmf"/>
  <Override PartName="/word/media/image34.wmf" ContentType="image/x-wmf"/>
  <Override PartName="/word/media/image24.wmf" ContentType="image/x-wmf"/>
  <Override PartName="/word/media/image41.wmf" ContentType="image/x-wmf"/>
  <Override PartName="/word/media/image12.wmf" ContentType="image/x-wmf"/>
  <Override PartName="/word/media/image20.wmf" ContentType="image/x-wmf"/>
  <Override PartName="/word/media/image8.wmf" ContentType="image/x-wmf"/>
  <Override PartName="/word/media/image21.wmf" ContentType="image/x-wmf"/>
  <Override PartName="/word/media/image10.wmf" ContentType="image/x-wmf"/>
  <Override PartName="/word/media/image9.wmf" ContentType="image/x-wmf"/>
  <Override PartName="/word/media/image37.wmf" ContentType="image/x-wmf"/>
  <Override PartName="/word/media/image38.wmf" ContentType="image/x-wmf"/>
  <Override PartName="/word/media/image39.wmf" ContentType="image/x-wmf"/>
  <Override PartName="/word/media/image47.wmf" ContentType="image/x-wmf"/>
  <Override PartName="/word/media/image13.wmf" ContentType="image/x-wmf"/>
  <Override PartName="/word/media/image30.wmf" ContentType="image/x-wmf"/>
  <Override PartName="/word/media/image22.wmf" ContentType="image/x-wmf"/>
  <Override PartName="/word/media/image48.wmf" ContentType="image/x-wmf"/>
  <Override PartName="/word/media/image7.wmf" ContentType="image/x-wmf"/>
  <Override PartName="/word/media/image6.wmf" ContentType="image/x-wmf"/>
  <Override PartName="/word/media/image5.wmf" ContentType="image/x-wmf"/>
  <Override PartName="/word/media/image4.wmf" ContentType="image/x-wmf"/>
  <Override PartName="/word/media/image11.wmf" ContentType="image/x-wmf"/>
  <Override PartName="/word/media/image3.png" ContentType="image/png"/>
  <Override PartName="/word/media/image2.wmf" ContentType="image/x-wmf"/>
  <Override PartName="/word/media/image1.wmf" ContentType="image/x-wmf"/>
  <Override PartName="/word/media/image14.wmf" ContentType="image/x-wmf"/>
  <Override PartName="/word/media/image31.wmf" ContentType="image/x-wmf"/>
  <Override PartName="/word/media/image15.wmf" ContentType="image/x-wmf"/>
  <Override PartName="/word/media/image32.wmf" ContentType="image/x-wmf"/>
  <Override PartName="/word/media/image23.wmf" ContentType="image/x-wmf"/>
  <Override PartName="/word/media/image40.wmf" ContentType="image/x-wmf"/>
  <Override PartName="/word/media/image16.wmf" ContentType="image/x-wmf"/>
  <Override PartName="/word/media/image33.wmf" ContentType="image/x-wmf"/>
  <Override PartName="/word/header15.xml" ContentType="application/vnd.openxmlformats-officedocument.wordprocessingml.header+xml"/>
  <Override PartName="/word/header14.xml" ContentType="application/vnd.openxmlformats-officedocument.wordprocessingml.head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Договор подряда № ____________</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8"/>
          <w:tab w:val="right" w:pos="993" w:leader="none"/>
        </w:tabs>
        <w:spacing w:lineRule="auto" w:line="240"/>
        <w:ind w:hanging="0"/>
        <w:rPr>
          <w:bCs/>
          <w:color w:val="000000"/>
          <w:sz w:val="24"/>
          <w:szCs w:val="24"/>
          <w:lang w:val="x-none"/>
        </w:rPr>
      </w:pPr>
      <w:r>
        <w:rPr>
          <w:bCs/>
          <w:color w:val="000000"/>
          <w:sz w:val="24"/>
          <w:szCs w:val="24"/>
        </w:rPr>
        <w:t>г.  Красноярск</w:t>
        <w:tab/>
        <w:tab/>
        <w:tab/>
        <w:tab/>
        <w:tab/>
        <w:tab/>
        <w:tab/>
        <w:t xml:space="preserve">            «___» _________ 2026 г.</w:t>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Normal"/>
        <w:suppressAutoHyphens w:val="false"/>
        <w:spacing w:lineRule="auto" w:line="240"/>
        <w:ind w:firstLine="708"/>
        <w:rPr>
          <w:sz w:val="24"/>
          <w:szCs w:val="24"/>
          <w:lang w:val="x-none" w:eastAsia="en-US"/>
        </w:rPr>
      </w:pPr>
      <w:r>
        <w:rPr>
          <w:b/>
          <w:sz w:val="24"/>
          <w:szCs w:val="24"/>
          <w:lang w:eastAsia="en-US"/>
        </w:rPr>
        <w:t xml:space="preserve">Публичное </w:t>
      </w:r>
      <w:r>
        <w:rPr>
          <w:b/>
          <w:sz w:val="24"/>
          <w:szCs w:val="24"/>
          <w:lang w:val="x-none" w:eastAsia="en-US"/>
        </w:rPr>
        <w:t xml:space="preserve">акционерное общество «Федеральная гидрогенерирующая компания </w:t>
      </w:r>
      <w:r>
        <w:rPr>
          <w:b/>
          <w:sz w:val="24"/>
          <w:szCs w:val="24"/>
          <w:lang w:eastAsia="en-US"/>
        </w:rPr>
        <w:t>–</w:t>
      </w:r>
      <w:r>
        <w:rPr>
          <w:b/>
          <w:sz w:val="24"/>
          <w:szCs w:val="24"/>
          <w:lang w:val="x-none" w:eastAsia="en-US"/>
        </w:rPr>
        <w:t xml:space="preserve"> РусГидро» </w:t>
      </w:r>
      <w:r>
        <w:rPr>
          <w:sz w:val="24"/>
          <w:szCs w:val="24"/>
          <w:lang w:val="x-none" w:eastAsia="en-US"/>
        </w:rPr>
        <w:t>(</w:t>
      </w:r>
      <w:r>
        <w:rPr>
          <w:sz w:val="24"/>
          <w:szCs w:val="24"/>
          <w:lang w:eastAsia="en-US"/>
        </w:rPr>
        <w:t>П</w:t>
      </w:r>
      <w:r>
        <w:rPr>
          <w:sz w:val="24"/>
          <w:szCs w:val="24"/>
          <w:lang w:val="x-none" w:eastAsia="en-US"/>
        </w:rPr>
        <w:t xml:space="preserve">АО «РусГидро») (далее – «Заказчик»), в лице _______________ действующего на основании ______________, с одной стороны, и </w:t>
      </w:r>
    </w:p>
    <w:p>
      <w:pPr>
        <w:pStyle w:val="Normal"/>
        <w:suppressAutoHyphens w:val="false"/>
        <w:spacing w:lineRule="auto" w:line="240"/>
        <w:ind w:firstLine="708"/>
        <w:rPr>
          <w:sz w:val="24"/>
          <w:szCs w:val="24"/>
          <w:lang w:val="x-none" w:eastAsia="en-US"/>
        </w:rPr>
      </w:pPr>
      <w:r>
        <w:rPr>
          <w:sz w:val="24"/>
          <w:szCs w:val="24"/>
          <w:lang w:val="x-none" w:eastAsia="en-US"/>
        </w:rPr>
        <w:t xml:space="preserve">________________________ (далее – «Подрядчик»), в лице ________________, действующего на основании ______________, с другой стороны, </w:t>
      </w:r>
    </w:p>
    <w:p>
      <w:pPr>
        <w:pStyle w:val="Normal"/>
        <w:suppressAutoHyphens w:val="false"/>
        <w:spacing w:lineRule="auto" w:line="240"/>
        <w:ind w:firstLine="708"/>
        <w:rPr>
          <w:bCs/>
          <w:sz w:val="24"/>
          <w:szCs w:val="24"/>
          <w:lang w:eastAsia="en-US"/>
        </w:rPr>
      </w:pPr>
      <w:r>
        <w:rPr>
          <w:sz w:val="24"/>
          <w:szCs w:val="24"/>
          <w:lang w:val="x-none" w:eastAsia="en-US"/>
        </w:rPr>
        <w:t xml:space="preserve">совместно в дальнейшем именуемые «Стороны», а по отдельности – «Сторона», </w:t>
      </w:r>
      <w:r>
        <w:rPr>
          <w:sz w:val="24"/>
          <w:szCs w:val="24"/>
          <w:lang w:eastAsia="en-US"/>
        </w:rPr>
        <w:br/>
      </w:r>
      <w:r>
        <w:rPr>
          <w:sz w:val="24"/>
          <w:szCs w:val="24"/>
          <w:lang w:val="x-none" w:eastAsia="en-US"/>
        </w:rPr>
        <w:t xml:space="preserve">по результатам проведенного Заказчиком состязательного отбора по лоту </w:t>
      </w:r>
      <w:r>
        <w:rPr>
          <w:sz w:val="24"/>
          <w:szCs w:val="24"/>
          <w:lang w:eastAsia="en-US"/>
        </w:rPr>
        <w:t xml:space="preserve">                                                      </w:t>
      </w:r>
      <w:r>
        <w:rPr>
          <w:sz w:val="24"/>
          <w:szCs w:val="24"/>
          <w:lang w:val="x-none" w:eastAsia="en-US"/>
        </w:rPr>
        <w:t xml:space="preserve">№ </w:t>
      </w:r>
      <w:r>
        <w:rPr>
          <w:sz w:val="24"/>
          <w:szCs w:val="24"/>
          <w:lang w:val="x-none" w:eastAsia="en-US"/>
        </w:rPr>
        <w:t>0052-КС ПИР СМР-2026-ХФ</w:t>
      </w:r>
      <w:r>
        <w:rPr>
          <w:bCs/>
          <w:sz w:val="24"/>
          <w:szCs w:val="24"/>
          <w:lang w:val="x-none" w:eastAsia="en-US"/>
        </w:rPr>
        <w:t>,</w:t>
      </w:r>
      <w:r>
        <w:rPr>
          <w:color w:val="0000FF"/>
          <w:sz w:val="24"/>
          <w:szCs w:val="24"/>
          <w:lang w:val="x-none" w:eastAsia="en-US"/>
        </w:rPr>
        <w:t xml:space="preserve"> </w:t>
      </w:r>
      <w:r>
        <w:rPr>
          <w:sz w:val="24"/>
          <w:szCs w:val="24"/>
          <w:lang w:eastAsia="en-US"/>
        </w:rPr>
        <w:t>и</w:t>
      </w:r>
      <w:r>
        <w:rPr>
          <w:color w:val="0000FF"/>
          <w:sz w:val="24"/>
          <w:szCs w:val="24"/>
          <w:lang w:eastAsia="en-US"/>
        </w:rPr>
        <w:t xml:space="preserve"> </w:t>
      </w:r>
      <w:r>
        <w:rPr>
          <w:bCs/>
          <w:sz w:val="24"/>
          <w:szCs w:val="24"/>
          <w:lang w:val="x-none" w:eastAsia="en-US"/>
        </w:rPr>
        <w:t xml:space="preserve">на основании </w:t>
      </w:r>
      <w:r>
        <w:rPr>
          <w:bCs/>
          <w:sz w:val="24"/>
          <w:szCs w:val="24"/>
          <w:lang w:eastAsia="en-US"/>
        </w:rPr>
        <w:t>п</w:t>
      </w:r>
      <w:r>
        <w:rPr>
          <w:bCs/>
          <w:sz w:val="24"/>
          <w:szCs w:val="24"/>
          <w:lang w:val="x-none" w:eastAsia="en-US"/>
        </w:rPr>
        <w:t xml:space="preserve">ротокола </w:t>
      </w:r>
      <w:r>
        <w:rPr>
          <w:bCs/>
          <w:sz w:val="24"/>
          <w:szCs w:val="24"/>
          <w:lang w:eastAsia="en-US"/>
        </w:rPr>
        <w:t>№__________</w:t>
      </w:r>
      <w:r>
        <w:rPr>
          <w:bCs/>
          <w:sz w:val="24"/>
          <w:szCs w:val="24"/>
          <w:lang w:val="x-none" w:eastAsia="en-US"/>
        </w:rPr>
        <w:t xml:space="preserve"> от «___»________ </w:t>
      </w:r>
      <w:bookmarkStart w:id="0" w:name="_GoBack"/>
      <w:bookmarkEnd w:id="0"/>
      <w:r>
        <w:rPr>
          <w:bCs/>
          <w:sz w:val="24"/>
          <w:szCs w:val="24"/>
          <w:lang w:val="x-none" w:eastAsia="en-US"/>
        </w:rPr>
        <w:t>г</w:t>
      </w:r>
      <w:r>
        <w:rPr>
          <w:bCs/>
          <w:sz w:val="24"/>
          <w:szCs w:val="24"/>
          <w:lang w:eastAsia="en-US"/>
        </w:rPr>
        <w:t>.</w:t>
      </w:r>
      <w:r>
        <w:rPr>
          <w:bCs/>
          <w:sz w:val="24"/>
          <w:szCs w:val="24"/>
          <w:lang w:val="x-none" w:eastAsia="en-US"/>
        </w:rPr>
        <w:t xml:space="preserve"> </w:t>
      </w:r>
      <w:r>
        <w:rPr>
          <w:bCs/>
          <w:sz w:val="24"/>
          <w:szCs w:val="24"/>
          <w:lang w:eastAsia="en-US"/>
        </w:rPr>
        <w:t xml:space="preserve"> </w:t>
      </w:r>
    </w:p>
    <w:p>
      <w:pPr>
        <w:pStyle w:val="Normal"/>
        <w:spacing w:lineRule="auto" w:line="240"/>
        <w:ind w:firstLine="708"/>
        <w:rPr>
          <w:color w:val="000000"/>
          <w:sz w:val="24"/>
          <w:szCs w:val="24"/>
          <w:lang w:val="x-none" w:eastAsia="en-US"/>
        </w:rPr>
      </w:pPr>
      <w:r>
        <w:rPr>
          <w:sz w:val="24"/>
          <w:szCs w:val="24"/>
        </w:rPr>
        <w:t>заключили настоящий договор подряда (далее – «Договор») о нижеследующем:</w:t>
      </w:r>
    </w:p>
    <w:p>
      <w:pPr>
        <w:pStyle w:val="Normal"/>
        <w:spacing w:lineRule="auto" w:line="240"/>
        <w:ind w:firstLine="708"/>
        <w:rPr>
          <w:color w:val="000000"/>
          <w:sz w:val="24"/>
          <w:szCs w:val="24"/>
          <w:lang w:eastAsia="en-US"/>
        </w:rPr>
      </w:pPr>
      <w:r>
        <w:rPr>
          <w:color w:val="000000"/>
          <w:sz w:val="24"/>
          <w:szCs w:val="24"/>
          <w:lang w:eastAsia="en-US"/>
        </w:rPr>
      </w:r>
    </w:p>
    <w:p>
      <w:pPr>
        <w:pStyle w:val="ListParagraph"/>
        <w:shd w:val="clear" w:color="auto" w:fill="FFFFFF"/>
        <w:tabs>
          <w:tab w:val="clear" w:pos="708"/>
          <w:tab w:val="left" w:pos="284" w:leader="none"/>
        </w:tabs>
        <w:ind w:left="0" w:hanging="0"/>
        <w:jc w:val="center"/>
        <w:rPr>
          <w:b/>
          <w:bCs/>
        </w:rPr>
      </w:pPr>
      <w:r>
        <w:rPr>
          <w:b/>
          <w:bCs/>
        </w:rPr>
        <w:t>Термины и определения</w:t>
      </w:r>
    </w:p>
    <w:p>
      <w:pPr>
        <w:pStyle w:val="BodyText3"/>
        <w:ind w:firstLine="708"/>
        <w:rPr>
          <w:color w:val="auto"/>
          <w:lang w:val="ru-RU"/>
        </w:rPr>
      </w:pPr>
      <w:r>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lang w:eastAsia="en-US"/>
        </w:rPr>
      </w:pPr>
      <w:r>
        <w:rPr>
          <w:b/>
          <w:lang w:eastAsia="en-US"/>
        </w:rPr>
        <w:t xml:space="preserve">«Акт КС-2», «Справка КС-3» </w:t>
      </w:r>
      <w:r>
        <w:rPr>
          <w:lang w:eastAsia="en-US"/>
        </w:rPr>
        <w:t>–</w:t>
      </w:r>
      <w:r>
        <w:rPr>
          <w:b/>
          <w:lang w:eastAsia="en-US"/>
        </w:rPr>
        <w:t xml:space="preserve"> </w:t>
      </w:r>
      <w:r>
        <w:rP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ind w:left="0" w:firstLine="708"/>
        <w:jc w:val="both"/>
        <w:rPr>
          <w:lang w:eastAsia="en-US"/>
        </w:rPr>
      </w:pPr>
      <w:r>
        <w:rPr>
          <w:lang w:eastAsia="en-US"/>
        </w:rPr>
        <w:t>Акт КС-2 подписывается Сторонами в</w:t>
      </w:r>
      <w:r>
        <w:rPr>
          <w:bCs/>
        </w:rPr>
        <w:t xml:space="preserve"> целях сдачи-приемки выполненных Работ по завершении выполнения Работ по каждому Этапу Работ, предусмотренному Договором.</w:t>
      </w:r>
    </w:p>
    <w:p>
      <w:pPr>
        <w:pStyle w:val="ListParagraph"/>
        <w:ind w:left="0" w:firstLine="708"/>
        <w:jc w:val="both"/>
        <w:rPr>
          <w:lang w:eastAsia="en-US"/>
        </w:rPr>
      </w:pPr>
      <w:r>
        <w:rPr>
          <w:b/>
          <w:lang w:eastAsia="en-US"/>
        </w:rPr>
        <w:t xml:space="preserve">«Акт КС-11» </w:t>
      </w:r>
      <w:r>
        <w:rPr>
          <w:lang w:eastAsia="en-US"/>
        </w:rPr>
        <w:t xml:space="preserve">– документ, оформляемый по унифицированной форме № КС-11 «Акт приемки законченного строительством объекта», </w:t>
      </w:r>
      <w:r>
        <w:rPr/>
        <w:t xml:space="preserve">утвержденной постановлением </w:t>
      </w:r>
      <w:r>
        <w:rPr>
          <w:lang w:eastAsia="en-US"/>
        </w:rPr>
        <w:t>Госкомстата РФ от 30.10.1997 № 71а, подписываемый Сторонами по окончании всех Работ, предусмотренных Договором.</w:t>
      </w:r>
    </w:p>
    <w:p>
      <w:pPr>
        <w:pStyle w:val="ListParagraph"/>
        <w:ind w:left="0" w:firstLine="708"/>
        <w:jc w:val="both"/>
        <w:rPr>
          <w:lang w:eastAsia="en-US"/>
        </w:rPr>
      </w:pPr>
      <w:r>
        <w:rPr>
          <w:b/>
          <w:lang w:eastAsia="en-US"/>
        </w:rPr>
        <w:t>«Акт КС-14»</w:t>
      </w:r>
      <w:r>
        <w:rPr>
          <w:lang w:eastAsia="en-US"/>
        </w:rPr>
        <w:t xml:space="preserve"> – документ, оформляемый по унифицированной форме № КС-14 «Акт приемки законченного строительством объекта приемочной комиссией», утвержденной постановлением Госкомстата РФ от 30.10.1997 № 71а, подписываемый Сторонами по окончании всех работ и приемки законченного строительства Объекта приемочной комиссией.</w:t>
      </w:r>
    </w:p>
    <w:p>
      <w:pPr>
        <w:pStyle w:val="ListParagraph"/>
        <w:ind w:left="0" w:firstLine="708"/>
        <w:jc w:val="both"/>
        <w:rPr>
          <w:lang w:eastAsia="en-US"/>
        </w:rPr>
      </w:pPr>
      <w:r>
        <w:rPr>
          <w:b/>
          <w:lang w:eastAsia="en-US"/>
        </w:rPr>
        <w:t>«Акт освидетельствования выполненных работ»</w:t>
      </w:r>
      <w:r>
        <w:rPr>
          <w:lang w:eastAsia="en-US"/>
        </w:rPr>
        <w:t xml:space="preserve"> – документ, оформляемый по форме, установленной Договором, подписываемый Сторонами </w:t>
      </w:r>
      <w:r>
        <w:rPr>
          <w:bCs/>
        </w:rPr>
        <w:t>в целях промежуточного контроля объемов выполнения Работ и осуществления Сторонами расчетов по Договору</w:t>
      </w:r>
      <w:r>
        <w:rPr>
          <w:lang w:eastAsia="en-US"/>
        </w:rPr>
        <w:t>.</w:t>
      </w:r>
    </w:p>
    <w:p>
      <w:pPr>
        <w:pStyle w:val="ListParagraph"/>
        <w:ind w:left="0" w:firstLine="708"/>
        <w:jc w:val="both"/>
        <w:rPr>
          <w:lang w:eastAsia="en-US"/>
        </w:rPr>
      </w:pPr>
      <w:r>
        <w:rPr>
          <w:lang w:eastAsia="en-US"/>
        </w:rPr>
        <w:t xml:space="preserve">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выполненных Работ (пункт 3 статьи 753 Гражданского кодекса Российской Федерации (далее </w:t>
      </w:r>
      <w:r>
        <w:rPr/>
        <w:t>– «ГК РФ»</w:t>
      </w:r>
      <w:r>
        <w:rPr>
          <w:lang w:eastAsia="en-US"/>
        </w:rPr>
        <w:t>),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«Акт рекламации»</w:t>
      </w:r>
      <w:r>
        <w:rPr>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w:t>
      </w:r>
    </w:p>
    <w:p>
      <w:pPr>
        <w:pStyle w:val="BodyText3"/>
        <w:ind w:firstLine="708"/>
        <w:rPr>
          <w:color w:val="auto"/>
          <w:lang w:val="ru-RU"/>
        </w:rPr>
      </w:pPr>
      <w:r>
        <w:rPr>
          <w:b/>
          <w:color w:val="auto"/>
        </w:rPr>
        <w:t>АО «УК ГидроОГК»</w:t>
      </w:r>
      <w:r>
        <w:rPr>
          <w:color w:val="auto"/>
          <w:lang w:val="ru-RU"/>
        </w:rPr>
        <w:t xml:space="preserve"> - </w:t>
      </w:r>
      <w:r>
        <w:rPr>
          <w:color w:val="auto"/>
        </w:rPr>
        <w:t xml:space="preserve">агент, осуществляющий реализацию инвестиционного проекта «Строительство 2-ой очереди Нерюнгринской ГРЭС» от имени </w:t>
      </w:r>
      <w:r>
        <w:rPr>
          <w:color w:val="auto"/>
          <w:lang w:val="ru-RU"/>
        </w:rPr>
        <w:t>Заказчика</w:t>
      </w:r>
      <w:r>
        <w:rPr>
          <w:color w:val="auto"/>
        </w:rPr>
        <w:t xml:space="preserve"> в рамках объема задач, предусмотренных условиями агентского договора, заключенного между </w:t>
      </w:r>
      <w:r>
        <w:rPr>
          <w:color w:val="auto"/>
          <w:lang w:val="ru-RU"/>
        </w:rPr>
        <w:t>Заказчико</w:t>
      </w:r>
      <w:r>
        <w:rPr>
          <w:color w:val="auto"/>
        </w:rPr>
        <w:t>м и АО «УК ГидроОГК»</w:t>
      </w:r>
      <w:r>
        <w:rPr>
          <w:color w:val="auto"/>
          <w:lang w:val="ru-RU"/>
        </w:rPr>
        <w:t>.</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 xml:space="preserve">«Банк» – </w:t>
      </w:r>
      <w:r>
        <w:rPr>
          <w:lang w:eastAsia="en-US"/>
        </w:rPr>
        <w:t xml:space="preserve">финансово-кредитное учреждение, привлекаемое Заказчиком с целью банковского сопровождения Договора. </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«Банковская гарантия»</w:t>
      </w:r>
      <w:r>
        <w:rP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t xml:space="preserve"> </w:t>
      </w:r>
      <w:r>
        <w:rPr>
          <w:lang w:eastAsia="en-US"/>
        </w:rPr>
        <w:t xml:space="preserve">в той мере, в какой указанные правила не противоречат законодательству Российской Федерации </w:t>
        <w:br/>
        <w:t>и условиям Договора.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 xml:space="preserve">«Банковское сопровождение» </w:t>
      </w:r>
      <w:r>
        <w:rPr>
          <w:lang w:eastAsia="en-US"/>
        </w:rPr>
        <w:t>–</w:t>
      </w:r>
      <w:r>
        <w:rPr>
          <w:b/>
          <w:lang w:eastAsia="en-US"/>
        </w:rPr>
        <w:t xml:space="preserve"> </w:t>
      </w:r>
      <w:r>
        <w:rPr>
          <w:lang w:eastAsia="en-US"/>
        </w:rPr>
        <w:t>предоставление Банком комплекса услуг, позволяющих обеспечить контроль целевого расходования денежных средств в рамках исполнения Договора.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«Гарантийный срок»</w:t>
      </w:r>
      <w:r>
        <w:rPr/>
        <w:t xml:space="preserve"> </w:t>
      </w:r>
      <w:r>
        <w:rPr>
          <w:lang w:eastAsia="en-US"/>
        </w:rPr>
        <w:t>– период, в течение которого качество выполненных Работ и использованных Материально-технических ресурсов должно соответствовать требованиям Договора, Проектной документации, Рабочей документации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b/>
          <w:lang w:eastAsia="en-US"/>
        </w:rPr>
        <w:t>«Исполнительн</w:t>
      </w:r>
      <w:bookmarkStart w:id="1" w:name="OCRUncertain148"/>
      <w:r>
        <w:rPr>
          <w:b/>
          <w:lang w:eastAsia="en-US"/>
        </w:rPr>
        <w:t>а</w:t>
      </w:r>
      <w:bookmarkEnd w:id="1"/>
      <w:r>
        <w:rPr>
          <w:b/>
          <w:lang w:eastAsia="en-US"/>
        </w:rPr>
        <w:t>я док</w:t>
      </w:r>
      <w:bookmarkStart w:id="2" w:name="OCRUncertain149"/>
      <w:r>
        <w:rPr>
          <w:b/>
          <w:lang w:eastAsia="en-US"/>
        </w:rPr>
        <w:t>у</w:t>
      </w:r>
      <w:bookmarkEnd w:id="2"/>
      <w:r>
        <w:rPr>
          <w:b/>
          <w:lang w:eastAsia="en-US"/>
        </w:rPr>
        <w:t>м</w:t>
      </w:r>
      <w:bookmarkStart w:id="3" w:name="OCRUncertain150"/>
      <w:r>
        <w:rPr>
          <w:b/>
          <w:lang w:eastAsia="en-US"/>
        </w:rPr>
        <w:t>е</w:t>
      </w:r>
      <w:bookmarkEnd w:id="3"/>
      <w:r>
        <w:rPr>
          <w:b/>
          <w:lang w:eastAsia="en-US"/>
        </w:rPr>
        <w:t>нтац</w:t>
      </w:r>
      <w:bookmarkStart w:id="4" w:name="OCRUncertain151"/>
      <w:r>
        <w:rPr>
          <w:b/>
          <w:lang w:eastAsia="en-US"/>
        </w:rPr>
        <w:t>и</w:t>
      </w:r>
      <w:bookmarkEnd w:id="4"/>
      <w:r>
        <w:rPr>
          <w:b/>
          <w:lang w:eastAsia="en-US"/>
        </w:rPr>
        <w:t xml:space="preserve">я» </w:t>
      </w:r>
      <w:r>
        <w:rPr>
          <w:lang w:eastAsia="en-US"/>
        </w:rPr>
        <w:t>– совокупность текстовых и графических документов и материалов, оформляемых в процессе выполнения Работ, отражающих процесс производства Работ,</w:t>
      </w:r>
      <w:r>
        <w:rPr/>
        <w:t xml:space="preserve"> </w:t>
      </w:r>
      <w:r>
        <w:rPr>
          <w:lang w:eastAsia="en-US"/>
        </w:rPr>
        <w:t xml:space="preserve">техническое состояние Объекта, а также фактическое исполнение проектных решений в процессе выполнения Работ по Договору. </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lang w:eastAsia="en-US"/>
        </w:rPr>
        <w:t>К Исполнительной документации относятся в том числе:</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акты приемки геодезической разбивочной основы;</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исполнительные геодезические схемы возведенных конструкций, элементов и частей зданий, сооружений;</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исполнительные схемы и профили инженерных сетей и подземных сооружений;</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общий журнал работ</w:t>
      </w:r>
      <w:r>
        <w:rPr>
          <w:lang w:val="en-US" w:eastAsia="en-US"/>
        </w:rPr>
        <w:t>;</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специальные журналы работ (соответствующие видам выполняемых работ), журналы входного и операционного контроля качества;</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журнал авторского надзора проектных организаций (при наличии авторского надзора);</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акты освидетельствования скрытых работ</w:t>
      </w:r>
      <w:r>
        <w:rPr>
          <w:lang w:val="en-US" w:eastAsia="en-US"/>
        </w:rPr>
        <w:t>;</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акты промежуточной приемки ответственных конструкций;</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акты испытаний и опробования систем и устройств;</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результаты экспертиз, обследований в ходе выполнения работ;</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акты приемки инженерных систем</w:t>
      </w:r>
      <w:r>
        <w:rPr>
          <w:lang w:val="en-US" w:eastAsia="en-US"/>
        </w:rPr>
        <w:t>;</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исполнительные схемы расположения зданий, сооружений на местности (посадки);</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рабочие чертежи на строительство Объекта с надписями о соответствии выполненных в натуре работ этим чертежам (с учетом внесенных в них изменений), сделанными лицами, ответственными за производство строительно-монтажных работ;</w:t>
      </w:r>
    </w:p>
    <w:p>
      <w:pPr>
        <w:pStyle w:val="ListParagraph"/>
        <w:widowControl w:val="false"/>
        <w:numPr>
          <w:ilvl w:val="0"/>
          <w:numId w:val="7"/>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другие документы по усмотрению Сторон с учетом специфики Работ.</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Исполнительная документация предъявляется Подрядчиком при освидетельствовании выполненных работ, а также при приемке Результата Работ. Исполнительная документация в комплекте с другими документами передается Заказчику на постоянное хранение и используется в процессе эксплуатации Объекта.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8"/>
          <w:tab w:val="left" w:pos="1134" w:leader="none"/>
        </w:tabs>
        <w:ind w:left="0" w:firstLine="709"/>
        <w:jc w:val="both"/>
        <w:textAlignment w:val="baseline"/>
        <w:rPr>
          <w:b/>
          <w:lang w:eastAsia="en-US"/>
        </w:rPr>
      </w:pPr>
      <w:r>
        <w:rPr>
          <w:b/>
          <w:lang w:eastAsia="en-US"/>
        </w:rPr>
        <w:t xml:space="preserve">«Лимит затрат, связанных с получением/обслуживанием Банковских гарантий» – </w:t>
      </w:r>
      <w:r>
        <w:rPr>
          <w:lang w:eastAsia="en-US"/>
        </w:rPr>
        <w:t>резерв средств на возмещение затрат Подрядчика на организацию получения и обслуживания банковских гарантий, предусмотренных Договором, полученных Подрядчиком в период срока исполнения обязательств по Договору, по мере возникновения факта таковых затрат</w:t>
      </w:r>
      <w:r>
        <w:rPr>
          <w:b/>
          <w:lang w:eastAsia="en-US"/>
        </w:rPr>
        <w:t>.</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«Лимит на временные здания и сооружения»</w:t>
      </w:r>
      <w:r>
        <w:rPr>
          <w:lang w:eastAsia="en-US"/>
        </w:rPr>
        <w:t xml:space="preserve"> – резерв средств на строительство и разборку титульных временных зданий и сооружений, специально возводимых или приспособляемых на период выполнения Работ и необходимых для производства Работ в отношении Объекта.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«Материально-технические ресурсы»</w:t>
      </w:r>
      <w:r>
        <w:rPr>
          <w:lang w:eastAsia="en-US"/>
        </w:rPr>
        <w:t xml:space="preserve"> – всевозможные материалы,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в ходе выполнения Работ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b/>
          <w:lang w:eastAsia="en-US"/>
        </w:rPr>
      </w:pPr>
      <w:r>
        <w:rPr>
          <w:b/>
          <w:bCs/>
        </w:rPr>
        <w:t xml:space="preserve">«Национальный режим» - </w:t>
      </w:r>
      <w:r>
        <w:rPr>
          <w:bCs/>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«Обеспечительный платеж»</w:t>
      </w:r>
      <w:r>
        <w:rPr>
          <w:lang w:eastAsia="en-US"/>
        </w:rPr>
        <w:t xml:space="preserve"> – платеж в размере 10 (десяти) процентов от Цены Договора, который удерживается Заказчиком в качестве гарантийного резервирования в случае непредставления Подрядчиком Банковской гарантии надлежащего исполнения обязательств по Договору в соответствии с требованиями, установленными Договором.</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i/>
          <w:i/>
          <w:lang w:eastAsia="en-US"/>
        </w:rPr>
      </w:pPr>
      <w:r>
        <w:rPr>
          <w:b/>
        </w:rPr>
        <w:t>«ОБС»</w:t>
      </w:r>
      <w:r>
        <w:rPr/>
        <w:t xml:space="preserve"> – отдельный банковский счет, открытый в Банке, имеющий целевой характер и предназначенный для расчетов, производимых в рамках Договора.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b/>
        </w:rPr>
      </w:pPr>
      <w:r>
        <w:rPr>
          <w:b/>
          <w:lang w:eastAsia="en-US"/>
        </w:rPr>
        <w:t>«Объект»</w:t>
      </w:r>
      <w:r>
        <w:rPr>
          <w:lang w:eastAsia="en-US"/>
        </w:rPr>
        <w:t xml:space="preserve"> – </w:t>
      </w:r>
      <w:r>
        <w:rPr>
          <w:color w:val="000000" w:themeColor="text1"/>
          <w:lang w:eastAsia="en-US"/>
        </w:rPr>
        <w:t>ЗШО 2 Нерюнгринской ГРЭС</w:t>
      </w:r>
      <w:r>
        <w:rPr>
          <w:b/>
        </w:rPr>
        <w:t>.</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b/>
          <w:lang w:eastAsia="en-US"/>
        </w:rPr>
      </w:pPr>
      <w:r>
        <w:rPr>
          <w:b/>
          <w:lang w:eastAsia="en-US"/>
        </w:rPr>
        <w:t>«Применимое право»</w:t>
      </w:r>
      <w:r>
        <w:rPr>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на заключительном этапе выполнения Работ. </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8"/>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8"/>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w:t>
      </w:r>
    </w:p>
    <w:p>
      <w:pPr>
        <w:pStyle w:val="ListParagraph"/>
        <w:widowControl w:val="false"/>
        <w:numPr>
          <w:ilvl w:val="0"/>
          <w:numId w:val="8"/>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При сдаче Результата Работ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b w:val="false"/>
          <w:sz w:val="24"/>
          <w:szCs w:val="24"/>
          <w:lang w:val="ru-RU" w:eastAsia="en-US"/>
        </w:rPr>
        <w:t>Состав разделов Проектной документации определяется Применимым правом.</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b w:val="false"/>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Заказчика.</w:t>
      </w:r>
    </w:p>
    <w:p>
      <w:pPr>
        <w:pStyle w:val="Heading3"/>
        <w:keepNext w:val="false"/>
        <w:widowControl w:val="false"/>
        <w:tabs>
          <w:tab w:val="clear" w:pos="708"/>
          <w:tab w:val="left" w:pos="567" w:leader="none"/>
        </w:tabs>
        <w:spacing w:before="0" w:after="0"/>
        <w:ind w:firstLine="709"/>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(материалов, инструмента),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и / или дефект</w:t>
      </w:r>
      <w:r>
        <w:rPr>
          <w:b w:val="false"/>
          <w:sz w:val="24"/>
          <w:szCs w:val="24"/>
          <w:lang w:val="ru-RU" w:eastAsia="ru-RU"/>
        </w:rPr>
        <w:t>ов</w:t>
      </w:r>
      <w:r>
        <w:rPr>
          <w:b w:val="false"/>
          <w:sz w:val="24"/>
          <w:szCs w:val="24"/>
          <w:lang w:eastAsia="ru-RU"/>
        </w:rPr>
        <w:t xml:space="preserve"> в </w:t>
      </w:r>
      <w:r>
        <w:rPr>
          <w:b w:val="false"/>
          <w:sz w:val="24"/>
          <w:szCs w:val="24"/>
          <w:lang w:val="ru-RU" w:eastAsia="ru-RU"/>
        </w:rPr>
        <w:t>Р</w:t>
      </w:r>
      <w:r>
        <w:rPr>
          <w:b w:val="false"/>
          <w:sz w:val="24"/>
          <w:szCs w:val="24"/>
          <w:lang w:eastAsia="ru-RU"/>
        </w:rPr>
        <w:t>езультат</w:t>
      </w:r>
      <w:r>
        <w:rPr>
          <w:b w:val="false"/>
          <w:sz w:val="24"/>
          <w:szCs w:val="24"/>
          <w:lang w:val="ru-RU" w:eastAsia="ru-RU"/>
        </w:rPr>
        <w:t>е</w:t>
      </w:r>
      <w:r>
        <w:rPr>
          <w:b w:val="false"/>
          <w:sz w:val="24"/>
          <w:szCs w:val="24"/>
          <w:lang w:eastAsia="ru-RU"/>
        </w:rPr>
        <w:t xml:space="preserve"> </w:t>
      </w:r>
      <w:r>
        <w:rPr>
          <w:b w:val="false"/>
          <w:sz w:val="24"/>
          <w:szCs w:val="24"/>
          <w:lang w:val="ru-RU" w:eastAsia="ru-RU"/>
        </w:rPr>
        <w:t>Работ</w:t>
      </w:r>
      <w:r>
        <w:rPr>
          <w:b w:val="false"/>
          <w:sz w:val="24"/>
          <w:szCs w:val="24"/>
          <w:lang w:eastAsia="ru-RU"/>
        </w:rPr>
        <w:t>, а также любые иные работы</w:t>
      </w:r>
      <w:r>
        <w:rPr>
          <w:b w:val="false"/>
          <w:sz w:val="24"/>
          <w:szCs w:val="24"/>
          <w:lang w:val="ru-RU" w:eastAsia="ru-RU"/>
        </w:rPr>
        <w:t xml:space="preserve"> (в том числе приобретение Материально-технических ресурсов)</w:t>
      </w:r>
      <w:r>
        <w:rPr>
          <w:b w:val="false"/>
          <w:sz w:val="24"/>
          <w:szCs w:val="24"/>
          <w:lang w:eastAsia="ru-RU"/>
        </w:rPr>
        <w:t xml:space="preserve">,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p>
    <w:p>
      <w:pPr>
        <w:pStyle w:val="Normal"/>
        <w:widowControl w:val="false"/>
        <w:tabs>
          <w:tab w:val="clear" w:pos="708"/>
          <w:tab w:val="left" w:pos="567" w:leader="none"/>
        </w:tabs>
        <w:spacing w:lineRule="auto" w:line="240"/>
        <w:ind w:firstLine="709"/>
        <w:rPr>
          <w:sz w:val="24"/>
          <w:szCs w:val="24"/>
        </w:rPr>
      </w:pPr>
      <w:r>
        <w:rPr>
          <w:sz w:val="24"/>
          <w:szCs w:val="24"/>
        </w:rPr>
        <w:t>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w:t>
      </w:r>
    </w:p>
    <w:p>
      <w:pPr>
        <w:pStyle w:val="Normal"/>
        <w:widowControl w:val="false"/>
        <w:tabs>
          <w:tab w:val="clear" w:pos="708"/>
          <w:tab w:val="left" w:pos="567" w:leader="none"/>
        </w:tabs>
        <w:spacing w:lineRule="auto" w:line="240"/>
        <w:ind w:firstLine="709"/>
        <w:rPr>
          <w:sz w:val="24"/>
          <w:szCs w:val="24"/>
        </w:rPr>
      </w:pPr>
      <w:r>
        <w:rPr>
          <w:b/>
          <w:sz w:val="24"/>
          <w:szCs w:val="24"/>
          <w:lang w:eastAsia="en-US"/>
        </w:rPr>
        <w:t xml:space="preserve">«Рабочая документация» </w:t>
      </w:r>
      <w:r>
        <w:rPr>
          <w:sz w:val="24"/>
          <w:szCs w:val="24"/>
          <w:lang w:eastAsia="en-US"/>
        </w:rPr>
        <w:t>–</w:t>
      </w:r>
      <w:r>
        <w:rPr>
          <w:b/>
          <w:sz w:val="24"/>
          <w:szCs w:val="24"/>
          <w:lang w:eastAsia="en-US"/>
        </w:rPr>
        <w:t xml:space="preserve"> </w:t>
      </w:r>
      <w:r>
        <w:rPr>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изделиями и материалами и / или изготовления строительных изделий, с</w:t>
      </w:r>
      <w:r>
        <w:rPr>
          <w:sz w:val="24"/>
          <w:szCs w:val="24"/>
        </w:rPr>
        <w:t>одержащая:</w:t>
      </w:r>
    </w:p>
    <w:p>
      <w:pPr>
        <w:pStyle w:val="ListParagraph"/>
        <w:widowControl w:val="false"/>
        <w:numPr>
          <w:ilvl w:val="0"/>
          <w:numId w:val="8"/>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рабочие чертежи основного комплекта, спецификации изделий;</w:t>
      </w:r>
    </w:p>
    <w:p>
      <w:pPr>
        <w:pStyle w:val="ListParagraph"/>
        <w:widowControl w:val="false"/>
        <w:numPr>
          <w:ilvl w:val="0"/>
          <w:numId w:val="8"/>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документы, разработанные в дополнение к рабочим чертежам основного комплекта;</w:t>
      </w:r>
    </w:p>
    <w:p>
      <w:pPr>
        <w:pStyle w:val="ListParagraph"/>
        <w:widowControl w:val="false"/>
        <w:numPr>
          <w:ilvl w:val="0"/>
          <w:numId w:val="8"/>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 xml:space="preserve">сметную документацию, определяющую полную стоимость Работ по Рабочей документации. </w:t>
      </w:r>
    </w:p>
    <w:p>
      <w:pPr>
        <w:pStyle w:val="Normal"/>
        <w:widowControl w:val="false"/>
        <w:tabs>
          <w:tab w:val="clear" w:pos="708"/>
          <w:tab w:val="left" w:pos="567" w:leader="none"/>
        </w:tabs>
        <w:spacing w:lineRule="auto" w:line="240"/>
        <w:ind w:firstLine="709"/>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sz w:val="24"/>
          <w:szCs w:val="24"/>
          <w:lang w:val="ru-RU" w:eastAsia="en-US"/>
        </w:rPr>
        <w:t>«Разрешительная документация»</w:t>
      </w:r>
      <w:r>
        <w:rPr>
          <w:b w:val="false"/>
          <w:sz w:val="24"/>
          <w:szCs w:val="24"/>
          <w:lang w:val="ru-RU"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обеспечения выполнения Работ по Договору.</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все предусмотренные Договором Работы, выполненные Подрядчиком в соответствии требованиями, изложенными в Техническом задании (Приложение № 1 к Договору), и принятые Заказчиком по Акту КС-11.</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«Скрытые работы»</w:t>
      </w:r>
      <w:r>
        <w:rPr>
          <w:b w:val="false"/>
          <w:sz w:val="24"/>
          <w:szCs w:val="24"/>
          <w:lang w:val="ru-RU" w:eastAsia="en-US"/>
        </w:rPr>
        <w:t xml:space="preserve"> – </w:t>
      </w:r>
      <w:r>
        <w:rPr>
          <w:b w:val="false"/>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 w:val="false"/>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w:t>
      </w:r>
      <w:r>
        <w:rPr>
          <w:b w:val="false"/>
          <w:bCs/>
          <w:sz w:val="24"/>
          <w:szCs w:val="24"/>
          <w:lang w:val="ru-RU"/>
        </w:rPr>
        <w:t xml:space="preserve"> обеспечения</w:t>
      </w:r>
      <w:r>
        <w:rPr>
          <w:b w:val="false"/>
          <w:sz w:val="24"/>
          <w:szCs w:val="24"/>
          <w:lang w:val="ru-RU" w:eastAsia="en-US"/>
        </w:rPr>
        <w:t xml:space="preserve">. </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b w:val="false"/>
          <w:bCs/>
          <w:sz w:val="24"/>
          <w:szCs w:val="24"/>
          <w:lang w:val="ru-RU" w:eastAsia="en-US"/>
        </w:rPr>
        <w:t>Скрытые работы предъявляются Заказчику к осмотру и приемке по акту освидетельствования Скрытых работ или акту промежуточной приемки ответственных конструкций до их закрытия последующими видами Работ и / или конструкциями.</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 xml:space="preserve">«Стройплощадка» </w:t>
      </w:r>
      <w:r>
        <w:rPr>
          <w:b w:val="false"/>
          <w:sz w:val="24"/>
          <w:szCs w:val="24"/>
          <w:lang w:val="ru-RU" w:eastAsia="en-US"/>
        </w:rPr>
        <w:t>или</w:t>
      </w:r>
      <w:r>
        <w:rPr>
          <w:sz w:val="24"/>
          <w:szCs w:val="24"/>
          <w:lang w:val="ru-RU" w:eastAsia="en-US"/>
        </w:rPr>
        <w:t xml:space="preserve"> «Место производства Работ»</w:t>
      </w:r>
      <w:r>
        <w:rPr>
          <w:b w:val="false"/>
          <w:sz w:val="24"/>
          <w:szCs w:val="24"/>
          <w:lang w:val="ru-RU" w:eastAsia="en-US"/>
        </w:rPr>
        <w:t xml:space="preserve"> – </w:t>
      </w:r>
      <w:r>
        <w:rPr>
          <w:b w:val="false"/>
          <w:color w:val="000000" w:themeColor="text1"/>
          <w:sz w:val="24"/>
          <w:szCs w:val="24"/>
          <w:lang w:val="ru-RU" w:eastAsia="en-US"/>
        </w:rPr>
        <w:t>предоставляемая Подрядчику по акту для выполнения Работ территория в месте выполнения Работ, расположенном по адресу: 678995, Российская Федерация, Республика Саха (Якутия), г. Нерюнгри, гп. Серебряный Бор, производственная площадка Нерюнгринской ГРЭС.</w:t>
      </w:r>
    </w:p>
    <w:p>
      <w:pPr>
        <w:pStyle w:val="Normal"/>
        <w:spacing w:lineRule="auto" w:line="240"/>
        <w:ind w:firstLine="708"/>
        <w:rPr>
          <w:sz w:val="24"/>
          <w:szCs w:val="24"/>
          <w:lang w:val="x-none" w:eastAsia="en-US"/>
        </w:rPr>
      </w:pPr>
      <w:r>
        <w:rPr>
          <w:b/>
          <w:sz w:val="24"/>
          <w:szCs w:val="24"/>
          <w:lang w:eastAsia="en-US"/>
        </w:rPr>
        <w:t>«Субъект МСП»</w:t>
      </w:r>
      <w:r>
        <w:rPr>
          <w:sz w:val="24"/>
          <w:szCs w:val="24"/>
          <w:lang w:eastAsia="en-US"/>
        </w:rPr>
        <w:t xml:space="preserve"> – субъект малого и среднего предпринимательства.</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Normal"/>
        <w:spacing w:lineRule="auto" w:line="240"/>
        <w:ind w:firstLine="708"/>
        <w:rPr>
          <w:sz w:val="24"/>
          <w:szCs w:val="24"/>
          <w:lang w:eastAsia="en-US"/>
        </w:rPr>
      </w:pPr>
      <w:r>
        <w:rPr>
          <w:b/>
          <w:sz w:val="24"/>
          <w:szCs w:val="24"/>
          <w:lang w:eastAsia="en-US"/>
        </w:rPr>
        <w:t xml:space="preserve">«Техническое задание» – </w:t>
      </w:r>
      <w:r>
        <w:rPr>
          <w:sz w:val="24"/>
          <w:szCs w:val="24"/>
          <w:lang w:eastAsia="en-US"/>
        </w:rPr>
        <w:t>документ, содержащий объем и состав Работ по Договору и требования Заказчика к выполнению Подрядчиком Работ</w:t>
      </w:r>
      <w:r>
        <w:rPr>
          <w:b/>
          <w:sz w:val="24"/>
          <w:szCs w:val="24"/>
          <w:lang w:eastAsia="en-US"/>
        </w:rPr>
        <w:t xml:space="preserve"> </w:t>
      </w:r>
      <w:r>
        <w:rPr>
          <w:sz w:val="24"/>
          <w:szCs w:val="24"/>
          <w:lang w:eastAsia="en-US"/>
        </w:rPr>
        <w:t>по Договору в целом.</w:t>
      </w:r>
    </w:p>
    <w:p>
      <w:pPr>
        <w:pStyle w:val="Normal"/>
        <w:spacing w:lineRule="auto" w:line="240"/>
        <w:ind w:firstLine="708"/>
        <w:rPr>
          <w:b/>
          <w:sz w:val="24"/>
          <w:szCs w:val="24"/>
          <w:lang w:eastAsia="en-US"/>
        </w:rPr>
      </w:pPr>
      <w:r>
        <w:rPr>
          <w:b/>
          <w:bCs/>
          <w:sz w:val="24"/>
          <w:szCs w:val="24"/>
          <w:lang w:eastAsia="en-US"/>
        </w:rPr>
        <w:t xml:space="preserve"> </w:t>
      </w:r>
      <w:r>
        <w:rPr>
          <w:b/>
          <w:bCs/>
          <w:sz w:val="24"/>
          <w:szCs w:val="24"/>
          <w:lang w:eastAsia="en-US"/>
        </w:rPr>
        <w:t>«Участники строительства»</w:t>
      </w:r>
      <w:r>
        <w:rPr>
          <w:sz w:val="24"/>
          <w:szCs w:val="24"/>
          <w:lang w:eastAsia="en-US"/>
        </w:rPr>
        <w:t xml:space="preserve"> – хозяйствующие субъекты, участвующие (непосредственно или опосредованно) в реализации Договора, за исключением мелких закупок (сумма мелких закупок регулируется в договоре с Банком) и конечных производителей.</w:t>
      </w:r>
    </w:p>
    <w:p>
      <w:pPr>
        <w:pStyle w:val="Normal"/>
        <w:spacing w:lineRule="auto" w:line="240"/>
        <w:ind w:firstLine="708"/>
        <w:rPr>
          <w:sz w:val="24"/>
          <w:szCs w:val="24"/>
          <w:lang w:eastAsia="en-US"/>
        </w:rPr>
      </w:pPr>
      <w:r>
        <w:rPr>
          <w:b/>
          <w:sz w:val="24"/>
          <w:szCs w:val="24"/>
          <w:lang w:eastAsia="en-US"/>
        </w:rPr>
        <w:t>«Цена Договора»</w:t>
      </w:r>
      <w:r>
        <w:rPr>
          <w:sz w:val="24"/>
          <w:szCs w:val="24"/>
          <w:lang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w:t>
      </w:r>
      <w:r>
        <w:rPr>
          <w:b/>
          <w:sz w:val="24"/>
          <w:szCs w:val="24"/>
          <w:lang w:eastAsia="en-US"/>
        </w:rPr>
        <w:t xml:space="preserve"> </w:t>
      </w:r>
      <w:r>
        <w:rPr>
          <w:sz w:val="24"/>
          <w:szCs w:val="24"/>
          <w:lang w:eastAsia="en-US"/>
        </w:rPr>
        <w:t>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sz w:val="24"/>
          <w:szCs w:val="24"/>
          <w:lang w:eastAsia="en-US"/>
        </w:rPr>
        <w:t xml:space="preserve">на весь период действия Договора.  </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tabs>
          <w:tab w:val="clear" w:pos="708"/>
          <w:tab w:val="left" w:pos="567" w:leader="none"/>
        </w:tabs>
        <w:spacing w:before="0" w:after="0"/>
        <w:ind w:firstLine="708"/>
        <w:jc w:val="both"/>
        <w:textAlignment w:val="baseline"/>
        <w:rPr>
          <w:bCs/>
        </w:rPr>
      </w:pPr>
      <w:r>
        <w:rPr>
          <w:b w:val="false"/>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rPr>
        <w:t>.</w:t>
      </w:r>
    </w:p>
    <w:p>
      <w:pPr>
        <w:pStyle w:val="Normal"/>
        <w:spacing w:lineRule="auto" w:line="240"/>
        <w:ind w:hanging="0"/>
        <w:jc w:val="center"/>
        <w:rPr>
          <w:lang w:val="x-none" w:eastAsia="x-none"/>
        </w:rPr>
      </w:pPr>
      <w:r>
        <w:rPr>
          <w:lang w:val="x-none" w:eastAsia="x-none"/>
        </w:rPr>
      </w:r>
    </w:p>
    <w:p>
      <w:pPr>
        <w:pStyle w:val="ListParagraph"/>
        <w:numPr>
          <w:ilvl w:val="0"/>
          <w:numId w:val="3"/>
        </w:numPr>
        <w:shd w:val="clear" w:color="auto" w:fill="FFFFFF"/>
        <w:tabs>
          <w:tab w:val="clear" w:pos="708"/>
          <w:tab w:val="left" w:pos="284" w:leader="none"/>
        </w:tabs>
        <w:ind w:left="0" w:hanging="0"/>
        <w:jc w:val="center"/>
        <w:rPr>
          <w:b/>
          <w:bCs/>
        </w:rPr>
      </w:pPr>
      <w:r>
        <w:rPr>
          <w:b/>
          <w:bCs/>
        </w:rPr>
        <w:t>Предмет Договора</w:t>
      </w:r>
    </w:p>
    <w:p>
      <w:pPr>
        <w:pStyle w:val="ListParagraph"/>
        <w:numPr>
          <w:ilvl w:val="1"/>
          <w:numId w:val="3"/>
        </w:numPr>
        <w:shd w:val="clear" w:color="auto" w:fill="FFFFFF"/>
        <w:tabs>
          <w:tab w:val="clear" w:pos="708"/>
          <w:tab w:val="left" w:pos="1134" w:leader="none"/>
        </w:tabs>
        <w:ind w:left="0" w:firstLine="709"/>
        <w:jc w:val="both"/>
        <w:rPr>
          <w:bCs/>
        </w:rPr>
      </w:pPr>
      <w:bookmarkStart w:id="5" w:name="_Ref361410951"/>
      <w:r>
        <w:rPr>
          <w:bCs/>
        </w:rPr>
        <w:t xml:space="preserve">Подрядчик обязуется по заданию Заказчика в соответствии с Техническим заданием (Приложение № 1 к Договору) </w:t>
      </w:r>
      <w:bookmarkStart w:id="6" w:name="_Hlk130303666"/>
      <w:r>
        <w:rPr>
          <w:bCs/>
          <w:color w:val="000000" w:themeColor="text1"/>
        </w:rPr>
        <w:t xml:space="preserve">выполнить </w:t>
      </w:r>
      <w:bookmarkEnd w:id="6"/>
      <w:r>
        <w:rPr>
          <w:color w:val="000000"/>
        </w:rPr>
        <w:t xml:space="preserve">подготовительные работы </w:t>
      </w:r>
      <w:r>
        <w:rPr>
          <w:bCs/>
          <w:color w:val="000000" w:themeColor="text1"/>
        </w:rPr>
        <w:t>в рамках строительства ЗШО 2 Нерюнгринской ГРЭС</w:t>
      </w:r>
      <w:r>
        <w:rPr>
          <w:bCs/>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bookmarkEnd w:id="5"/>
    </w:p>
    <w:p>
      <w:pPr>
        <w:pStyle w:val="ListParagraph"/>
        <w:numPr>
          <w:ilvl w:val="1"/>
          <w:numId w:val="3"/>
        </w:numPr>
        <w:shd w:val="clear" w:color="auto" w:fill="FFFFFF"/>
        <w:tabs>
          <w:tab w:val="clear" w:pos="708"/>
          <w:tab w:val="left" w:pos="1418" w:leader="none"/>
        </w:tabs>
        <w:ind w:left="0" w:firstLine="709"/>
        <w:jc w:val="both"/>
        <w:rPr>
          <w:bCs/>
        </w:rPr>
      </w:pPr>
      <w:r>
        <w:rPr>
          <w:bCs/>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Проектной и Рабочей документацией, требованиями Применимого права, нормативно технической документацией, законодательством Российской Федерации и указаниями Заказчика.</w:t>
      </w:r>
    </w:p>
    <w:p>
      <w:pPr>
        <w:pStyle w:val="ListParagraph"/>
        <w:numPr>
          <w:ilvl w:val="1"/>
          <w:numId w:val="3"/>
        </w:numPr>
        <w:shd w:val="clear" w:color="auto" w:fill="FFFFFF"/>
        <w:tabs>
          <w:tab w:val="clear" w:pos="708"/>
          <w:tab w:val="left" w:pos="1134" w:leader="none"/>
        </w:tabs>
        <w:ind w:left="0" w:firstLine="709"/>
        <w:jc w:val="both"/>
        <w:rPr>
          <w:bCs/>
        </w:rPr>
      </w:pPr>
      <w:r>
        <w:rPr>
          <w:bCs/>
        </w:rPr>
        <w:t xml:space="preserve">Работы по Договору выполняются для нужд филиала ПАО «РусГидро» - «Хабаровский». </w:t>
      </w:r>
    </w:p>
    <w:p>
      <w:pPr>
        <w:pStyle w:val="ListParagraph"/>
        <w:numPr>
          <w:ilvl w:val="1"/>
          <w:numId w:val="3"/>
        </w:numPr>
        <w:shd w:val="clear" w:color="auto" w:fill="FFFFFF"/>
        <w:tabs>
          <w:tab w:val="clear" w:pos="708"/>
          <w:tab w:val="left" w:pos="1134" w:leader="none"/>
        </w:tabs>
        <w:ind w:left="0" w:firstLine="709"/>
        <w:jc w:val="both"/>
        <w:rPr>
          <w:bCs/>
          <w:color w:val="000000" w:themeColor="text1"/>
        </w:rPr>
      </w:pPr>
      <w:r>
        <w:rPr>
          <w:bCs/>
          <w:color w:val="000000" w:themeColor="text1"/>
        </w:rPr>
        <w:t>Место выполнения Работ: 678995, Российская Федерация, Республика Саха (Якутия), г. Нерюнгри, гп. Серебряный Бор, производственная площадка Нерюнгринской ГРЭС.</w:t>
      </w:r>
    </w:p>
    <w:p>
      <w:pPr>
        <w:pStyle w:val="ListParagraph"/>
        <w:numPr>
          <w:ilvl w:val="1"/>
          <w:numId w:val="3"/>
        </w:numPr>
        <w:shd w:val="clear" w:color="auto" w:fill="FFFFFF"/>
        <w:tabs>
          <w:tab w:val="clear" w:pos="708"/>
          <w:tab w:val="left" w:pos="1134" w:leader="none"/>
        </w:tabs>
        <w:ind w:left="0" w:firstLine="709"/>
        <w:jc w:val="both"/>
        <w:rPr>
          <w:bCs/>
        </w:rPr>
      </w:pPr>
      <w:bookmarkStart w:id="7" w:name="_Ref361320424"/>
      <w:r>
        <w:rPr>
          <w:bCs/>
        </w:rPr>
        <w:t>Работы выполняются Подрядчиком в следующие сроки:</w:t>
      </w:r>
      <w:bookmarkEnd w:id="7"/>
    </w:p>
    <w:p>
      <w:pPr>
        <w:pStyle w:val="ListParagraph"/>
        <w:numPr>
          <w:ilvl w:val="2"/>
          <w:numId w:val="3"/>
        </w:numPr>
        <w:shd w:val="clear" w:color="auto" w:fill="FFFFFF"/>
        <w:tabs>
          <w:tab w:val="clear" w:pos="708"/>
          <w:tab w:val="left" w:pos="1418" w:leader="none"/>
        </w:tabs>
        <w:ind w:left="0" w:firstLine="709"/>
        <w:jc w:val="both"/>
        <w:rPr/>
      </w:pPr>
      <w:r>
        <w:rPr>
          <w:bCs/>
        </w:rPr>
        <w:t>начало выполнения Работ: с даты заключения Договора;</w:t>
      </w:r>
    </w:p>
    <w:p>
      <w:pPr>
        <w:pStyle w:val="ListParagraph"/>
        <w:numPr>
          <w:ilvl w:val="2"/>
          <w:numId w:val="3"/>
        </w:numPr>
        <w:shd w:val="clear" w:color="auto" w:fill="FFFFFF"/>
        <w:tabs>
          <w:tab w:val="clear" w:pos="708"/>
          <w:tab w:val="left" w:pos="1418" w:leader="none"/>
        </w:tabs>
        <w:ind w:left="0" w:firstLine="709"/>
        <w:jc w:val="both"/>
        <w:rPr/>
      </w:pPr>
      <w:r>
        <w:rPr>
          <w:bCs/>
        </w:rPr>
        <w:t>окончание выполнения Работ: 8 (восемь) месяцев с даты заключения Договора.</w:t>
      </w:r>
    </w:p>
    <w:p>
      <w:pPr>
        <w:pStyle w:val="ListParagraph"/>
        <w:numPr>
          <w:ilvl w:val="1"/>
          <w:numId w:val="3"/>
        </w:numPr>
        <w:shd w:val="clear" w:color="auto" w:fill="FFFFFF"/>
        <w:tabs>
          <w:tab w:val="clear" w:pos="708"/>
          <w:tab w:val="left" w:pos="1134" w:leader="none"/>
        </w:tabs>
        <w:ind w:left="0" w:firstLine="709"/>
        <w:jc w:val="both"/>
        <w:rPr>
          <w:bCs/>
        </w:rPr>
      </w:pPr>
      <w:r>
        <w:rPr>
          <w:bCs/>
        </w:rPr>
        <w:t xml:space="preserve">Выполнение Работ осуществляется поэтапно. </w:t>
      </w:r>
      <w:r>
        <w:rPr>
          <w:bCs/>
          <w:lang w:val="en-US"/>
        </w:rPr>
        <w:t>C</w:t>
      </w:r>
      <w:r>
        <w:rPr>
          <w:bCs/>
        </w:rPr>
        <w:t>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1.5 Договора.</w:t>
      </w:r>
    </w:p>
    <w:p>
      <w:pPr>
        <w:pStyle w:val="ListParagraph"/>
        <w:shd w:val="clear" w:color="auto" w:fill="FFFFFF"/>
        <w:tabs>
          <w:tab w:val="clear" w:pos="708"/>
          <w:tab w:val="left" w:pos="1134" w:leader="none"/>
        </w:tabs>
        <w:ind w:left="709" w:hanging="0"/>
        <w:jc w:val="both"/>
        <w:rPr>
          <w:bCs/>
        </w:rPr>
      </w:pPr>
      <w:r>
        <w:rPr>
          <w:bCs/>
        </w:rPr>
      </w:r>
    </w:p>
    <w:p>
      <w:pPr>
        <w:pStyle w:val="Normal"/>
        <w:widowControl w:val="false"/>
        <w:shd w:val="clear" w:color="auto" w:fill="FFFFFF"/>
        <w:spacing w:lineRule="auto" w:line="240"/>
        <w:ind w:hanging="0"/>
        <w:rPr>
          <w:sz w:val="24"/>
          <w:szCs w:val="24"/>
        </w:rPr>
      </w:pPr>
      <w:r>
        <w:rPr>
          <w:sz w:val="24"/>
          <w:szCs w:val="24"/>
        </w:rPr>
      </w:r>
    </w:p>
    <w:p>
      <w:pPr>
        <w:pStyle w:val="ListParagraph"/>
        <w:numPr>
          <w:ilvl w:val="0"/>
          <w:numId w:val="3"/>
        </w:numPr>
        <w:shd w:val="clear" w:color="auto" w:fill="FFFFFF"/>
        <w:tabs>
          <w:tab w:val="clear" w:pos="708"/>
          <w:tab w:val="left" w:pos="284" w:leader="none"/>
        </w:tabs>
        <w:ind w:left="0" w:hanging="0"/>
        <w:jc w:val="center"/>
        <w:rPr>
          <w:b/>
          <w:bCs/>
        </w:rPr>
      </w:pPr>
      <w:r>
        <w:rPr>
          <w:b/>
          <w:bCs/>
        </w:rPr>
        <w:t xml:space="preserve">Права и обязанности Сторон </w:t>
      </w:r>
    </w:p>
    <w:p>
      <w:pPr>
        <w:pStyle w:val="ListParagraph"/>
        <w:numPr>
          <w:ilvl w:val="1"/>
          <w:numId w:val="3"/>
        </w:numPr>
        <w:shd w:val="clear" w:color="auto" w:fill="FFFFFF"/>
        <w:tabs>
          <w:tab w:val="clear" w:pos="708"/>
          <w:tab w:val="left" w:pos="1134" w:leader="none"/>
        </w:tabs>
        <w:ind w:left="0" w:firstLine="709"/>
        <w:jc w:val="both"/>
        <w:rPr>
          <w:bCs/>
        </w:rPr>
      </w:pPr>
      <w:r>
        <w:rPr>
          <w:bCs/>
          <w:u w:val="single"/>
        </w:rPr>
        <w:t>Заказчик обязан</w:t>
      </w:r>
      <w:r>
        <w:rPr>
          <w:bCs/>
        </w:rPr>
        <w:t>:</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Сообщить </w:t>
      </w:r>
      <w:r>
        <w:rPr>
          <w:bCs/>
          <w:color w:val="000000" w:themeColor="text1"/>
        </w:rPr>
        <w:t>Подрядчику</w:t>
      </w:r>
      <w:r>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3"/>
        </w:numPr>
        <w:shd w:val="clear" w:color="auto" w:fill="FFFFFF"/>
        <w:tabs>
          <w:tab w:val="clear" w:pos="708"/>
          <w:tab w:val="left" w:pos="1418" w:leader="none"/>
        </w:tabs>
        <w:ind w:left="0" w:firstLine="709"/>
        <w:jc w:val="both"/>
        <w:rPr/>
      </w:pPr>
      <w:bookmarkStart w:id="8" w:name="_Ref361401696"/>
      <w:bookmarkStart w:id="9" w:name="_Ref361320734"/>
      <w:bookmarkStart w:id="10" w:name="_Ref361396847"/>
      <w:r>
        <w:rPr>
          <w:bCs/>
        </w:rPr>
        <w:t xml:space="preserve">В течение 3 (трех) рабочих дней с даты вступления Договора в силу, но не ранее получения соответствующего письменного запроса </w:t>
      </w:r>
      <w:r>
        <w:rPr>
          <w:bCs/>
          <w:color w:val="000000" w:themeColor="text1"/>
        </w:rPr>
        <w:t>Подрядчика</w:t>
      </w:r>
      <w:r>
        <w:rPr>
          <w:bCs/>
        </w:rPr>
        <w:t>, передать (предоставить) Подрядчику:</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место производства Работ (Стройплощадку), место (помещение) для складирования материалов по соответствующим актам сдачи-приемки (по форме Приложения № 4.1 к Договору), подписываемым Заказчиком и Подрядчиком;</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(по форме Приложения № 4.2 к Договору), подписываемому Заказчиком и Подрядчиком.</w:t>
      </w:r>
      <w:r>
        <w:rPr/>
        <w:t xml:space="preserve"> </w:t>
      </w:r>
      <w:bookmarkEnd w:id="8"/>
      <w:bookmarkEnd w:id="9"/>
      <w:bookmarkEnd w:id="10"/>
    </w:p>
    <w:p>
      <w:pPr>
        <w:pStyle w:val="ListParagraph"/>
        <w:numPr>
          <w:ilvl w:val="2"/>
          <w:numId w:val="3"/>
        </w:numPr>
        <w:shd w:val="clear" w:color="auto" w:fill="FFFFFF"/>
        <w:tabs>
          <w:tab w:val="clear" w:pos="708"/>
          <w:tab w:val="left" w:pos="1418" w:leader="none"/>
        </w:tabs>
        <w:ind w:left="0" w:firstLine="709"/>
        <w:jc w:val="both"/>
        <w:rPr>
          <w:bCs/>
        </w:rPr>
      </w:pPr>
      <w:r>
        <w:rPr/>
        <w:t>При наличии технической возможности оказать содействие в получении Подрядчиком технических условий на присоединение (исключительно для целей выполнения Работ) к действующим сетям электроснабжения, водоснабжения, канализации в определяемых Заказчиком точках подключения. Подключение к указанным сетям и коммуникациям Подрядчик осуществляет самостоятельно и за свой счет в присутствии представителей Заказчика.</w:t>
      </w:r>
    </w:p>
    <w:p>
      <w:pPr>
        <w:pStyle w:val="ListParagraph"/>
        <w:numPr>
          <w:ilvl w:val="2"/>
          <w:numId w:val="3"/>
        </w:numPr>
        <w:shd w:val="clear" w:color="auto" w:fill="FFFFFF"/>
        <w:ind w:left="0" w:firstLine="709"/>
        <w:jc w:val="both"/>
        <w:rPr>
          <w:bCs/>
        </w:rPr>
      </w:pPr>
      <w:r>
        <w:rPr>
          <w:bCs/>
        </w:rPr>
        <w:t xml:space="preserve">Ознакомить </w:t>
      </w:r>
      <w:r>
        <w:rPr>
          <w:bCs/>
          <w:color w:val="000000" w:themeColor="text1"/>
        </w:rPr>
        <w:t>Подрядчика</w:t>
      </w:r>
      <w:r>
        <w:rPr>
          <w:bCs/>
        </w:rPr>
        <w:t xml:space="preserve">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3"/>
        </w:numPr>
        <w:shd w:val="clear" w:color="auto" w:fill="FFFFFF"/>
        <w:tabs>
          <w:tab w:val="clear" w:pos="708"/>
          <w:tab w:val="left" w:pos="709" w:leader="none"/>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3"/>
        </w:numPr>
        <w:tabs>
          <w:tab w:val="clear" w:pos="708"/>
          <w:tab w:val="left" w:pos="709" w:leader="none"/>
        </w:tabs>
        <w:ind w:left="0" w:firstLine="709"/>
        <w:jc w:val="both"/>
        <w:rPr>
          <w:bCs/>
        </w:rPr>
      </w:pPr>
      <w:r>
        <w:rPr>
          <w:bCs/>
        </w:rPr>
        <w:t>Производить освидетельствование (приемку) Скрытых работ.</w:t>
      </w:r>
    </w:p>
    <w:p>
      <w:pPr>
        <w:pStyle w:val="ListParagraph"/>
        <w:numPr>
          <w:ilvl w:val="2"/>
          <w:numId w:val="3"/>
        </w:numPr>
        <w:shd w:val="clear" w:color="auto" w:fill="FFFFFF"/>
        <w:tabs>
          <w:tab w:val="clear" w:pos="708"/>
          <w:tab w:val="left" w:pos="709" w:leader="none"/>
        </w:tabs>
        <w:ind w:left="0" w:firstLine="709"/>
        <w:jc w:val="both"/>
        <w:rPr>
          <w:bCs/>
        </w:rPr>
      </w:pPr>
      <w:r>
        <w:rPr>
          <w:bCs/>
        </w:rPr>
        <w:t>Выполнять иные обязанности, предусмотренные Договором.</w:t>
      </w:r>
    </w:p>
    <w:p>
      <w:pPr>
        <w:pStyle w:val="ListParagraph"/>
        <w:numPr>
          <w:ilvl w:val="1"/>
          <w:numId w:val="3"/>
        </w:numPr>
        <w:shd w:val="clear" w:color="auto" w:fill="FFFFFF"/>
        <w:tabs>
          <w:tab w:val="clear" w:pos="708"/>
          <w:tab w:val="left" w:pos="1134" w:leader="none"/>
        </w:tabs>
        <w:ind w:left="0" w:firstLine="709"/>
        <w:jc w:val="both"/>
        <w:rPr>
          <w:bCs/>
        </w:rPr>
      </w:pPr>
      <w:r>
        <w:rPr>
          <w:bCs/>
          <w:u w:val="single"/>
        </w:rPr>
        <w:t>Заказчик имеет право</w:t>
      </w:r>
      <w:r>
        <w:rPr>
          <w:bCs/>
        </w:rPr>
        <w:t>:</w:t>
      </w:r>
    </w:p>
    <w:p>
      <w:pPr>
        <w:pStyle w:val="ListParagraph"/>
        <w:numPr>
          <w:ilvl w:val="2"/>
          <w:numId w:val="3"/>
        </w:numPr>
        <w:shd w:val="clear" w:color="auto" w:fill="FFFFFF"/>
        <w:tabs>
          <w:tab w:val="clear" w:pos="708"/>
          <w:tab w:val="left" w:pos="1418" w:leader="none"/>
        </w:tabs>
        <w:ind w:left="0" w:firstLine="709"/>
        <w:jc w:val="both"/>
        <w:rPr>
          <w:bCs/>
        </w:rPr>
      </w:pPr>
      <w:r>
        <w:rPr>
          <w:bCs/>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Круглосуточно осуществлять доступ к месту производства Работ, месту (помещению) для складирования материалов. В случае предоставления Подрядчику отдельного помещения для складирования материалов, осуществлять осмотр такого помещения по первому требованию и в присутствии представителя Подрядчика. </w:t>
      </w:r>
    </w:p>
    <w:p>
      <w:pPr>
        <w:pStyle w:val="ListParagraph"/>
        <w:numPr>
          <w:ilvl w:val="2"/>
          <w:numId w:val="3"/>
        </w:numPr>
        <w:shd w:val="clear" w:color="auto" w:fill="FFFFFF"/>
        <w:tabs>
          <w:tab w:val="clear" w:pos="708"/>
          <w:tab w:val="left" w:pos="1418" w:leader="none"/>
        </w:tabs>
        <w:ind w:left="0" w:firstLine="709"/>
        <w:jc w:val="both"/>
        <w:rPr>
          <w:bCs/>
        </w:rPr>
      </w:pPr>
      <w:bookmarkStart w:id="11" w:name="_Ref361334652"/>
      <w:r>
        <w:rPr>
          <w:bCs/>
        </w:rPr>
        <w:t xml:space="preserve">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w:t>
      </w:r>
      <w:r>
        <w:rPr>
          <w:bCs/>
          <w:color w:val="000000" w:themeColor="text1"/>
        </w:rPr>
        <w:t>Подрядчику</w:t>
      </w:r>
      <w:r>
        <w:rPr>
          <w:bCs/>
        </w:rPr>
        <w:t xml:space="preserve">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11"/>
      <w:r>
        <w:rPr>
          <w:bCs/>
        </w:rPr>
        <w:t xml:space="preserve"> </w:t>
      </w:r>
    </w:p>
    <w:p>
      <w:pPr>
        <w:pStyle w:val="ListParagraph"/>
        <w:numPr>
          <w:ilvl w:val="2"/>
          <w:numId w:val="3"/>
        </w:numPr>
        <w:shd w:val="clear" w:color="auto" w:fill="FFFFFF"/>
        <w:tabs>
          <w:tab w:val="clear" w:pos="708"/>
          <w:tab w:val="left" w:pos="1418" w:leader="none"/>
        </w:tabs>
        <w:ind w:left="0" w:firstLine="709"/>
        <w:jc w:val="both"/>
        <w:rPr>
          <w:bCs/>
        </w:rPr>
      </w:pPr>
      <w:bookmarkStart w:id="12" w:name="_Ref361334468"/>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12"/>
    </w:p>
    <w:p>
      <w:pPr>
        <w:pStyle w:val="ListParagraph"/>
        <w:numPr>
          <w:ilvl w:val="2"/>
          <w:numId w:val="3"/>
        </w:numPr>
        <w:ind w:left="0" w:firstLine="709"/>
        <w:jc w:val="both"/>
        <w:rPr>
          <w:rFonts w:eastAsia="Calibri" w:eastAsiaTheme="minorHAnsi"/>
          <w:lang w:eastAsia="en-US"/>
        </w:rPr>
      </w:pPr>
      <w:bookmarkStart w:id="13" w:name="_Ref361319348"/>
      <w:r>
        <w:rPr>
          <w:bCs/>
        </w:rPr>
        <w:t xml:space="preserve">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w:t>
      </w:r>
      <w:r>
        <w:rPr>
          <w:bCs/>
          <w:color w:val="000000" w:themeColor="text1"/>
        </w:rPr>
        <w:t>Подрядчику</w:t>
      </w:r>
      <w:r>
        <w:rPr>
          <w:bCs/>
        </w:rPr>
        <w:t xml:space="preserve"> письменное распоряжение, обязательное к выполнению Подрядчиком.</w:t>
      </w:r>
      <w:bookmarkEnd w:id="13"/>
      <w:r>
        <w:rPr>
          <w:bCs/>
        </w:rPr>
        <w:t xml:space="preserve"> </w:t>
      </w:r>
    </w:p>
    <w:p>
      <w:pPr>
        <w:pStyle w:val="ListParagraph"/>
        <w:numPr>
          <w:ilvl w:val="2"/>
          <w:numId w:val="3"/>
        </w:numPr>
        <w:shd w:val="clear" w:color="auto" w:fill="FFFFFF"/>
        <w:tabs>
          <w:tab w:val="clear" w:pos="708"/>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3"/>
        </w:numPr>
        <w:shd w:val="clear" w:color="auto" w:fill="FFFFFF"/>
        <w:tabs>
          <w:tab w:val="clear" w:pos="708"/>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3"/>
        </w:numPr>
        <w:shd w:val="clear" w:color="auto" w:fill="FFFFFF"/>
        <w:tabs>
          <w:tab w:val="clear" w:pos="708"/>
          <w:tab w:val="left" w:pos="567" w:leader="none"/>
          <w:tab w:val="left" w:pos="1418" w:leader="none"/>
        </w:tabs>
        <w:ind w:left="0" w:firstLine="709"/>
        <w:jc w:val="both"/>
        <w:rPr>
          <w:bCs/>
        </w:rPr>
      </w:pPr>
      <w:r>
        <w:rPr>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shd w:val="clear" w:color="auto" w:fill="FFFFFF"/>
        <w:tabs>
          <w:tab w:val="clear" w:pos="708"/>
          <w:tab w:val="left" w:pos="567" w:leader="none"/>
          <w:tab w:val="left" w:pos="1418" w:leader="none"/>
        </w:tabs>
        <w:ind w:left="0" w:firstLine="709"/>
        <w:jc w:val="both"/>
        <w:rPr>
          <w:bCs/>
        </w:rPr>
      </w:pPr>
      <w:r>
        <w:rPr>
          <w:bCs/>
        </w:rPr>
        <w:t xml:space="preserve">С даты получения Подрядчиком указанного распоряжения 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numPr>
          <w:ilvl w:val="1"/>
          <w:numId w:val="3"/>
        </w:numPr>
        <w:shd w:val="clear" w:color="auto" w:fill="FFFFFF"/>
        <w:tabs>
          <w:tab w:val="clear" w:pos="708"/>
          <w:tab w:val="left" w:pos="1134" w:leader="none"/>
          <w:tab w:val="left" w:pos="1418" w:leader="none"/>
        </w:tabs>
        <w:ind w:left="0" w:firstLine="709"/>
        <w:jc w:val="both"/>
        <w:rPr>
          <w:bCs/>
        </w:rPr>
      </w:pPr>
      <w:r>
        <w:rPr>
          <w:bCs/>
          <w:u w:val="single"/>
        </w:rPr>
        <w:t>Подрядчик обязан</w:t>
      </w:r>
      <w:r>
        <w:rPr>
          <w:bCs/>
        </w:rPr>
        <w:t>:</w:t>
      </w:r>
    </w:p>
    <w:p>
      <w:pPr>
        <w:pStyle w:val="ListParagraph"/>
        <w:numPr>
          <w:ilvl w:val="2"/>
          <w:numId w:val="3"/>
        </w:numPr>
        <w:shd w:val="clear" w:color="auto" w:fill="FFFFFF"/>
        <w:tabs>
          <w:tab w:val="clear" w:pos="708"/>
          <w:tab w:val="left" w:pos="1418" w:leader="none"/>
        </w:tabs>
        <w:ind w:left="0" w:firstLine="709"/>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В срок, указанный в пункте 2.1.2 Договора, принять от Заказчика на время выполнения Работ по Договору: </w:t>
      </w:r>
    </w:p>
    <w:p>
      <w:pPr>
        <w:pStyle w:val="ListParagraph"/>
        <w:numPr>
          <w:ilvl w:val="0"/>
          <w:numId w:val="19"/>
        </w:numPr>
        <w:shd w:val="clear" w:color="auto" w:fill="FFFFFF"/>
        <w:tabs>
          <w:tab w:val="clear" w:pos="708"/>
          <w:tab w:val="left" w:pos="1418" w:leader="none"/>
        </w:tabs>
        <w:ind w:left="0" w:firstLine="709"/>
        <w:jc w:val="both"/>
        <w:rPr>
          <w:rFonts w:cs="Calibri"/>
          <w:bCs/>
          <w:color w:val="000000"/>
          <w:szCs w:val="22"/>
          <w:lang w:eastAsia="en-US" w:bidi="en-US"/>
        </w:rPr>
      </w:pPr>
      <w:r>
        <w:rPr>
          <w:bCs/>
        </w:rPr>
        <w:t>место производства Работ (Стройплощадку),</w:t>
      </w:r>
      <w:r>
        <w:rPr>
          <w:bCs/>
          <w:color w:val="FF0000"/>
        </w:rPr>
        <w:t xml:space="preserve"> </w:t>
      </w:r>
      <w:r>
        <w:rPr>
          <w:bCs/>
        </w:rPr>
        <w:t>место (помещение) для складирования материалов по соответствующим актам сдачи-приемки (по форме Приложения № 4.1 к Договору),</w:t>
      </w:r>
      <w:r>
        <w:rPr>
          <w:rFonts w:cs="Calibri"/>
          <w:bCs/>
          <w:color w:val="000000"/>
          <w:szCs w:val="22"/>
          <w:lang w:eastAsia="en-US" w:bidi="en-US"/>
        </w:rPr>
        <w:t xml:space="preserve"> подписанному Заказчиком и Подрядчиком</w:t>
      </w:r>
      <w:r>
        <w:rPr>
          <w:bCs/>
        </w:rPr>
        <w:t>;</w:t>
      </w:r>
    </w:p>
    <w:p>
      <w:pPr>
        <w:pStyle w:val="ListParagraph"/>
        <w:numPr>
          <w:ilvl w:val="0"/>
          <w:numId w:val="19"/>
        </w:numPr>
        <w:shd w:val="clear" w:color="auto" w:fill="FFFFFF"/>
        <w:tabs>
          <w:tab w:val="clear" w:pos="708"/>
          <w:tab w:val="left" w:pos="1418" w:leader="none"/>
        </w:tabs>
        <w:ind w:left="0" w:firstLine="709"/>
        <w:jc w:val="both"/>
        <w:rPr>
          <w:rFonts w:cs="Calibri"/>
          <w:bCs/>
          <w:color w:val="000000"/>
          <w:szCs w:val="22"/>
          <w:lang w:eastAsia="en-US" w:bidi="en-US"/>
        </w:rPr>
      </w:pPr>
      <w:r>
        <w:rPr>
          <w:bCs/>
        </w:rPr>
        <w:t>техническую и иную документацию, указанную в Техническом задании (Приложение № 1 к Договору), по Акту сдачи-приемки технической и иной документации (по форме Приложения № 4.2 к Договору),</w:t>
      </w:r>
      <w:r>
        <w:rPr>
          <w:rFonts w:cs="Calibri"/>
          <w:bCs/>
          <w:color w:val="000000"/>
          <w:szCs w:val="22"/>
          <w:lang w:eastAsia="en-US" w:bidi="en-US"/>
        </w:rPr>
        <w:t xml:space="preserve"> подписанному Заказчиком и Подрядчиком</w:t>
      </w:r>
      <w:r>
        <w:rPr>
          <w:bCs/>
        </w:rPr>
        <w:t xml:space="preserve">. </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При приемке Места производства Работ </w:t>
      </w:r>
      <w:r>
        <w:rPr>
          <w:bCs/>
          <w:color w:val="000000" w:themeColor="text1"/>
        </w:rPr>
        <w:t xml:space="preserve">Подрядчик обязан </w:t>
      </w:r>
      <w:r>
        <w:rPr>
          <w:bCs/>
        </w:rPr>
        <w:t>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w:t>
      </w:r>
    </w:p>
    <w:p>
      <w:pPr>
        <w:pStyle w:val="ListParagraph"/>
        <w:shd w:val="clear" w:color="auto" w:fill="FFFFFF"/>
        <w:tabs>
          <w:tab w:val="clear" w:pos="708"/>
          <w:tab w:val="left" w:pos="1418" w:leader="none"/>
        </w:tabs>
        <w:ind w:left="0" w:firstLine="709"/>
        <w:jc w:val="both"/>
        <w:rPr>
          <w:bCs/>
        </w:rPr>
      </w:pPr>
      <w:r>
        <w:rPr>
          <w:bCs/>
        </w:rPr>
        <w:t>В случае невыполнения Подрядчиком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w:t>
      </w:r>
    </w:p>
    <w:p>
      <w:pPr>
        <w:pStyle w:val="ListParagraph"/>
        <w:numPr>
          <w:ilvl w:val="2"/>
          <w:numId w:val="3"/>
        </w:numPr>
        <w:shd w:val="clear" w:color="auto" w:fill="FFFFFF"/>
        <w:tabs>
          <w:tab w:val="clear" w:pos="708"/>
          <w:tab w:val="left" w:pos="1418" w:leader="none"/>
        </w:tabs>
        <w:ind w:left="0" w:firstLine="709"/>
        <w:jc w:val="both"/>
        <w:rPr>
          <w:bCs/>
        </w:rPr>
      </w:pPr>
      <w:r>
        <w:rPr>
          <w:bCs/>
        </w:rPr>
        <w:t>Выдать замечания в отношении технической и иной документации, предоставленной Заказчиком, в течение 5 (пяти) рабочих дней с даты принятия ее по Акту сдачи-приемки технической и иной документации (по форме Приложения № 4.2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До фактического начала выполнения Работ </w:t>
      </w:r>
      <w:r>
        <w:rPr>
          <w:bCs/>
          <w:color w:val="000000" w:themeColor="text1"/>
        </w:rPr>
        <w:t xml:space="preserve">Подрядчик </w:t>
      </w:r>
      <w:r>
        <w:rPr>
          <w:bCs/>
        </w:rPr>
        <w:t>предоставляет Заказчику:</w:t>
      </w:r>
    </w:p>
    <w:p>
      <w:pPr>
        <w:pStyle w:val="ListParagraph"/>
        <w:numPr>
          <w:ilvl w:val="0"/>
          <w:numId w:val="16"/>
        </w:numPr>
        <w:shd w:val="clear" w:color="auto" w:fill="FFFFFF"/>
        <w:tabs>
          <w:tab w:val="clear" w:pos="708"/>
          <w:tab w:val="left" w:pos="1418" w:leader="none"/>
        </w:tabs>
        <w:ind w:left="0" w:firstLine="709"/>
        <w:jc w:val="both"/>
        <w:rPr>
          <w:bCs/>
        </w:rPr>
      </w:pPr>
      <w:r>
        <w:rPr>
          <w:bCs/>
        </w:rPr>
        <w:t xml:space="preserve">контакты и должность представителей </w:t>
      </w:r>
      <w:r>
        <w:rPr>
          <w:bCs/>
          <w:color w:val="000000" w:themeColor="text1"/>
        </w:rPr>
        <w:t>Подрядчика</w:t>
      </w:r>
      <w:r>
        <w:rPr>
          <w:bCs/>
        </w:rPr>
        <w:t xml:space="preserve">,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0"/>
          <w:numId w:val="16"/>
        </w:numPr>
        <w:shd w:val="clear" w:color="auto" w:fill="FFFFFF"/>
        <w:tabs>
          <w:tab w:val="clear" w:pos="708"/>
          <w:tab w:val="left" w:pos="709" w:leader="none"/>
          <w:tab w:val="left" w:pos="1418" w:leader="none"/>
        </w:tabs>
        <w:ind w:left="0" w:firstLine="709"/>
        <w:jc w:val="both"/>
        <w:rPr>
          <w:bCs/>
        </w:rPr>
      </w:pPr>
      <w:r>
        <w:rPr>
          <w:bCs/>
        </w:rPr>
        <w:t xml:space="preserve">контакты и должность представителя </w:t>
      </w:r>
      <w:r>
        <w:rPr>
          <w:bCs/>
          <w:color w:val="000000" w:themeColor="text1"/>
        </w:rPr>
        <w:t>Подрядчика</w:t>
      </w:r>
      <w:r>
        <w:rPr>
          <w:bCs/>
        </w:rPr>
        <w:t>,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Российской Федерации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6"/>
        </w:numPr>
        <w:shd w:val="clear" w:color="auto" w:fill="FFFFFF"/>
        <w:tabs>
          <w:tab w:val="clear" w:pos="708"/>
          <w:tab w:val="left" w:pos="709" w:leader="none"/>
          <w:tab w:val="left" w:pos="1418" w:leader="none"/>
        </w:tabs>
        <w:ind w:left="0" w:firstLine="709"/>
        <w:jc w:val="both"/>
        <w:rPr>
          <w:bCs/>
        </w:rPr>
      </w:pPr>
      <w:r>
        <w:rPr>
          <w:bCs/>
        </w:rPr>
        <w:t xml:space="preserve">контакты и должность представителей </w:t>
      </w:r>
      <w:r>
        <w:rPr>
          <w:bCs/>
          <w:color w:val="000000" w:themeColor="text1"/>
        </w:rPr>
        <w:t>Подрядчика</w:t>
      </w:r>
      <w:r>
        <w:rPr>
          <w:bCs/>
        </w:rPr>
        <w:t xml:space="preserve">, ответственных за пожарную безопасность помещений, переданных Заказчиком Подрядчику по </w:t>
      </w:r>
      <w:r>
        <w:rPr/>
        <w:t>соответствующим актам сдачи-приемки (по форме Приложения № 4.1 к Договору) в соответствии с пунктом 2.1.2 Договора;</w:t>
      </w:r>
    </w:p>
    <w:p>
      <w:pPr>
        <w:pStyle w:val="ListParagraph"/>
        <w:numPr>
          <w:ilvl w:val="0"/>
          <w:numId w:val="16"/>
        </w:numPr>
        <w:shd w:val="clear" w:color="auto" w:fill="FFFFFF"/>
        <w:tabs>
          <w:tab w:val="clear" w:pos="708"/>
          <w:tab w:val="left" w:pos="709" w:leader="none"/>
          <w:tab w:val="left" w:pos="1069" w:leader="none"/>
          <w:tab w:val="left" w:pos="1418" w:leader="none"/>
        </w:tabs>
        <w:ind w:left="0" w:firstLine="709"/>
        <w:jc w:val="both"/>
        <w:rPr>
          <w:bCs/>
        </w:rPr>
      </w:pPr>
      <w:r>
        <w:rPr>
          <w:bCs/>
        </w:rPr>
        <w:t>контакты и должность, реквизиты доверенностей</w:t>
      </w:r>
      <w:r>
        <w:rPr/>
        <w:t xml:space="preserve"> </w:t>
      </w:r>
      <w:r>
        <w:rPr>
          <w:bCs/>
        </w:rPr>
        <w:t>представителей Подрядчика, уполномоченных на совершение действий, предусмотренных пунктом 1.1 Договора.</w:t>
      </w:r>
    </w:p>
    <w:p>
      <w:pPr>
        <w:pStyle w:val="ListParagraph"/>
        <w:numPr>
          <w:ilvl w:val="2"/>
          <w:numId w:val="3"/>
        </w:numPr>
        <w:shd w:val="clear" w:color="auto" w:fill="FFFFFF"/>
        <w:tabs>
          <w:tab w:val="clear" w:pos="708"/>
          <w:tab w:val="left" w:pos="1418" w:leader="none"/>
          <w:tab w:val="left" w:pos="4820" w:leader="none"/>
        </w:tabs>
        <w:ind w:left="0" w:firstLine="709"/>
        <w:jc w:val="both"/>
        <w:rPr>
          <w:bCs/>
        </w:rPr>
      </w:pPr>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прекращения (расторжения) Договора, указанных в пункте 3.2.3 и разделе 16 Договора, не позднее 3 (трех) рабочих дней с даты получения соответствующего требования Заказчика. </w:t>
      </w:r>
    </w:p>
    <w:p>
      <w:pPr>
        <w:pStyle w:val="ListParagraph"/>
        <w:numPr>
          <w:ilvl w:val="2"/>
          <w:numId w:val="3"/>
        </w:numPr>
        <w:shd w:val="clear" w:color="auto" w:fill="FFFFFF"/>
        <w:tabs>
          <w:tab w:val="clear" w:pos="708"/>
          <w:tab w:val="left" w:pos="1418" w:leader="none"/>
        </w:tabs>
        <w:ind w:left="0" w:firstLine="709"/>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clear" w:pos="708"/>
          <w:tab w:val="left" w:pos="1418" w:leader="none"/>
        </w:tabs>
        <w:ind w:left="0" w:firstLine="709"/>
        <w:jc w:val="both"/>
        <w:rPr/>
      </w:pPr>
      <w:r>
        <w:rPr>
          <w:bCs/>
          <w:color w:val="000000" w:themeColor="text1"/>
        </w:rPr>
        <w:t>Подрядчик</w:t>
      </w:r>
      <w:r>
        <w:rPr/>
        <w:t xml:space="preserve">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Подрядчика, необходимых для надлежащего исполнения Подрядчиком своих обязательств по Договору</w:t>
      </w:r>
      <w:r>
        <w:rPr>
          <w:bCs/>
        </w:rPr>
        <w:t>, в том числе указанных в Приложении № 5 к Договору</w:t>
      </w:r>
      <w:r>
        <w:rPr/>
        <w:t xml:space="preserve">, а также в разумный срок обеспечить получение Подрядчиком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pPr>
      <w:r>
        <w:rPr/>
        <w:t xml:space="preserve">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w:t>
      </w:r>
      <w:r>
        <w:rPr>
          <w:color w:val="000000" w:themeColor="text1"/>
        </w:rPr>
        <w:t>Подрядчик</w:t>
      </w:r>
      <w:r>
        <w:rPr/>
        <w:t xml:space="preserve">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3"/>
        </w:numPr>
        <w:shd w:val="clear" w:color="auto" w:fill="FFFFFF"/>
        <w:tabs>
          <w:tab w:val="clear" w:pos="708"/>
          <w:tab w:val="left" w:pos="1418" w:leader="none"/>
        </w:tabs>
        <w:ind w:left="0" w:firstLine="709"/>
        <w:jc w:val="both"/>
        <w:rPr/>
      </w:pPr>
      <w:r>
        <w:rPr/>
        <w:t>Обеспечить:</w:t>
      </w:r>
    </w:p>
    <w:p>
      <w:pPr>
        <w:pStyle w:val="ListParagraph"/>
        <w:numPr>
          <w:ilvl w:val="0"/>
          <w:numId w:val="17"/>
        </w:numPr>
        <w:shd w:val="clear" w:color="auto" w:fill="FFFFFF"/>
        <w:tabs>
          <w:tab w:val="clear" w:pos="708"/>
          <w:tab w:val="left" w:pos="567" w:leader="none"/>
          <w:tab w:val="left" w:pos="1418" w:leader="none"/>
        </w:tabs>
        <w:ind w:left="0" w:firstLine="709"/>
        <w:jc w:val="both"/>
        <w:rPr>
          <w:bCs/>
        </w:rPr>
      </w:pPr>
      <w:r>
        <w:rPr>
          <w:bCs/>
        </w:rPr>
        <w:t>участие Подрядчика в саморегулируемой организации (СРО), основанной на членстве лиц,</w:t>
      </w:r>
      <w:r>
        <w:rPr/>
        <w:t xml:space="preserve"> осуществляющих строительство </w:t>
      </w:r>
      <w:r>
        <w:rPr>
          <w:bCs/>
        </w:rPr>
        <w:t>(с учетом исключений, предусмотренных законодательством Российской Федерации);</w:t>
      </w:r>
    </w:p>
    <w:p>
      <w:pPr>
        <w:pStyle w:val="ListParagraph"/>
        <w:numPr>
          <w:ilvl w:val="0"/>
          <w:numId w:val="17"/>
        </w:numPr>
        <w:shd w:val="clear" w:color="auto" w:fill="FFFFFF"/>
        <w:tabs>
          <w:tab w:val="clear" w:pos="708"/>
          <w:tab w:val="left" w:pos="567" w:leader="none"/>
          <w:tab w:val="left" w:pos="1418" w:leader="none"/>
        </w:tabs>
        <w:ind w:left="0" w:firstLine="709"/>
        <w:jc w:val="both"/>
        <w:rPr>
          <w:bCs/>
        </w:rPr>
      </w:pPr>
      <w:r>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7"/>
        </w:numPr>
        <w:tabs>
          <w:tab w:val="clear" w:pos="708"/>
          <w:tab w:val="left" w:pos="567" w:leader="none"/>
          <w:tab w:val="left" w:pos="1418" w:leader="none"/>
        </w:tabs>
        <w:ind w:left="0" w:firstLine="709"/>
        <w:jc w:val="both"/>
        <w:rPr>
          <w:bCs/>
        </w:rPr>
      </w:pPr>
      <w:r>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pPr>
        <w:pStyle w:val="ListParagraph"/>
        <w:numPr>
          <w:ilvl w:val="2"/>
          <w:numId w:val="3"/>
        </w:numPr>
        <w:shd w:val="clear" w:color="auto" w:fill="FFFFFF"/>
        <w:tabs>
          <w:tab w:val="clear" w:pos="708"/>
          <w:tab w:val="left" w:pos="1418" w:leader="none"/>
        </w:tabs>
        <w:ind w:left="0" w:firstLine="709"/>
        <w:jc w:val="both"/>
        <w:rPr>
          <w:bCs/>
        </w:rPr>
      </w:pPr>
      <w:r>
        <w:rPr/>
        <w:t>Выполнять</w:t>
      </w:r>
      <w:r>
        <w:rPr>
          <w:bCs/>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3"/>
        </w:numPr>
        <w:shd w:val="clear" w:color="auto" w:fill="FFFFFF"/>
        <w:tabs>
          <w:tab w:val="clear" w:pos="708"/>
          <w:tab w:val="left" w:pos="1418" w:leader="none"/>
        </w:tabs>
        <w:ind w:left="0" w:firstLine="709"/>
        <w:jc w:val="both"/>
        <w:rPr>
          <w:bCs/>
        </w:rPr>
      </w:pPr>
      <w:r>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clear" w:pos="708"/>
          <w:tab w:val="left" w:pos="1418" w:leader="none"/>
        </w:tabs>
        <w:ind w:left="0" w:firstLine="709"/>
        <w:jc w:val="both"/>
        <w:rPr>
          <w:bCs/>
        </w:rPr>
      </w:pPr>
      <w:r>
        <w:rPr>
          <w:bCs/>
          <w:color w:val="000000" w:themeColor="text1"/>
        </w:rPr>
        <w:t>Подрядчик</w:t>
      </w:r>
      <w:r>
        <w:rPr>
          <w:bCs/>
        </w:rPr>
        <w:t xml:space="preserve">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3"/>
        </w:numPr>
        <w:shd w:val="clear" w:color="auto" w:fill="FFFFFF"/>
        <w:tabs>
          <w:tab w:val="clear" w:pos="708"/>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pPr>
        <w:pStyle w:val="ListParagraph"/>
        <w:numPr>
          <w:ilvl w:val="2"/>
          <w:numId w:val="3"/>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на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 </w:t>
      </w:r>
      <w:r>
        <w:rPr>
          <w:bCs/>
        </w:rPr>
        <w:t>В случае применения контролирующими органами штрафных санкций к Заказчику/ АО «УК ГидроОГК»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Заказчику/АО «УК ГидроОГК»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3"/>
        </w:numPr>
        <w:shd w:val="clear" w:color="auto" w:fill="FFFFFF"/>
        <w:tabs>
          <w:tab w:val="clear" w:pos="708"/>
          <w:tab w:val="left" w:pos="1418" w:leader="none"/>
        </w:tabs>
        <w:ind w:left="0" w:firstLine="709"/>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5 (пяти) экземплярах. </w:t>
      </w:r>
    </w:p>
    <w:p>
      <w:pPr>
        <w:pStyle w:val="ListParagraph"/>
        <w:shd w:val="clear" w:color="auto" w:fill="FFFFFF"/>
        <w:tabs>
          <w:tab w:val="clear" w:pos="708"/>
          <w:tab w:val="left" w:pos="1418" w:leader="none"/>
        </w:tabs>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ListParagraph"/>
        <w:shd w:val="clear" w:color="auto" w:fill="FFFFFF"/>
        <w:tabs>
          <w:tab w:val="clear" w:pos="708"/>
          <w:tab w:val="left" w:pos="1418" w:leader="none"/>
        </w:tabs>
        <w:ind w:left="0" w:firstLine="709"/>
        <w:jc w:val="both"/>
        <w:rPr>
          <w:bCs/>
        </w:rPr>
      </w:pPr>
      <w:r>
        <w:rPr>
          <w:bCs/>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numPr>
          <w:ilvl w:val="2"/>
          <w:numId w:val="3"/>
        </w:numPr>
        <w:shd w:val="clear" w:color="auto" w:fill="FFFFFF"/>
        <w:tabs>
          <w:tab w:val="clear" w:pos="708"/>
          <w:tab w:val="left" w:pos="1418" w:leader="none"/>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 </w:t>
      </w:r>
      <w:r>
        <w:rPr>
          <w:bCs/>
        </w:rPr>
        <w:t>Передать Заказчику в полном объеме</w:t>
      </w:r>
      <w:r>
        <w:rPr/>
        <w:t xml:space="preserve"> лом и отходы черных и цветных металлов, </w:t>
      </w:r>
      <w:r>
        <w:rPr>
          <w:bCs/>
        </w:rPr>
        <w:t>образовавшиеся в ходе выполнения Работ по акту приема-передачи.</w:t>
      </w:r>
    </w:p>
    <w:p>
      <w:pPr>
        <w:pStyle w:val="ListParagraph"/>
        <w:shd w:val="clear" w:color="auto" w:fill="FFFFFF"/>
        <w:tabs>
          <w:tab w:val="clear" w:pos="708"/>
          <w:tab w:val="left" w:pos="1418" w:leader="none"/>
        </w:tabs>
        <w:ind w:left="0" w:firstLine="709"/>
        <w:jc w:val="both"/>
        <w:rPr>
          <w:bCs/>
        </w:rPr>
      </w:pPr>
      <w:r>
        <w:rPr>
          <w:bCs/>
        </w:rPr>
        <w:t>Подрядчик обязан предъявлять Заказчику материальные ценности, образованные в результате демонтажа объектов основных средств или их частей, в т.ч. объектов незавершенного строительства, а также малоценные и быстроизнашивающиеся предметы, хозяйственный инвентарь, инструменты и приспособления общего и специального назначения в порядке, установленном в Приложении № 11 к Договору.</w:t>
      </w:r>
    </w:p>
    <w:p>
      <w:pPr>
        <w:pStyle w:val="ListParagraph"/>
        <w:numPr>
          <w:ilvl w:val="2"/>
          <w:numId w:val="3"/>
        </w:numPr>
        <w:shd w:val="clear" w:color="auto" w:fill="FFFFFF"/>
        <w:tabs>
          <w:tab w:val="clear" w:pos="708"/>
          <w:tab w:val="left" w:pos="1418" w:leader="none"/>
        </w:tabs>
        <w:ind w:left="0" w:firstLine="709"/>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w:t>
      </w:r>
      <w:r>
        <w:rPr>
          <w:bCs/>
          <w:color w:val="000000" w:themeColor="text1"/>
          <w:sz w:val="24"/>
          <w:szCs w:val="24"/>
        </w:rPr>
        <w:t>Подрядчик</w:t>
      </w:r>
      <w:r>
        <w:rPr>
          <w:bCs/>
          <w:sz w:val="24"/>
          <w:szCs w:val="24"/>
        </w:rPr>
        <w:t xml:space="preserve">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pPr>
        <w:pStyle w:val="ListParagraph"/>
        <w:shd w:val="clear" w:color="auto" w:fill="FFFFFF"/>
        <w:tabs>
          <w:tab w:val="clear" w:pos="708"/>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 </w:t>
      </w: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3"/>
        </w:numPr>
        <w:shd w:val="clear" w:color="auto" w:fill="FFFFFF"/>
        <w:tabs>
          <w:tab w:val="clear" w:pos="708"/>
          <w:tab w:val="left" w:pos="1418" w:leader="none"/>
          <w:tab w:val="left" w:pos="1701" w:leader="none"/>
        </w:tabs>
        <w:ind w:left="0" w:firstLine="709"/>
        <w:jc w:val="both"/>
        <w:rPr>
          <w:bCs/>
        </w:rPr>
      </w:pPr>
      <w:r>
        <w:rPr>
          <w:bCs/>
        </w:rPr>
        <w:t xml:space="preserve">Возможных неблагоприятных для Заказчика (посредством направления уведомления Подрядчиком) последствий выполнения его указаний – в любом случае не позднее момента начала выполнения таких указаний. </w:t>
      </w:r>
    </w:p>
    <w:p>
      <w:pPr>
        <w:pStyle w:val="ListParagraph"/>
        <w:numPr>
          <w:ilvl w:val="3"/>
          <w:numId w:val="3"/>
        </w:numPr>
        <w:shd w:val="clear" w:color="auto" w:fill="FFFFFF"/>
        <w:tabs>
          <w:tab w:val="clear" w:pos="708"/>
          <w:tab w:val="left" w:pos="1418" w:leader="none"/>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3"/>
        </w:numPr>
        <w:shd w:val="clear" w:color="auto" w:fill="FFFFFF"/>
        <w:tabs>
          <w:tab w:val="clear" w:pos="708"/>
          <w:tab w:val="left" w:pos="1418" w:leader="none"/>
          <w:tab w:val="left" w:pos="1701" w:leader="none"/>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 w:val="left" w:pos="1418" w:leader="none"/>
        </w:tabs>
        <w:ind w:left="0" w:firstLine="709"/>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 </w:t>
      </w: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8"/>
        </w:numPr>
        <w:tabs>
          <w:tab w:val="clear" w:pos="708"/>
          <w:tab w:val="left" w:pos="1418" w:leader="none"/>
        </w:tabs>
        <w:ind w:left="0" w:firstLine="709"/>
        <w:jc w:val="both"/>
        <w:rPr/>
      </w:pPr>
      <w:r>
        <w:rPr/>
        <w:t>аварии – в течение 2 (двух) часов;</w:t>
      </w:r>
    </w:p>
    <w:p>
      <w:pPr>
        <w:pStyle w:val="ListParagraph"/>
        <w:numPr>
          <w:ilvl w:val="0"/>
          <w:numId w:val="18"/>
        </w:numPr>
        <w:tabs>
          <w:tab w:val="clear" w:pos="708"/>
          <w:tab w:val="left" w:pos="1418" w:leader="none"/>
        </w:tabs>
        <w:ind w:left="0" w:firstLine="709"/>
        <w:jc w:val="both"/>
        <w:rPr/>
      </w:pPr>
      <w:r>
        <w:rPr/>
        <w:t xml:space="preserve">любом несчастном случае независимо от степени его тяжести – в течение суток по форме, установленной </w:t>
      </w:r>
      <w:r>
        <w:rPr>
          <w:bCs/>
          <w:color w:val="333333"/>
          <w:kern w:val="2"/>
        </w:rPr>
        <w:t>приказом Минтруда России от 20.04.2022 № 223н</w:t>
      </w:r>
      <w:r>
        <w:rPr/>
        <w:t>, а после окончания расследования предоставлять копии соответствующих материалов;</w:t>
      </w:r>
    </w:p>
    <w:p>
      <w:pPr>
        <w:pStyle w:val="ListParagraph"/>
        <w:numPr>
          <w:ilvl w:val="0"/>
          <w:numId w:val="18"/>
        </w:numPr>
        <w:tabs>
          <w:tab w:val="clear" w:pos="708"/>
          <w:tab w:val="left" w:pos="1418"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8"/>
        </w:numPr>
        <w:tabs>
          <w:tab w:val="clear" w:pos="708"/>
          <w:tab w:val="left" w:pos="1418"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8"/>
        </w:numPr>
        <w:tabs>
          <w:tab w:val="clear" w:pos="708"/>
          <w:tab w:val="left" w:pos="1418" w:leader="none"/>
        </w:tabs>
        <w:ind w:left="0" w:firstLine="709"/>
        <w:jc w:val="both"/>
        <w:rPr/>
      </w:pPr>
      <w:r>
        <w:rPr/>
        <w:t>забастовке персонала Подрядчика,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8"/>
        </w:numPr>
        <w:tabs>
          <w:tab w:val="clear" w:pos="708"/>
          <w:tab w:val="left" w:pos="1418" w:leader="none"/>
        </w:tabs>
        <w:ind w:left="0"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3"/>
        </w:numPr>
        <w:shd w:val="clear" w:color="auto" w:fill="FFFFFF"/>
        <w:tabs>
          <w:tab w:val="clear" w:pos="708"/>
          <w:tab w:val="left" w:pos="1418" w:leader="none"/>
        </w:tabs>
        <w:ind w:left="0" w:firstLine="709"/>
        <w:jc w:val="both"/>
        <w:rPr/>
      </w:pPr>
      <w:r>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соответствующему акту сдачи-приемки (по форме Приложения № 4.1 к Договору).</w:t>
      </w:r>
    </w:p>
    <w:p>
      <w:pPr>
        <w:pStyle w:val="ListParagraph"/>
        <w:numPr>
          <w:ilvl w:val="2"/>
          <w:numId w:val="3"/>
        </w:numPr>
        <w:shd w:val="clear" w:color="auto" w:fill="FFFFFF"/>
        <w:tabs>
          <w:tab w:val="clear" w:pos="708"/>
          <w:tab w:val="left" w:pos="1418" w:leader="none"/>
        </w:tabs>
        <w:ind w:left="0" w:firstLine="709"/>
        <w:jc w:val="both"/>
        <w:rPr/>
      </w:pPr>
      <w: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clear" w:pos="708"/>
          <w:tab w:val="left" w:pos="1418" w:leader="none"/>
        </w:tabs>
        <w:ind w:left="0" w:firstLine="709"/>
        <w:jc w:val="both"/>
        <w:rPr/>
      </w:pPr>
      <w:r>
        <w:rPr/>
        <w:t>Подрядчик обязан незамедлительно приступать к устранению недостатков, о которых ему стало известно.</w:t>
      </w:r>
    </w:p>
    <w:p>
      <w:pPr>
        <w:pStyle w:val="ListParagraph"/>
        <w:numPr>
          <w:ilvl w:val="2"/>
          <w:numId w:val="3"/>
        </w:numPr>
        <w:shd w:val="clear" w:color="auto" w:fill="FFFFFF"/>
        <w:tabs>
          <w:tab w:val="clear" w:pos="708"/>
          <w:tab w:val="left" w:pos="1418" w:leader="none"/>
        </w:tabs>
        <w:ind w:left="0" w:firstLine="709"/>
        <w:jc w:val="both"/>
        <w:rPr>
          <w:bCs/>
        </w:rPr>
      </w:pPr>
      <w:r>
        <w:rPr/>
        <w:t xml:space="preserve">Письменно уведомлять Заказчика </w:t>
      </w:r>
      <w:r>
        <w:rPr>
          <w:bCs/>
        </w:rPr>
        <w:t xml:space="preserve">(посредством направления уведомления Подрядчиком) </w:t>
      </w:r>
      <w:r>
        <w:rPr/>
        <w:t xml:space="preserve">о необходимости проведения освидетельствования и / или приемки Скрытых работ. </w:t>
      </w:r>
    </w:p>
    <w:p>
      <w:pPr>
        <w:pStyle w:val="ListParagraph"/>
        <w:shd w:val="clear" w:color="auto" w:fill="FFFFFF"/>
        <w:tabs>
          <w:tab w:val="clear" w:pos="708"/>
          <w:tab w:val="left" w:pos="1418" w:leader="none"/>
        </w:tabs>
        <w:ind w:left="0" w:firstLine="709"/>
        <w:jc w:val="both"/>
        <w:rPr>
          <w:bCs/>
        </w:rPr>
      </w:pPr>
      <w:r>
        <w:rPr/>
        <w:t>Указанное уведомление должно быть получено Заказчиком заблаговременно</w:t>
      </w:r>
      <w:r>
        <w:rPr>
          <w:bCs/>
        </w:rPr>
        <w:t xml:space="preserve">, но не позднее, чем за </w:t>
      </w:r>
      <w:r>
        <w:rPr/>
        <w:t>5 (пять)</w:t>
      </w:r>
      <w:r>
        <w:rPr>
          <w:bCs/>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 / или приемки Скрытых работ.</w:t>
      </w:r>
    </w:p>
    <w:p>
      <w:pPr>
        <w:pStyle w:val="ListParagraph"/>
        <w:numPr>
          <w:ilvl w:val="2"/>
          <w:numId w:val="3"/>
        </w:numPr>
        <w:shd w:val="clear" w:color="auto" w:fill="FFFFFF"/>
        <w:tabs>
          <w:tab w:val="clear" w:pos="708"/>
          <w:tab w:val="left" w:pos="567" w:leader="none"/>
          <w:tab w:val="left" w:pos="709" w:leader="none"/>
          <w:tab w:val="left" w:pos="1418" w:leader="none"/>
        </w:tabs>
        <w:ind w:left="0" w:firstLine="709"/>
        <w:jc w:val="both"/>
        <w:rPr/>
      </w:pPr>
      <w:r>
        <w:rPr>
          <w:bCs/>
        </w:rPr>
        <w:t xml:space="preserve"> </w:t>
      </w:r>
      <w:r>
        <w:rPr>
          <w:color w:val="000000" w:themeColor="text1"/>
        </w:rPr>
        <w:t xml:space="preserve">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 августа 2020 г. N 421/пр, обеспечить в счет Цены </w:t>
      </w:r>
      <w:r>
        <w:rPr>
          <w:bCs/>
          <w:color w:val="000000" w:themeColor="text1"/>
        </w:rPr>
        <w:t>Договора:</w:t>
      </w:r>
    </w:p>
    <w:p>
      <w:pPr>
        <w:pStyle w:val="ListParagraph"/>
        <w:numPr>
          <w:ilvl w:val="0"/>
          <w:numId w:val="22"/>
        </w:numPr>
        <w:shd w:val="clear" w:color="auto" w:fill="FFFFFF"/>
        <w:tabs>
          <w:tab w:val="clear" w:pos="708"/>
          <w:tab w:val="left" w:pos="567" w:leader="none"/>
          <w:tab w:val="left" w:pos="1418" w:leader="none"/>
        </w:tabs>
        <w:ind w:left="0" w:firstLine="709"/>
        <w:jc w:val="both"/>
        <w:rPr/>
      </w:pPr>
      <w:r>
        <w:rPr>
          <w:bCs/>
        </w:rPr>
        <w:t xml:space="preserve">на время проведения пусконаладочных работ «вхолостую» </w:t>
      </w:r>
      <w:r>
        <w:rPr/>
        <w:t xml:space="preserve">– </w:t>
      </w:r>
      <w:r>
        <w:rPr>
          <w:bCs/>
        </w:rPr>
        <w:t xml:space="preserve">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Заказчиком; </w:t>
      </w:r>
    </w:p>
    <w:p>
      <w:pPr>
        <w:pStyle w:val="ListParagraph"/>
        <w:numPr>
          <w:ilvl w:val="0"/>
          <w:numId w:val="22"/>
        </w:numPr>
        <w:shd w:val="clear" w:color="auto" w:fill="FFFFFF"/>
        <w:tabs>
          <w:tab w:val="clear" w:pos="708"/>
          <w:tab w:val="left" w:pos="567" w:leader="none"/>
          <w:tab w:val="left" w:pos="1418" w:leader="none"/>
        </w:tabs>
        <w:ind w:left="0" w:firstLine="709"/>
        <w:jc w:val="both"/>
        <w:rPr/>
      </w:pPr>
      <w:r>
        <w:rPr>
          <w:bCs/>
        </w:rPr>
        <w:t xml:space="preserve">на время проведения пусконаладочных работ «под нагрузкой» </w:t>
      </w:r>
      <w:r>
        <w:rPr/>
        <w:t>–</w:t>
      </w:r>
      <w:r>
        <w:rPr>
          <w:bCs/>
        </w:rPr>
        <w:t xml:space="preserve">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Заказчиком.</w:t>
      </w:r>
    </w:p>
    <w:p>
      <w:pPr>
        <w:pStyle w:val="ListParagraph"/>
        <w:numPr>
          <w:ilvl w:val="2"/>
          <w:numId w:val="3"/>
        </w:numPr>
        <w:shd w:val="clear" w:color="auto" w:fill="FFFFFF"/>
        <w:tabs>
          <w:tab w:val="clear" w:pos="708"/>
          <w:tab w:val="left" w:pos="567" w:leader="none"/>
          <w:tab w:val="left" w:pos="709" w:leader="none"/>
          <w:tab w:val="left" w:pos="1418" w:leader="none"/>
        </w:tabs>
        <w:ind w:left="0" w:firstLine="709"/>
        <w:jc w:val="both"/>
        <w:rPr/>
      </w:pPr>
      <w:r>
        <w:rPr>
          <w:bCs/>
        </w:rPr>
        <w:t xml:space="preserve">Принять участие в работе приемочной комиссии и в подписании Акта КС-14 </w:t>
      </w:r>
      <w:r>
        <w:rPr>
          <w:lang w:eastAsia="en-US"/>
        </w:rPr>
        <w:t>по Объекту приемочной комиссией после завершения всех работ на Объекте.</w:t>
      </w:r>
    </w:p>
    <w:p>
      <w:pPr>
        <w:pStyle w:val="ListParagraph"/>
        <w:numPr>
          <w:ilvl w:val="2"/>
          <w:numId w:val="3"/>
        </w:numPr>
        <w:shd w:val="clear" w:color="auto" w:fill="FFFFFF"/>
        <w:tabs>
          <w:tab w:val="clear" w:pos="708"/>
          <w:tab w:val="left" w:pos="1418" w:leader="none"/>
        </w:tabs>
        <w:ind w:left="0" w:firstLine="709"/>
        <w:jc w:val="both"/>
        <w:rPr/>
      </w:pPr>
      <w:r>
        <w:rPr>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3"/>
        </w:numPr>
        <w:shd w:val="clear" w:color="auto" w:fill="FFFFFF"/>
        <w:tabs>
          <w:tab w:val="clear" w:pos="708"/>
          <w:tab w:val="left" w:pos="1418" w:leader="none"/>
        </w:tabs>
        <w:ind w:left="0" w:firstLine="709"/>
        <w:jc w:val="both"/>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w:t>
      </w:r>
      <w:r>
        <w:rPr>
          <w:bCs/>
        </w:rPr>
        <w:t>без какого-либо ограничения размера такого возмещения.</w:t>
      </w:r>
    </w:p>
    <w:p>
      <w:pPr>
        <w:pStyle w:val="ListParagraph"/>
        <w:shd w:val="clear" w:color="auto" w:fill="FFFFFF"/>
        <w:tabs>
          <w:tab w:val="clear" w:pos="708"/>
          <w:tab w:val="left" w:pos="1418" w:leader="none"/>
        </w:tabs>
        <w:ind w:left="0" w:firstLine="709"/>
        <w:jc w:val="both"/>
        <w:rPr/>
      </w:pPr>
      <w:r>
        <w:rPr>
          <w:bCs/>
        </w:rPr>
        <w:t>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w:t>
      </w:r>
      <w:r>
        <w:rPr>
          <w:rStyle w:val="FootnoteReference"/>
          <w:bCs/>
        </w:rPr>
        <w:footnoteReference w:id="2"/>
      </w:r>
      <w:r>
        <w:rPr>
          <w:bCs/>
        </w:rPr>
        <w:t xml:space="preserve">. </w:t>
      </w:r>
    </w:p>
    <w:p>
      <w:pPr>
        <w:pStyle w:val="ListParagraph"/>
        <w:numPr>
          <w:ilvl w:val="2"/>
          <w:numId w:val="3"/>
        </w:numPr>
        <w:tabs>
          <w:tab w:val="clear" w:pos="708"/>
          <w:tab w:val="left" w:pos="1418" w:leader="none"/>
        </w:tabs>
        <w:ind w:left="0" w:firstLine="709"/>
        <w:jc w:val="both"/>
        <w:rPr/>
      </w:pPr>
      <w:r>
        <w:rPr>
          <w:bCs/>
        </w:rPr>
        <w:t>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rPr/>
        <w:t xml:space="preserve"> </w:t>
      </w:r>
      <w:r>
        <w:rPr>
          <w:bCs/>
        </w:rPr>
        <w:t xml:space="preserve">в том числе поставщиков материалов,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3"/>
        </w:numPr>
        <w:shd w:val="clear" w:color="auto" w:fill="FFFFFF"/>
        <w:tabs>
          <w:tab w:val="clear" w:pos="708"/>
          <w:tab w:val="left" w:pos="1418" w:leader="none"/>
        </w:tabs>
        <w:ind w:left="0" w:firstLine="709"/>
        <w:jc w:val="both"/>
        <w:rPr/>
      </w:pPr>
      <w:r>
        <w:rPr>
          <w:color w:val="000000"/>
        </w:rPr>
        <w:t>Предоставить Заказчику</w:t>
      </w:r>
      <w:r>
        <w:rPr>
          <w:color w:val="000000" w:themeColor="text1"/>
        </w:rPr>
        <w:t xml:space="preserve"> </w:t>
      </w:r>
      <w:r>
        <w:rPr>
          <w:color w:val="000000"/>
        </w:rPr>
        <w:t>Банковские гарантии в соответствии с разделом 6 Договора.</w:t>
      </w:r>
    </w:p>
    <w:p>
      <w:pPr>
        <w:pStyle w:val="ListParagraph"/>
        <w:numPr>
          <w:ilvl w:val="2"/>
          <w:numId w:val="3"/>
        </w:numPr>
        <w:shd w:val="clear" w:color="auto" w:fill="FFFFFF"/>
        <w:tabs>
          <w:tab w:val="clear" w:pos="708"/>
          <w:tab w:val="left" w:pos="1418" w:leader="none"/>
        </w:tabs>
        <w:ind w:left="0" w:firstLine="709"/>
        <w:jc w:val="both"/>
        <w:rPr>
          <w:color w:val="000000"/>
        </w:rPr>
      </w:pPr>
      <w:r>
        <w:rPr/>
        <w:t>Обеспечить целевое использование получаемых по Договору денежных средств и возможность беспрепятственного контроля целевого использования полученных авансовых средств со стороны Заказчика.</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В течение 10 (десяти) рабочих дней с даты получения Подрядчиком уведомления от Заказчика о привлеченном Банке, заключить с Банком договор о банковском сопровождении Договора и открыть в Банке ОБС, используемый исключительно для расчетов между Заказчиком, Подрядчиком и привлеченными в рамках Договора Субподрядчиками, </w:t>
      </w:r>
      <w:r>
        <w:rPr/>
        <w:t xml:space="preserve">а также обеспечить аналогичную обязанность </w:t>
      </w:r>
      <w:r>
        <w:rPr>
          <w:bCs/>
        </w:rPr>
        <w:t>Участников строительства</w:t>
      </w:r>
      <w:r>
        <w:rPr/>
        <w:t>.</w:t>
      </w:r>
      <w:r>
        <w:rPr>
          <w:bCs/>
        </w:rPr>
        <w:t xml:space="preserve"> Для осуществления расчетов по Договору Подрядчик обязан предоставить Заказчику реквизиты отдельного банковского счета.</w:t>
      </w:r>
    </w:p>
    <w:p>
      <w:pPr>
        <w:pStyle w:val="ListParagraph"/>
        <w:numPr>
          <w:ilvl w:val="2"/>
          <w:numId w:val="3"/>
        </w:numPr>
        <w:shd w:val="clear" w:color="auto" w:fill="FFFFFF"/>
        <w:tabs>
          <w:tab w:val="clear" w:pos="708"/>
          <w:tab w:val="left" w:pos="1418" w:leader="none"/>
        </w:tabs>
        <w:ind w:left="0" w:firstLine="709"/>
        <w:jc w:val="both"/>
        <w:rPr>
          <w:bCs/>
        </w:rPr>
      </w:pPr>
      <w:r>
        <w:rPr>
          <w:bCs/>
        </w:rPr>
        <w:t>В течение 3 (трех) рабочих дней с даты открытия в Банке ОБС передать Банку письменное полномочие (право) на представление Заказчику</w:t>
      </w:r>
      <w:r>
        <w:rPr/>
        <w:t xml:space="preserve"> </w:t>
      </w:r>
      <w:r>
        <w:rPr>
          <w:bCs/>
        </w:rPr>
        <w:t>любой информации о наличии, статусе, движении денежных средств по ОБС Подрядчика, открытому в Банке, а также обеспечить аналогичную обязанность при заключении договоров между всеми Участниками строительства по всем уровням кооперации, за исключением мелких закупок (сумма мелких закупок регулируется в договоре с Банком) и конечных производителей.</w:t>
      </w:r>
    </w:p>
    <w:p>
      <w:pPr>
        <w:pStyle w:val="ListParagraph"/>
        <w:numPr>
          <w:ilvl w:val="2"/>
          <w:numId w:val="3"/>
        </w:numPr>
        <w:shd w:val="clear" w:color="auto" w:fill="FFFFFF"/>
        <w:tabs>
          <w:tab w:val="clear" w:pos="708"/>
          <w:tab w:val="left" w:pos="1418" w:leader="none"/>
        </w:tabs>
        <w:ind w:left="0" w:firstLine="709"/>
        <w:jc w:val="both"/>
        <w:rPr>
          <w:bCs/>
        </w:rPr>
      </w:pPr>
      <w:r>
        <w:rPr>
          <w:bCs/>
        </w:rPr>
        <w:t>По письменному требованию Банка предоставлять сведения и документы, составленные по формам, не противоречащим Применимому праву, установленным договором ОБС и подтверждающие факт установления гражданских прав и обязанностей между Подрядчиком и Заказчиком, факт выполнения Работ, связанных с исполнением Договора (в том числе о привлекаемых Подрядчиком в рамках исполнения обязательств по Договору Субподрядчиках), необходимых для осуществления Банком мониторинга расчетов, а также обеспечить аналогичную обязанность при заключении договоров между всеми Участниками строительства.</w:t>
      </w:r>
    </w:p>
    <w:p>
      <w:pPr>
        <w:pStyle w:val="ListParagraph"/>
        <w:numPr>
          <w:ilvl w:val="2"/>
          <w:numId w:val="3"/>
        </w:numPr>
        <w:shd w:val="clear" w:color="auto" w:fill="FFFFFF"/>
        <w:tabs>
          <w:tab w:val="clear" w:pos="708"/>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3"/>
        </w:numPr>
        <w:shd w:val="clear" w:color="auto" w:fill="FFFFFF"/>
        <w:tabs>
          <w:tab w:val="clear" w:pos="708"/>
          <w:tab w:val="left" w:pos="1418" w:leader="none"/>
        </w:tabs>
        <w:ind w:left="0" w:firstLine="709"/>
        <w:jc w:val="both"/>
        <w:rPr/>
      </w:pPr>
      <w:r>
        <w:rPr/>
        <w:t xml:space="preserve">Исполнять иные обязанности, предусмотренные Договором и </w:t>
      </w:r>
      <w:r>
        <w:rPr>
          <w:bCs/>
        </w:rPr>
        <w:t>законодательством Российской Федерации.</w:t>
      </w:r>
      <w:r>
        <w:rPr/>
        <w:t xml:space="preserve"> </w:t>
      </w:r>
    </w:p>
    <w:p>
      <w:pPr>
        <w:pStyle w:val="ListParagraph"/>
        <w:numPr>
          <w:ilvl w:val="1"/>
          <w:numId w:val="3"/>
        </w:numPr>
        <w:shd w:val="clear" w:color="auto" w:fill="FFFFFF"/>
        <w:tabs>
          <w:tab w:val="clear" w:pos="708"/>
          <w:tab w:val="left" w:pos="1134" w:leader="none"/>
        </w:tabs>
        <w:ind w:left="0" w:firstLine="709"/>
        <w:jc w:val="both"/>
        <w:rPr>
          <w:bCs/>
        </w:rPr>
      </w:pPr>
      <w:r>
        <w:rPr>
          <w:bCs/>
          <w:u w:val="single"/>
        </w:rPr>
        <w:t>Подрядчик имеет право</w:t>
      </w:r>
      <w:r>
        <w:rPr>
          <w:bCs/>
        </w:rPr>
        <w:t>:</w:t>
      </w:r>
    </w:p>
    <w:p>
      <w:pPr>
        <w:pStyle w:val="ListParagraph"/>
        <w:numPr>
          <w:ilvl w:val="2"/>
          <w:numId w:val="3"/>
        </w:numPr>
        <w:shd w:val="clear" w:color="auto" w:fill="FFFFFF"/>
        <w:tabs>
          <w:tab w:val="clear" w:pos="708"/>
          <w:tab w:val="left" w:pos="1418" w:leader="none"/>
        </w:tabs>
        <w:ind w:left="0" w:firstLine="709"/>
        <w:jc w:val="both"/>
        <w:rPr>
          <w:bCs/>
        </w:rPr>
      </w:pPr>
      <w:r>
        <w:rPr>
          <w:bCs/>
        </w:rPr>
        <w:t>Самостоятельно организовать выполнение Работ.</w:t>
      </w:r>
    </w:p>
    <w:p>
      <w:pPr>
        <w:pStyle w:val="ListParagraph"/>
        <w:numPr>
          <w:ilvl w:val="2"/>
          <w:numId w:val="3"/>
        </w:numPr>
        <w:shd w:val="clear" w:color="auto" w:fill="FFFFFF"/>
        <w:tabs>
          <w:tab w:val="clear" w:pos="708"/>
          <w:tab w:val="left" w:pos="1418" w:leader="none"/>
        </w:tabs>
        <w:ind w:left="0" w:firstLine="709"/>
        <w:jc w:val="both"/>
        <w:rPr>
          <w:bCs/>
        </w:rPr>
      </w:pPr>
      <w:r>
        <w:rPr>
          <w:bCs/>
        </w:rPr>
        <w:t>В процессе выполнения Работ предлагать внесение изменений в техническую и иную документацию, предоставленную Заказчиком. Корректировка Рабочей документации, обусловленная такими изменениями, согласованными Заказчиком, осуществляется силами и за счет Подрядчика. При этом внесение изменений в Рабочую документацию не является основанием для продления сроков выполнения Работ по Договору.</w:t>
      </w:r>
    </w:p>
    <w:p>
      <w:pPr>
        <w:pStyle w:val="ListParagraph"/>
        <w:numPr>
          <w:ilvl w:val="2"/>
          <w:numId w:val="3"/>
        </w:numPr>
        <w:shd w:val="clear" w:color="auto" w:fill="FFFFFF"/>
        <w:tabs>
          <w:tab w:val="clear" w:pos="708"/>
          <w:tab w:val="left" w:pos="1418" w:leader="none"/>
        </w:tabs>
        <w:ind w:left="0" w:firstLine="709"/>
        <w:jc w:val="both"/>
        <w:rPr>
          <w:bCs/>
        </w:rPr>
      </w:pPr>
      <w:r>
        <w:rPr>
          <w:bCs/>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__ (____) процентов от Цены Договора, неся при этом ответственность за действия Субподрядчиков, как за свои собственные. </w:t>
      </w:r>
    </w:p>
    <w:p>
      <w:pPr>
        <w:pStyle w:val="ListParagraph"/>
        <w:shd w:val="clear" w:color="auto" w:fill="FFFFFF"/>
        <w:tabs>
          <w:tab w:val="clear" w:pos="708"/>
          <w:tab w:val="left" w:pos="1418" w:leader="none"/>
        </w:tabs>
        <w:ind w:left="0" w:firstLine="709"/>
        <w:jc w:val="both"/>
        <w:rPr>
          <w:bCs/>
        </w:rPr>
      </w:pPr>
      <w:r>
        <w:rPr>
          <w:bCs/>
        </w:rPr>
        <w:t xml:space="preserve">При согласовании привлечения Субподрядчика </w:t>
      </w:r>
      <w:r>
        <w:rPr>
          <w:bCs/>
          <w:color w:val="000000" w:themeColor="text1"/>
        </w:rPr>
        <w:t>Подрядчик</w:t>
      </w:r>
      <w:r>
        <w:rPr>
          <w:bCs/>
        </w:rPr>
        <w:t xml:space="preserve"> представляет Заказчику: </w:t>
      </w:r>
    </w:p>
    <w:p>
      <w:pPr>
        <w:pStyle w:val="ListParagraph"/>
        <w:numPr>
          <w:ilvl w:val="0"/>
          <w:numId w:val="20"/>
        </w:numPr>
        <w:shd w:val="clear" w:color="auto" w:fill="FFFFFF"/>
        <w:tabs>
          <w:tab w:val="clear" w:pos="708"/>
          <w:tab w:val="left" w:pos="709" w:leader="none"/>
        </w:tabs>
        <w:ind w:left="0" w:firstLine="709"/>
        <w:jc w:val="both"/>
        <w:rPr>
          <w:bCs/>
        </w:rPr>
      </w:pPr>
      <w:r>
        <w:rPr>
          <w:bCs/>
        </w:rPr>
        <w:t xml:space="preserve">проект договора с Субподрядчиком; </w:t>
      </w:r>
    </w:p>
    <w:p>
      <w:pPr>
        <w:pStyle w:val="ListParagraph"/>
        <w:numPr>
          <w:ilvl w:val="0"/>
          <w:numId w:val="20"/>
        </w:numPr>
        <w:shd w:val="clear" w:color="auto" w:fill="FFFFFF"/>
        <w:tabs>
          <w:tab w:val="clear" w:pos="708"/>
          <w:tab w:val="left" w:pos="709" w:leader="none"/>
        </w:tabs>
        <w:ind w:left="0" w:firstLine="709"/>
        <w:jc w:val="both"/>
        <w:rPr>
          <w:bCs/>
        </w:rPr>
      </w:pPr>
      <w:r>
        <w:rPr>
          <w:bCs/>
        </w:rPr>
        <w:t xml:space="preserve">сведения об объемах выполнения работ Субподрядчиком; </w:t>
      </w:r>
    </w:p>
    <w:p>
      <w:pPr>
        <w:pStyle w:val="ListParagraph"/>
        <w:numPr>
          <w:ilvl w:val="0"/>
          <w:numId w:val="20"/>
        </w:numPr>
        <w:shd w:val="clear" w:color="auto" w:fill="FFFFFF"/>
        <w:tabs>
          <w:tab w:val="clear" w:pos="708"/>
          <w:tab w:val="left" w:pos="709" w:leader="none"/>
        </w:tabs>
        <w:ind w:left="0" w:firstLine="709"/>
        <w:jc w:val="both"/>
        <w:rPr>
          <w:bCs/>
        </w:rPr>
      </w:pPr>
      <w:r>
        <w:rPr>
          <w:bCs/>
        </w:rPr>
        <w:t xml:space="preserve">пофамильный перечень персонала Субподрядчика, который будет задействован при производстве Работ; </w:t>
      </w:r>
    </w:p>
    <w:p>
      <w:pPr>
        <w:pStyle w:val="ListParagraph"/>
        <w:numPr>
          <w:ilvl w:val="0"/>
          <w:numId w:val="20"/>
        </w:numPr>
        <w:shd w:val="clear" w:color="auto" w:fill="FFFFFF"/>
        <w:tabs>
          <w:tab w:val="clear" w:pos="708"/>
          <w:tab w:val="left" w:pos="709" w:leader="none"/>
        </w:tabs>
        <w:ind w:left="0" w:firstLine="709"/>
        <w:jc w:val="both"/>
        <w:rPr>
          <w:bCs/>
        </w:rPr>
      </w:pPr>
      <w:r>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shd w:val="clear" w:color="auto" w:fill="FFFFFF"/>
        <w:ind w:left="0" w:firstLine="567"/>
        <w:jc w:val="both"/>
        <w:rPr>
          <w:bCs/>
        </w:rPr>
      </w:pPr>
      <w:r>
        <w:rPr>
          <w:bCs/>
        </w:rPr>
        <w:t xml:space="preserve">2.4.4. </w:t>
      </w:r>
      <w:r>
        <w:rPr>
          <w:bCs/>
          <w:color w:val="000000" w:themeColor="text1"/>
        </w:rPr>
        <w:t>Подрядчик</w:t>
      </w:r>
      <w:r>
        <w:rPr>
          <w:bCs/>
        </w:rPr>
        <w:t xml:space="preserve"> не позднее дня, следующего за днем заключения договора с каждым соответствующим Субподрядчиком, обязан представить Заказчику справку обо всех договорах, заключенных в рамках исполнения Договора, составленную по форме Приложения № 8 к Договору.</w:t>
      </w:r>
    </w:p>
    <w:p>
      <w:pPr>
        <w:pStyle w:val="ListParagraph"/>
        <w:shd w:val="clear" w:color="auto" w:fill="FFFFFF"/>
        <w:tabs>
          <w:tab w:val="clear" w:pos="708"/>
          <w:tab w:val="left" w:pos="1418" w:leader="none"/>
        </w:tabs>
        <w:ind w:left="0" w:firstLine="567"/>
        <w:jc w:val="both"/>
        <w:rPr/>
      </w:pPr>
      <w:r>
        <w:rPr/>
        <w:t>2.5.</w:t>
        <w:tab/>
        <w:t>В случае нарушения Подрядчиком условий, предусмотренных пунктами 2.4.4, Договора, а также в случае предоставления заведомо неверной информации о привлечённых Субподрядчиках по Договору, Заказчик вправе требовать от Подрядчика уплаты штрафа в размере 300 000 (триста тысяч) рублей за каждый случай нарушения.</w:t>
      </w:r>
    </w:p>
    <w:p>
      <w:pPr>
        <w:pStyle w:val="ListParagraph"/>
        <w:shd w:val="clear" w:color="auto" w:fill="FFFFFF"/>
        <w:tabs>
          <w:tab w:val="clear" w:pos="708"/>
          <w:tab w:val="left" w:pos="1418" w:leader="none"/>
        </w:tabs>
        <w:ind w:left="0" w:firstLine="567"/>
        <w:jc w:val="both"/>
        <w:rPr/>
      </w:pPr>
      <w:r>
        <w:rPr/>
      </w:r>
    </w:p>
    <w:p>
      <w:pPr>
        <w:pStyle w:val="ListParagraph"/>
        <w:numPr>
          <w:ilvl w:val="0"/>
          <w:numId w:val="3"/>
        </w:numPr>
        <w:shd w:val="clear" w:color="auto" w:fill="FFFFFF"/>
        <w:tabs>
          <w:tab w:val="clear" w:pos="708"/>
          <w:tab w:val="left" w:pos="284" w:leader="none"/>
        </w:tabs>
        <w:ind w:left="0" w:hanging="0"/>
        <w:jc w:val="center"/>
        <w:rPr/>
      </w:pPr>
      <w:r>
        <w:rPr>
          <w:b/>
          <w:bCs/>
        </w:rPr>
        <w:t>Цена Договора и порядок расчетов</w:t>
      </w:r>
    </w:p>
    <w:p>
      <w:pPr>
        <w:pStyle w:val="ListParagraph"/>
        <w:numPr>
          <w:ilvl w:val="1"/>
          <w:numId w:val="3"/>
        </w:numPr>
        <w:shd w:val="clear" w:color="auto" w:fill="FFFFFF"/>
        <w:tabs>
          <w:tab w:val="clear" w:pos="708"/>
          <w:tab w:val="left" w:pos="1134" w:leader="none"/>
        </w:tabs>
        <w:ind w:left="0" w:firstLine="709"/>
        <w:jc w:val="both"/>
        <w:rPr>
          <w:bCs/>
          <w:color w:val="000000" w:themeColor="text1"/>
        </w:rPr>
      </w:pPr>
      <w:r>
        <w:rPr>
          <w:bCs/>
          <w:color w:val="000000" w:themeColor="text1"/>
        </w:rPr>
        <w:t>Цена Договора в соответствии со Сводным сметным расчетом (Приложение № 3 к Договору) является предельной и составляет</w:t>
      </w:r>
      <w:r>
        <w:rPr>
          <w:bCs/>
          <w:color w:val="C9211E"/>
        </w:rPr>
        <w:t xml:space="preserve"> _____________</w:t>
      </w:r>
      <w:r>
        <w:rPr>
          <w:bCs/>
        </w:rPr>
        <w:t xml:space="preserve"> рублей___________ копейка без учета НДС, </w:t>
      </w:r>
      <w:r>
        <w:rPr>
          <w:bCs/>
          <w:color w:val="000000" w:themeColor="text1"/>
        </w:rPr>
        <w:t>при этом НДС исчисляется дополнительно по ставке, установленной статьей 164 Налогового кодекса Российской Федерации (далее – «НК РФ»).</w:t>
      </w:r>
    </w:p>
    <w:p>
      <w:pPr>
        <w:pStyle w:val="ListParagraph"/>
        <w:numPr>
          <w:ilvl w:val="2"/>
          <w:numId w:val="3"/>
        </w:numPr>
        <w:shd w:val="clear" w:color="auto" w:fill="FFFFFF"/>
        <w:tabs>
          <w:tab w:val="clear" w:pos="708"/>
          <w:tab w:val="left" w:pos="1418" w:leader="none"/>
        </w:tabs>
        <w:ind w:left="0" w:firstLine="709"/>
        <w:jc w:val="both"/>
        <w:rPr>
          <w:color w:val="000000" w:themeColor="text1"/>
        </w:rPr>
      </w:pPr>
      <w:r>
        <w:rPr>
          <w:color w:val="000000" w:themeColor="text1"/>
        </w:rPr>
        <w:t>Предельная цена Работ (без учета Лимита на прочие затраты и Лимита на непредвиденные ра</w:t>
      </w:r>
      <w:bookmarkStart w:id="14" w:name="_GoBack_Копия_1"/>
      <w:bookmarkEnd w:id="14"/>
      <w:r>
        <w:rPr>
          <w:color w:val="000000" w:themeColor="text1"/>
        </w:rPr>
        <w:t xml:space="preserve">боты и </w:t>
      </w:r>
      <w:r>
        <w:rPr/>
        <w:t>Лимита затрат, связанных с получением/обслуживанием Банковских гарантий</w:t>
      </w:r>
      <w:r>
        <w:rPr>
          <w:color w:val="000000" w:themeColor="text1"/>
        </w:rPr>
        <w:t xml:space="preserve">) включает в себя дополнительные затраты при производстве Работ в зимнее время и составляет </w:t>
      </w:r>
      <w:r>
        <w:rPr>
          <w:bCs/>
        </w:rPr>
        <w:t>____________________рублей _____________ копейки без учета НДС</w:t>
      </w:r>
      <w:r>
        <w:rPr/>
        <w:t>, при э</w:t>
      </w:r>
      <w:r>
        <w:rPr>
          <w:color w:val="000000" w:themeColor="text1"/>
        </w:rPr>
        <w:t>том НДС исчисляется дополнительно по ставке, установленной статьей 164 НК РФ.</w:t>
      </w:r>
    </w:p>
    <w:p>
      <w:pPr>
        <w:pStyle w:val="ListParagraph"/>
        <w:numPr>
          <w:ilvl w:val="2"/>
          <w:numId w:val="3"/>
        </w:numPr>
        <w:shd w:val="clear" w:color="auto" w:fill="FFFFFF"/>
        <w:tabs>
          <w:tab w:val="clear" w:pos="708"/>
          <w:tab w:val="left" w:pos="1418" w:leader="none"/>
        </w:tabs>
        <w:ind w:left="0" w:firstLine="709"/>
        <w:jc w:val="both"/>
        <w:rPr>
          <w:color w:val="000000" w:themeColor="text1"/>
        </w:rPr>
      </w:pPr>
      <w:r>
        <w:rPr>
          <w:color w:val="000000" w:themeColor="text1"/>
        </w:rPr>
        <w:t xml:space="preserve">Лимит на непредвиденные работы и затраты составляет </w:t>
      </w:r>
      <w:r>
        <w:rPr>
          <w:bCs/>
          <w:shd w:fill="FFFFFF" w:val="clear"/>
        </w:rPr>
        <w:t>__________________ рубль __ копеек без учета НДС</w:t>
      </w:r>
      <w:r>
        <w:rPr>
          <w:shd w:fill="FFFFFF" w:val="clear"/>
        </w:rPr>
        <w:t>, п</w:t>
      </w:r>
      <w:r>
        <w:rPr>
          <w:color w:val="000000" w:themeColor="text1"/>
        </w:rPr>
        <w:t>ри этом НДС исчисляется дополнительно по ставке, установленной статьей 164 НК РФ.</w:t>
      </w:r>
    </w:p>
    <w:p>
      <w:pPr>
        <w:pStyle w:val="ListParagraph"/>
        <w:numPr>
          <w:ilvl w:val="2"/>
          <w:numId w:val="3"/>
        </w:numPr>
        <w:shd w:val="clear" w:color="auto" w:fill="FFFFFF" w:themeFill="background1"/>
        <w:tabs>
          <w:tab w:val="clear" w:pos="708"/>
          <w:tab w:val="left" w:pos="1418" w:leader="none"/>
        </w:tabs>
        <w:ind w:left="0" w:firstLine="709"/>
        <w:jc w:val="both"/>
        <w:rPr>
          <w:color w:val="000000" w:themeColor="text1"/>
        </w:rPr>
      </w:pPr>
      <w:r>
        <w:rPr>
          <w:bCs/>
          <w:color w:val="000000" w:themeColor="text1"/>
        </w:rPr>
        <w:t xml:space="preserve">Лимит на прочие затраты (командировочные, вахтовые, проживание, перебазировка, снегоборьба) </w:t>
      </w:r>
      <w:r>
        <w:rPr>
          <w:bCs/>
          <w:color w:val="000000"/>
          <w:shd w:fill="FFFFFF" w:val="clear"/>
        </w:rPr>
        <w:t>составляет _______________ рублей _____ копеек без учета НДС, при</w:t>
      </w:r>
      <w:r>
        <w:rPr>
          <w:bCs/>
          <w:color w:val="000000" w:themeColor="text1"/>
        </w:rPr>
        <w:t xml:space="preserve"> этом НДС исчисляется дополнительно по ставке, установленной статьей 164 НК РФ.</w:t>
      </w:r>
      <w:bookmarkStart w:id="15" w:name="_Ref361335465"/>
    </w:p>
    <w:p>
      <w:pPr>
        <w:pStyle w:val="ListParagraph"/>
        <w:numPr>
          <w:ilvl w:val="2"/>
          <w:numId w:val="3"/>
        </w:numPr>
        <w:shd w:val="clear" w:color="auto" w:fill="FFFFFF" w:themeFill="background1"/>
        <w:tabs>
          <w:tab w:val="clear" w:pos="708"/>
          <w:tab w:val="left" w:pos="1418" w:leader="none"/>
        </w:tabs>
        <w:ind w:left="0" w:firstLine="709"/>
        <w:jc w:val="both"/>
        <w:rPr>
          <w:color w:val="000000" w:themeColor="text1"/>
        </w:rPr>
      </w:pPr>
      <w:r>
        <w:rPr/>
        <w:t>Лимит затрат, связанных с получением/обслуживанием Банковских гарантий, составляет _______________рублей __ копеек без учёта НДС, при этом НДС исчисляется дополнительно, по ставке, установленной статьей 164 НК РФ.</w:t>
      </w:r>
    </w:p>
    <w:p>
      <w:pPr>
        <w:pStyle w:val="ListParagraph"/>
        <w:numPr>
          <w:ilvl w:val="1"/>
          <w:numId w:val="3"/>
        </w:numPr>
        <w:shd w:val="clear" w:color="auto" w:fill="FFFFFF"/>
        <w:tabs>
          <w:tab w:val="clear" w:pos="708"/>
          <w:tab w:val="left" w:pos="1134" w:leader="none"/>
        </w:tabs>
        <w:ind w:left="0" w:firstLine="709"/>
        <w:jc w:val="both"/>
        <w:rPr>
          <w:bCs/>
        </w:rPr>
      </w:pPr>
      <w:bookmarkStart w:id="16" w:name="_Ref361834605"/>
      <w:r>
        <w:rPr>
          <w:bCs/>
        </w:rPr>
        <w:t>Локальные сметные расчеты подлежат согласованию Сторонами в следующем порядке:</w:t>
      </w:r>
    </w:p>
    <w:p>
      <w:pPr>
        <w:pStyle w:val="ListParagraph"/>
        <w:numPr>
          <w:ilvl w:val="2"/>
          <w:numId w:val="3"/>
        </w:numPr>
        <w:shd w:val="clear" w:color="auto" w:fill="FFFFFF"/>
        <w:tabs>
          <w:tab w:val="clear" w:pos="708"/>
          <w:tab w:val="left" w:pos="1134" w:leader="none"/>
        </w:tabs>
        <w:ind w:left="0" w:firstLine="709"/>
        <w:jc w:val="both"/>
        <w:rPr>
          <w:bCs/>
        </w:rPr>
      </w:pPr>
      <w:r>
        <w:rPr>
          <w:bCs/>
        </w:rPr>
        <w:t xml:space="preserve">Локальные сметные расчеты для выполнения Работ в рамках каждого Этапа Работ в соответствии с Рабочей документацией выдаются Заказчиком Подрядчику «в производство» по мере их составления. </w:t>
      </w:r>
    </w:p>
    <w:p>
      <w:pPr>
        <w:pStyle w:val="ListParagraph"/>
        <w:numPr>
          <w:ilvl w:val="2"/>
          <w:numId w:val="3"/>
        </w:numPr>
        <w:shd w:val="clear" w:color="auto" w:fill="FFFFFF"/>
        <w:tabs>
          <w:tab w:val="clear" w:pos="708"/>
          <w:tab w:val="left" w:pos="1134" w:leader="none"/>
        </w:tabs>
        <w:ind w:left="0" w:firstLine="709"/>
        <w:jc w:val="both"/>
        <w:rPr>
          <w:bCs/>
        </w:rPr>
      </w:pPr>
      <w:r>
        <w:rPr>
          <w:bCs/>
        </w:rPr>
        <w:t>Комплект локальных сметных расчетов на каждый Этап Работ формируется не позднее, чем за 30 (тридцать) календарных дней до даты завершения соответствующего Этапа Работ, установленного Календарным графиком выполнения Работ (Приложение № 2 к Договору) и выдается Заказчиком Подрядчику «в производство».</w:t>
      </w:r>
    </w:p>
    <w:p>
      <w:pPr>
        <w:pStyle w:val="ListParagraph"/>
        <w:numPr>
          <w:ilvl w:val="2"/>
          <w:numId w:val="3"/>
        </w:numPr>
        <w:shd w:val="clear" w:color="auto" w:fill="FFFFFF"/>
        <w:tabs>
          <w:tab w:val="clear" w:pos="708"/>
          <w:tab w:val="left" w:pos="1134" w:leader="none"/>
        </w:tabs>
        <w:ind w:left="0" w:firstLine="709"/>
        <w:jc w:val="both"/>
        <w:rPr>
          <w:bCs/>
        </w:rPr>
      </w:pPr>
      <w:r>
        <w:rPr>
          <w:bCs/>
        </w:rPr>
        <w:t xml:space="preserve">При наличии разногласий к локальным сметным расчетам/Комплекту локальных сметных расчетов на каждый Этап Работ, в течение 10 рабочих дней с момента получения, Подрядчик обязан уведомить Заказчика для урегулирования разногласий и по соответствующему письменному требованию Заказчика обязан приостановить исполнение Договора полностью или частично до момента такого согласования.  </w:t>
      </w:r>
    </w:p>
    <w:p>
      <w:pPr>
        <w:pStyle w:val="ListParagraph"/>
        <w:numPr>
          <w:ilvl w:val="2"/>
          <w:numId w:val="3"/>
        </w:numPr>
        <w:shd w:val="clear" w:color="auto" w:fill="FFFFFF"/>
        <w:tabs>
          <w:tab w:val="clear" w:pos="708"/>
          <w:tab w:val="left" w:pos="1134" w:leader="none"/>
        </w:tabs>
        <w:ind w:left="0" w:firstLine="709"/>
        <w:jc w:val="both"/>
        <w:rPr>
          <w:bCs/>
        </w:rPr>
      </w:pPr>
      <w:r>
        <w:rPr>
          <w:bCs/>
        </w:rPr>
        <w:t xml:space="preserve">После формирования Сторонами комплекта локальных сметных расчетов на соответствующий Этап Работ Стороны обязаны уточнить </w:t>
      </w:r>
      <w:r>
        <w:rPr>
          <w:bCs/>
          <w:color w:val="000000" w:themeColor="text1"/>
        </w:rPr>
        <w:t>Сводный сметный расчет</w:t>
      </w:r>
      <w:r>
        <w:rPr>
          <w:bCs/>
        </w:rPr>
        <w:t xml:space="preserve"> (Приложение № 3 к Договору) и Календарный график выполнения Работ (Приложение № 2 к Договору) путем заключения дополнительного соглашения к Договору </w:t>
      </w:r>
      <w:r>
        <w:rPr/>
        <w:t xml:space="preserve">не позднее, чем за 30 (тридцать) календарных дней до даты завершения соответствующего Этапа Работ, установленной </w:t>
      </w:r>
      <w:r>
        <w:rPr>
          <w:bCs/>
        </w:rPr>
        <w:t>Календарным графиком выполнения Работ (Приложение № 2 к Договору)</w:t>
      </w:r>
      <w:r>
        <w:rPr/>
        <w:t xml:space="preserve"> и подписания Сторонами документов, указанных в пункте 4.2. Договора.</w:t>
      </w:r>
      <w:bookmarkEnd w:id="15"/>
      <w:bookmarkEnd w:id="16"/>
    </w:p>
    <w:p>
      <w:pPr>
        <w:pStyle w:val="ListParagraph"/>
        <w:numPr>
          <w:ilvl w:val="1"/>
          <w:numId w:val="3"/>
        </w:numPr>
        <w:shd w:val="clear" w:color="auto" w:fill="FFFFFF"/>
        <w:tabs>
          <w:tab w:val="clear" w:pos="708"/>
          <w:tab w:val="left" w:pos="1134" w:leader="none"/>
        </w:tabs>
        <w:ind w:left="0" w:firstLine="709"/>
        <w:jc w:val="both"/>
        <w:rPr>
          <w:bCs/>
        </w:rPr>
      </w:pPr>
      <w:r>
        <w:rPr>
          <w:bCs/>
        </w:rPr>
        <w:t>Цена Договора включает в себя прибыль Подрядчика, а также все расходы и затраты Подрядчика на:</w:t>
      </w:r>
    </w:p>
    <w:p>
      <w:pPr>
        <w:pStyle w:val="ListParagraph"/>
        <w:numPr>
          <w:ilvl w:val="2"/>
          <w:numId w:val="3"/>
        </w:numPr>
        <w:shd w:val="clear" w:color="auto" w:fill="FFFFFF"/>
        <w:tabs>
          <w:tab w:val="clear" w:pos="708"/>
          <w:tab w:val="left" w:pos="1418" w:leader="none"/>
        </w:tabs>
        <w:ind w:left="0" w:firstLine="709"/>
        <w:jc w:val="both"/>
        <w:rPr>
          <w:bCs/>
        </w:rPr>
      </w:pPr>
      <w:r>
        <w:rPr/>
        <w:t>Поставку, разгрузку (в том числе перемещение по территории Заказчика),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pPr>
        <w:pStyle w:val="ListParagraph"/>
        <w:numPr>
          <w:ilvl w:val="2"/>
          <w:numId w:val="3"/>
        </w:numPr>
        <w:shd w:val="clear" w:color="auto" w:fill="FFFFFF"/>
        <w:tabs>
          <w:tab w:val="clear" w:pos="708"/>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3"/>
        </w:numPr>
        <w:shd w:val="clear" w:color="auto" w:fill="FFFFFF"/>
        <w:tabs>
          <w:tab w:val="clear" w:pos="708"/>
          <w:tab w:val="left" w:pos="1418" w:leader="none"/>
        </w:tabs>
        <w:ind w:left="0" w:firstLine="709"/>
        <w:jc w:val="both"/>
        <w:rPr/>
      </w:pPr>
      <w:r>
        <w:rPr/>
        <w:t xml:space="preserve">Подлежащие уплате налоги, сборы и пошлины (в том числе по таможенному оформлению Материально-технических ресурсов, если применимо). </w:t>
      </w:r>
    </w:p>
    <w:p>
      <w:pPr>
        <w:pStyle w:val="ListParagraph"/>
        <w:numPr>
          <w:ilvl w:val="2"/>
          <w:numId w:val="3"/>
        </w:numPr>
        <w:shd w:val="clear" w:color="auto" w:fill="FFFFFF"/>
        <w:tabs>
          <w:tab w:val="clear" w:pos="708"/>
          <w:tab w:val="left" w:pos="1418" w:leader="none"/>
        </w:tabs>
        <w:ind w:left="0" w:firstLine="709"/>
        <w:jc w:val="both"/>
        <w:rPr/>
      </w:pPr>
      <w:r>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3"/>
        </w:numPr>
        <w:shd w:val="clear" w:color="auto" w:fill="FFFFFF"/>
        <w:tabs>
          <w:tab w:val="clear" w:pos="708"/>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3"/>
        </w:numPr>
        <w:shd w:val="clear" w:color="auto" w:fill="FFFFFF"/>
        <w:tabs>
          <w:tab w:val="clear" w:pos="708"/>
          <w:tab w:val="left" w:pos="1134" w:leader="none"/>
        </w:tabs>
        <w:ind w:left="0" w:firstLine="709"/>
        <w:jc w:val="both"/>
        <w:rPr>
          <w:bCs/>
        </w:rPr>
      </w:pPr>
      <w:bookmarkStart w:id="17" w:name="_Ref361858588"/>
      <w:bookmarkStart w:id="18" w:name="_Ref361834675"/>
      <w:r>
        <w:rPr>
          <w:bCs/>
        </w:rPr>
        <w:t>Оплата по Договору осуществляется Заказчиком в следующем порядке:</w:t>
      </w:r>
      <w:bookmarkEnd w:id="17"/>
      <w:bookmarkEnd w:id="18"/>
      <w:r>
        <w:rPr>
          <w:bCs/>
        </w:rPr>
        <w:t xml:space="preserve"> </w:t>
      </w:r>
    </w:p>
    <w:p>
      <w:pPr>
        <w:pStyle w:val="ListParagraph"/>
        <w:numPr>
          <w:ilvl w:val="2"/>
          <w:numId w:val="3"/>
        </w:numPr>
        <w:shd w:val="clear" w:color="auto" w:fill="FFFFFF"/>
        <w:tabs>
          <w:tab w:val="clear" w:pos="708"/>
          <w:tab w:val="left" w:pos="1418" w:leader="none"/>
        </w:tabs>
        <w:ind w:left="0" w:firstLine="709"/>
        <w:jc w:val="both"/>
        <w:rPr/>
      </w:pPr>
      <w:r>
        <w:rPr>
          <w:color w:val="000000" w:themeColor="text1"/>
        </w:rPr>
        <w:t>Подрядчик</w:t>
      </w:r>
      <w:r>
        <w:rPr/>
        <w:t xml:space="preserve"> не позднее 3 (трех) рабочих дней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6 Договора.</w:t>
      </w:r>
    </w:p>
    <w:p>
      <w:pPr>
        <w:pStyle w:val="ListParagraph"/>
        <w:numPr>
          <w:ilvl w:val="2"/>
          <w:numId w:val="3"/>
        </w:numPr>
        <w:shd w:val="clear" w:color="auto" w:fill="FFFFFF"/>
        <w:tabs>
          <w:tab w:val="clear" w:pos="708"/>
          <w:tab w:val="left" w:pos="709" w:leader="none"/>
          <w:tab w:val="left" w:pos="1418" w:leader="none"/>
        </w:tabs>
        <w:ind w:left="0" w:firstLine="709"/>
        <w:jc w:val="both"/>
        <w:rPr/>
      </w:pPr>
      <w:bookmarkStart w:id="19" w:name="_Ref373242766"/>
      <w:bookmarkStart w:id="20" w:name="_Ref361834178"/>
      <w:bookmarkStart w:id="21" w:name="_Ref361335023"/>
      <w:bookmarkStart w:id="22" w:name="_Ref361335057_Копия_1"/>
      <w:bookmarkStart w:id="23" w:name="_Ref373242755_Копия_1"/>
      <w:bookmarkEnd w:id="20"/>
      <w:bookmarkEnd w:id="21"/>
      <w:bookmarkEnd w:id="22"/>
      <w:bookmarkEnd w:id="23"/>
      <w:r>
        <w:rPr/>
        <w:t xml:space="preserve">Авансовые платежи в счет стоимости каждого Этапа Работ в размере не более 30 (тридцати) процентов от стоимости соответствующего Этапа Работ (за исключением прочих затрат (командировочные, вахтовые, проживание, перебазировка), затрат Подрядчика, связанных с получением/обслуживанием Банковских гарантий, непредвиденных работ и затрат) без учета НДС, кроме того НДС по ставке, установленной статьей 164 НК РФ на дату выплаты авансового платежа, выплачиваются в течение 30 (тридцати) календарных дней с даты получения Заказчиком счета, выставленного </w:t>
      </w:r>
      <w:r>
        <w:rPr>
          <w:color w:val="000000" w:themeColor="text1"/>
        </w:rPr>
        <w:t>Подрядчиком</w:t>
      </w:r>
      <w:r>
        <w:rPr/>
        <w:t>, но не ранее 30 (тридцати) календарных дней до даты начала выполнения Этапа Работ, определенной в соответствии с Календарным графиком выполнения Работ (Приложение № 2 к Договору), и с учетом пунктов 3.5.1, 3.5.5 Договора.</w:t>
      </w:r>
      <w:bookmarkEnd w:id="19"/>
      <w:r>
        <w:rPr/>
        <w:t xml:space="preserve"> Дата счета, выставленного Подрядчиком, не может быть ранее даты предоставления Банковской гарантии возврата авансового платежа.</w:t>
      </w:r>
    </w:p>
    <w:p>
      <w:pPr>
        <w:pStyle w:val="ListParagraph"/>
        <w:shd w:val="clear" w:color="auto" w:fill="FFFFFF"/>
        <w:tabs>
          <w:tab w:val="clear" w:pos="708"/>
          <w:tab w:val="left" w:pos="851" w:leader="none"/>
          <w:tab w:val="left" w:pos="993" w:leader="none"/>
          <w:tab w:val="left" w:pos="1418" w:leader="none"/>
        </w:tabs>
        <w:ind w:left="0" w:firstLine="709"/>
        <w:jc w:val="both"/>
        <w:rPr/>
      </w:pPr>
      <w:r>
        <w:rPr/>
        <w:t>Заказчик имеет право выплачивать аванс Подрядчику частями, в таком случае остаток неотработанного (непогашенного) аванса с учетом выплачиваемой суммы аванса не должен превышать 30% (тридцати процентов) от остатка стоимости не предъявленных работ по Актам освидетельствования выполненных работ на дату такой выплаты.</w:t>
      </w:r>
    </w:p>
    <w:p>
      <w:pPr>
        <w:pStyle w:val="ListParagraph"/>
        <w:numPr>
          <w:ilvl w:val="2"/>
          <w:numId w:val="3"/>
        </w:numPr>
        <w:shd w:val="clear" w:color="auto" w:fill="FFFFFF"/>
        <w:tabs>
          <w:tab w:val="clear" w:pos="708"/>
          <w:tab w:val="left" w:pos="709" w:leader="none"/>
        </w:tabs>
        <w:ind w:left="0" w:firstLine="709"/>
        <w:jc w:val="both"/>
        <w:rPr/>
      </w:pPr>
      <w:r>
        <w:rPr/>
        <w:t xml:space="preserve">Последующие платежи в размере стоимости выполненных Работ по соответствующему Этапу Работ, указанной в Акте освидетельствования выполненных работ, без учета НДС, кроме того НДС по ставке, установленной статьей 164 НК РФ на дату платежа, за вычетом доли авансового платежа, выплаченного в соответствии с пунктом 3.5.2 Договора, выплачиваются в </w:t>
      </w:r>
      <w:r>
        <w:rPr>
          <w:shd w:fill="FFFFFF" w:val="clear"/>
        </w:rPr>
        <w:t>течение 45 (сорока пяти) календарных дней</w:t>
      </w:r>
      <w:r>
        <w:rPr>
          <w:rStyle w:val="FootnoteReference"/>
          <w:shd w:fill="FFFFFF" w:val="clear"/>
        </w:rPr>
        <w:footnoteReference w:id="3"/>
      </w:r>
      <w:r>
        <w:rPr>
          <w:shd w:fill="FFFFFF" w:val="clear"/>
        </w:rPr>
        <w:t xml:space="preserve"> / 7 (семи) рабочих дней</w:t>
      </w:r>
      <w:r>
        <w:rPr>
          <w:rStyle w:val="FootnoteReference"/>
          <w:shd w:fill="FFFFFF" w:val="clear"/>
        </w:rPr>
        <w:footnoteReference w:id="4"/>
      </w:r>
      <w:r>
        <w:rPr>
          <w:shd w:fill="FFFFFF" w:val="clear"/>
        </w:rPr>
        <w:t xml:space="preserve"> с даты подписания</w:t>
      </w:r>
      <w:r>
        <w:rPr/>
        <w:t xml:space="preserve"> Сторонами документов, указанных в пункте 4.1 Договора, на основании счета, выставленного </w:t>
      </w:r>
      <w:r>
        <w:rPr>
          <w:color w:val="000000" w:themeColor="text1"/>
        </w:rPr>
        <w:t>Подрядчиком</w:t>
      </w:r>
      <w:r>
        <w:rPr/>
        <w:t xml:space="preserve">, с учетом пунктов 3.5.5, 3.5.6 Договора. </w:t>
      </w:r>
    </w:p>
    <w:p>
      <w:pPr>
        <w:pStyle w:val="ListParagraph"/>
        <w:shd w:val="clear" w:color="auto" w:fill="FFFFFF"/>
        <w:tabs>
          <w:tab w:val="clear" w:pos="708"/>
          <w:tab w:val="left" w:pos="709" w:leader="none"/>
        </w:tabs>
        <w:ind w:left="0" w:firstLine="709"/>
        <w:jc w:val="both"/>
        <w:rPr/>
      </w:pPr>
      <w:r>
        <w:rPr/>
        <w:t>Доля авансового платежа, предназначающаяся к вычету, определяется как отношение суммы неотработанного аванса по Этапу Работ, уплаченного в соответствии с пунктом 3.5.2 Договора, к остатку стоимости не принятых работ по Актам освидетельствования выполненных работ по данному Этапу Работ на дату подписания</w:t>
      </w:r>
      <w:r>
        <w:rPr>
          <w:color w:val="000000" w:themeColor="text1"/>
        </w:rPr>
        <w:t xml:space="preserve"> Сторонами</w:t>
      </w:r>
      <w:r>
        <w:rPr/>
        <w:t xml:space="preserve"> Актов освидетельствования выполненных работ.</w:t>
      </w:r>
    </w:p>
    <w:p>
      <w:pPr>
        <w:pStyle w:val="ListParagraph"/>
        <w:shd w:val="clear" w:color="auto" w:fill="FFFFFF"/>
        <w:tabs>
          <w:tab w:val="clear" w:pos="708"/>
          <w:tab w:val="left" w:pos="1418" w:leader="none"/>
        </w:tabs>
        <w:ind w:left="0" w:firstLine="709"/>
        <w:jc w:val="both"/>
        <w:rPr/>
      </w:pPr>
      <w:r>
        <w:rPr/>
        <w:t>Платеж, совершаемый на основании документа, указанного в пункте 4.1 Договора (Акт освидетельствования выполненных работ) по соответствующему Этапу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pPr>
        <w:pStyle w:val="ListParagraph"/>
        <w:numPr>
          <w:ilvl w:val="2"/>
          <w:numId w:val="3"/>
        </w:numPr>
        <w:shd w:val="clear" w:color="auto" w:fill="FFFFFF"/>
        <w:tabs>
          <w:tab w:val="clear" w:pos="708"/>
          <w:tab w:val="left" w:pos="709" w:leader="none"/>
        </w:tabs>
        <w:ind w:left="0" w:firstLine="709"/>
        <w:jc w:val="both"/>
        <w:rPr/>
      </w:pPr>
      <w:r>
        <w:rPr/>
        <w:t>Окончательный расчет по Этапу Работ производится в следующем порядке:</w:t>
      </w:r>
    </w:p>
    <w:p>
      <w:pPr>
        <w:pStyle w:val="ListParagraph"/>
        <w:numPr>
          <w:ilvl w:val="3"/>
          <w:numId w:val="3"/>
        </w:numPr>
        <w:shd w:val="clear" w:color="auto" w:fill="FFFFFF"/>
        <w:tabs>
          <w:tab w:val="clear" w:pos="708"/>
          <w:tab w:val="left" w:pos="1560" w:leader="none"/>
        </w:tabs>
        <w:ind w:left="0" w:firstLine="709"/>
        <w:jc w:val="both"/>
        <w:rPr/>
      </w:pPr>
      <w:r>
        <w:rPr/>
        <w:t>Если стоимость Этапа Работ, определенная с учетом НДС по ставке, установленной статьей 164 НК РФ на дату подписания Сторонами документов, указанных в пункте 4.2 Договора, будет превышать сумму авансовых платежей, ранее уплаченных Заказчиком в соответствии с пунктами 3.5.2, 3.5.3 Договора, соответствующая разница выплачивается в течение 45 (сорока пяти) календарных дней</w:t>
      </w:r>
      <w:r>
        <w:rPr>
          <w:rStyle w:val="FootnoteReference"/>
        </w:rPr>
        <w:footnoteReference w:id="5"/>
      </w:r>
      <w:r>
        <w:rPr/>
        <w:t xml:space="preserve"> / 7 (семи) рабочих дней</w:t>
      </w:r>
      <w:r>
        <w:rPr>
          <w:rStyle w:val="FootnoteReference"/>
        </w:rPr>
        <w:footnoteReference w:id="6"/>
      </w:r>
      <w:r>
        <w:rPr/>
        <w:t xml:space="preserve"> с даты подписания Сторонами документов, указанных в пункте 4.2 Договора, на основании счета, выставленного </w:t>
      </w:r>
      <w:r>
        <w:rPr>
          <w:color w:val="000000" w:themeColor="text1"/>
        </w:rPr>
        <w:t>Подрядчиком</w:t>
      </w:r>
      <w:r>
        <w:rPr/>
        <w:t>, и с учетом пунктов 3.5.5, 3.5.6 Договора.</w:t>
      </w:r>
    </w:p>
    <w:p>
      <w:pPr>
        <w:pStyle w:val="ListParagraph"/>
        <w:numPr>
          <w:ilvl w:val="3"/>
          <w:numId w:val="3"/>
        </w:numPr>
        <w:shd w:val="clear" w:color="auto" w:fill="FFFFFF"/>
        <w:tabs>
          <w:tab w:val="clear" w:pos="708"/>
          <w:tab w:val="left" w:pos="1418" w:leader="none"/>
          <w:tab w:val="left" w:pos="1560" w:leader="none"/>
        </w:tabs>
        <w:ind w:left="0" w:firstLine="709"/>
        <w:jc w:val="both"/>
        <w:rPr/>
      </w:pPr>
      <w:r>
        <w:rPr/>
        <w:t xml:space="preserve">Если стоимость Этапа Работ, определенная с учетом НДС по ставке, установленной статьей 164 НК РФ на дату подписания Сторонами документов, указанных в пункте 4.2 Договора, будет менее суммы авансовых платежей, ранее уплаченных Заказчиком в соответствии с пунктами 3.5.2, 3.5.3 Договора, соответствующая разница, определенная в том числе с учетом пункта 3.5.6 Договора, подлежит зачету в счет следующего платежа, причитающегося Подрядчику по Договору, либо возврату </w:t>
      </w:r>
      <w:r>
        <w:rPr>
          <w:color w:val="000000" w:themeColor="text1"/>
        </w:rPr>
        <w:t>Подрядчиком</w:t>
      </w:r>
      <w:r>
        <w:rPr/>
        <w:t xml:space="preserve"> или зачету на иных условиях, определяемых отдельным соглашением Сторон. </w:t>
      </w:r>
    </w:p>
    <w:p>
      <w:pPr>
        <w:pStyle w:val="ListParagraph"/>
        <w:numPr>
          <w:ilvl w:val="2"/>
          <w:numId w:val="3"/>
        </w:numPr>
        <w:shd w:val="clear" w:color="auto" w:fill="FFFFFF"/>
        <w:tabs>
          <w:tab w:val="clear" w:pos="708"/>
          <w:tab w:val="left" w:pos="1418" w:leader="none"/>
        </w:tabs>
        <w:ind w:left="0" w:firstLine="709"/>
        <w:jc w:val="both"/>
        <w:rPr/>
      </w:pPr>
      <w:r>
        <w:rPr/>
        <w:t xml:space="preserve">В случае выставления </w:t>
      </w:r>
      <w:r>
        <w:rPr>
          <w:color w:val="000000" w:themeColor="text1"/>
        </w:rPr>
        <w:t>Подрядчиком</w:t>
      </w:r>
      <w:r>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w:t>
      </w:r>
      <w:r>
        <w:rPr>
          <w:color w:val="000000" w:themeColor="text1"/>
        </w:rPr>
        <w:t>Подрядчиком</w:t>
      </w:r>
      <w:r>
        <w:rPr/>
        <w:t xml:space="preserve"> независимо от его фактического вручения Заказчику. В случае выставления </w:t>
      </w:r>
      <w:r>
        <w:rPr>
          <w:color w:val="000000" w:themeColor="text1"/>
        </w:rPr>
        <w:t>Подрядчиком</w:t>
      </w:r>
      <w:r>
        <w:rPr/>
        <w:t xml:space="preserve">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3"/>
        </w:numPr>
        <w:shd w:val="clear" w:color="auto" w:fill="FFFFFF"/>
        <w:tabs>
          <w:tab w:val="clear" w:pos="708"/>
          <w:tab w:val="left" w:pos="709" w:leader="none"/>
          <w:tab w:val="left" w:pos="1418" w:leader="none"/>
        </w:tabs>
        <w:ind w:left="0" w:firstLine="709"/>
        <w:jc w:val="both"/>
        <w:rPr/>
      </w:pPr>
      <w:r>
        <w:rPr>
          <w:color w:val="000000" w:themeColor="text1"/>
        </w:rPr>
        <w:t>Подрядчик</w:t>
      </w:r>
      <w:r>
        <w:rPr/>
        <w:t xml:space="preserve"> обязан в течение 30 (тридцати) календарных дней с даты, следующей за датой начала выполнения Работ, указанной в пункте 1.5.1 Договора, предоставить Заказчику Банковскую гарантию надлежащего исполнения обязательств по Договору, соответствующую требованиям, установленным разделом 6 Договора и </w:t>
      </w:r>
      <w:r>
        <w:rPr>
          <w:color w:val="000000" w:themeColor="text1"/>
        </w:rPr>
        <w:t>предварительно согласованную с Заказчиком. Сумма Банковской гарантии надлежащего исполнения обязательств по Договору может быть уменьшена до 5 (пяти) процентов от Цены Договора не ранее 70 (семидесяти) календарных дней с даты подписания Сторонами Акта КС-11.</w:t>
      </w:r>
    </w:p>
    <w:p>
      <w:pPr>
        <w:pStyle w:val="Normal"/>
        <w:shd w:val="clear" w:color="auto" w:fill="FFFFFF"/>
        <w:tabs>
          <w:tab w:val="clear" w:pos="708"/>
          <w:tab w:val="left" w:pos="709" w:leader="none"/>
          <w:tab w:val="left" w:pos="1418" w:leader="none"/>
        </w:tabs>
        <w:spacing w:lineRule="auto" w:line="240"/>
        <w:ind w:firstLine="709"/>
        <w:rPr>
          <w:sz w:val="24"/>
          <w:szCs w:val="24"/>
        </w:rPr>
      </w:pPr>
      <w:r>
        <w:rPr>
          <w:sz w:val="24"/>
          <w:szCs w:val="24"/>
        </w:rPr>
        <w:t>В случае невыполнения данного обязательства и при отсутствии соглашения Сторон об ином Заказчик вправе удерживать 10 (десять) процентов от стоимости Этапа Работ за исключением прочих затрат (командировочные, вахтовые, проживание, перебазировка), затрат Подрядчика, связанных с получением/обслуживанием Банковских гарантий и непредвиденных работ и затрат) при каждом платеже, выплачиваемом Заказчиком Подрядчику в порядке, размерах и сроки, установленные пунктами 3.5.3, 3.5.4, 3.8, 3.9 Договора в качестве Обеспечительного платежа. При этом в счетах на оплату, выставленных Подрядчиком, должна быть отдельно выделена сумма Обеспечительного платежа.</w:t>
      </w:r>
    </w:p>
    <w:p>
      <w:pPr>
        <w:pStyle w:val="ListParagraph"/>
        <w:shd w:val="clear" w:color="auto" w:fill="FFFFFF"/>
        <w:tabs>
          <w:tab w:val="clear" w:pos="708"/>
          <w:tab w:val="left" w:pos="1276" w:leader="none"/>
          <w:tab w:val="left" w:pos="1418" w:leader="none"/>
        </w:tabs>
        <w:ind w:left="0" w:firstLine="709"/>
        <w:jc w:val="both"/>
        <w:rPr/>
      </w:pPr>
      <w:r>
        <w:rPr/>
        <w:t xml:space="preserve">В период действия Договора </w:t>
      </w:r>
      <w:r>
        <w:rPr>
          <w:color w:val="000000" w:themeColor="text1"/>
        </w:rPr>
        <w:t>Подрядчик</w:t>
      </w:r>
      <w:r>
        <w:rPr/>
        <w:t xml:space="preserve"> вправе предоставить Заказчику Банковскую гарантию в обеспечение надлежащего исполнения обязательств по Договору, отвечающую требованиям, указанным в разделе 6 Договора. В течение 30 (тридцати) календарных дней после принятия Заказчиком Банковской гарантии надлежащего исполнения обязательств по Договору, </w:t>
      </w:r>
      <w:r>
        <w:rPr>
          <w:color w:val="000000" w:themeColor="text1"/>
        </w:rPr>
        <w:t>Подрядчику</w:t>
      </w:r>
      <w:r>
        <w:rPr/>
        <w:t xml:space="preserve"> выплачивается часть Обеспечительного платежа, фактически удержанная Заказчиком на дату предоставления Банковской гарантии надлежащего исполнения обязательств по Договору, на основании счета, выставленного </w:t>
      </w:r>
      <w:r>
        <w:rPr>
          <w:color w:val="000000" w:themeColor="text1"/>
        </w:rPr>
        <w:t>Подрядчиком</w:t>
      </w:r>
      <w:r>
        <w:rPr/>
        <w:t>.</w:t>
      </w:r>
    </w:p>
    <w:p>
      <w:pPr>
        <w:pStyle w:val="ListParagraph"/>
        <w:shd w:val="clear" w:color="auto" w:fill="FFFFFF"/>
        <w:tabs>
          <w:tab w:val="clear" w:pos="708"/>
          <w:tab w:val="left" w:pos="1276" w:leader="none"/>
          <w:tab w:val="left" w:pos="1418" w:leader="none"/>
        </w:tabs>
        <w:ind w:left="0" w:firstLine="709"/>
        <w:jc w:val="both"/>
        <w:rPr>
          <w:color w:val="000000" w:themeColor="text1"/>
        </w:rPr>
      </w:pPr>
      <w:r>
        <w:rPr>
          <w:color w:val="000000" w:themeColor="text1"/>
        </w:rPr>
        <w:t>При отсутствии претензий и требований со стороны Заказчика выплата Обеспечительного платежа производится Заказчиком Подрядчику в следующих размере, порядке и сроки:</w:t>
      </w:r>
    </w:p>
    <w:p>
      <w:pPr>
        <w:pStyle w:val="ListParagraph"/>
        <w:shd w:val="clear" w:color="auto" w:fill="FFFFFF"/>
        <w:tabs>
          <w:tab w:val="clear" w:pos="708"/>
          <w:tab w:val="left" w:pos="1276" w:leader="none"/>
          <w:tab w:val="left" w:pos="1418" w:leader="none"/>
        </w:tabs>
        <w:ind w:left="0" w:firstLine="709"/>
        <w:jc w:val="both"/>
        <w:rPr/>
      </w:pPr>
      <w:r>
        <w:rPr/>
        <w:t xml:space="preserve">- 50 (пятьдесят) процентов от аккумулированного Обеспечительного платежа - в </w:t>
      </w:r>
      <w:r>
        <w:rPr>
          <w:shd w:fill="FFFFFF" w:val="clear"/>
        </w:rPr>
        <w:t>течение 30 (тридцати) календарных дней / 7 (семи) рабочих дней</w:t>
      </w:r>
      <w:r>
        <w:rPr>
          <w:rStyle w:val="FootnoteReference"/>
          <w:shd w:fill="FFFFFF" w:val="clear"/>
        </w:rPr>
        <w:footnoteReference w:id="7"/>
      </w:r>
      <w:r>
        <w:rPr>
          <w:shd w:fill="FFFFFF" w:val="clear"/>
        </w:rPr>
        <w:t xml:space="preserve"> с даты</w:t>
      </w:r>
      <w:r>
        <w:rPr/>
        <w:t xml:space="preserve"> получения Заказчиком счета, выставленного </w:t>
      </w:r>
      <w:r>
        <w:rPr>
          <w:color w:val="000000" w:themeColor="text1"/>
        </w:rPr>
        <w:t>Подрядчиком</w:t>
      </w:r>
      <w:r>
        <w:rPr/>
        <w:t>, но не ранее 70 (семидесяти) календарных дней с даты подписания Сторонами Акта КС-11;</w:t>
      </w:r>
    </w:p>
    <w:p>
      <w:pPr>
        <w:pStyle w:val="ListParagraph"/>
        <w:shd w:val="clear" w:color="auto" w:fill="FFFFFF"/>
        <w:tabs>
          <w:tab w:val="clear" w:pos="708"/>
          <w:tab w:val="left" w:pos="1276" w:leader="none"/>
          <w:tab w:val="left" w:pos="1418" w:leader="none"/>
        </w:tabs>
        <w:ind w:left="0" w:firstLine="709"/>
        <w:jc w:val="both"/>
        <w:rPr/>
      </w:pPr>
      <w:r>
        <w:rPr/>
        <w:t>- 50 (пятьдесят) процентов от аккумулированного Обеспечительного платежа - в течение 30 (тридцати) календарных дней / 7 (семи) рабочих дней</w:t>
      </w:r>
      <w:r>
        <w:rPr>
          <w:rStyle w:val="FootnoteReference"/>
        </w:rPr>
        <w:footnoteReference w:id="8"/>
      </w:r>
      <w:r>
        <w:rPr/>
        <w:t xml:space="preserve">с даты получения Заказчиком счета, выставленного </w:t>
      </w:r>
      <w:r>
        <w:rPr>
          <w:color w:val="000000" w:themeColor="text1"/>
        </w:rPr>
        <w:t>Подрядчиком</w:t>
      </w:r>
      <w:r>
        <w:rPr/>
        <w:t>, но не ранее 70 (семидесяти) календарных дней с даты окончания установленного Договором Гарантийного срока по Договору в соответствии с разделом 8 Договора.</w:t>
      </w:r>
    </w:p>
    <w:p>
      <w:pPr>
        <w:pStyle w:val="ListParagraph"/>
        <w:shd w:val="clear" w:color="auto" w:fill="FFFFFF"/>
        <w:tabs>
          <w:tab w:val="clear" w:pos="708"/>
          <w:tab w:val="left" w:pos="1276" w:leader="none"/>
          <w:tab w:val="left" w:pos="1418" w:leader="none"/>
        </w:tabs>
        <w:ind w:left="0" w:firstLine="567"/>
        <w:jc w:val="both"/>
        <w:rPr/>
      </w:pPr>
      <w:r>
        <w:rPr/>
        <w:t>После подписания Сторонами Акта КС-11 Подрядчик вправе предоставить Заказчику Банковскую гарантию в обеспечение исполнения гарантийных обязательств, отвечающую требованиям, указанным в разделе 6 Договора и сроком действия до окончания установленного Договором Гарантийного срока на Результат Работ, увеличенного на 70 (семьдесят) календарных дней. В течение 30 (тридцати) календарных дней после принятия Заказчиком Банковской гарантии в обеспечение исполнения гарантийных обязательств Подрядчику выплачивается невыплаченная часть Обеспечительного платежа на основании счета, выставленного Подрядчиком, но не ранее 70 (семидесяти) календарных дней с даты подписания Сторонами Акта КС-11.</w:t>
      </w:r>
    </w:p>
    <w:p>
      <w:pPr>
        <w:pStyle w:val="ListParagraph"/>
        <w:shd w:val="clear" w:color="auto" w:fill="FFFFFF"/>
        <w:tabs>
          <w:tab w:val="clear" w:pos="708"/>
          <w:tab w:val="left" w:pos="1276" w:leader="none"/>
          <w:tab w:val="left" w:pos="1418" w:leader="none"/>
        </w:tabs>
        <w:ind w:left="0" w:firstLine="709"/>
        <w:jc w:val="both"/>
        <w:rPr/>
      </w:pPr>
      <w:r>
        <w:rPr/>
        <w:t xml:space="preserve">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окончания Гарантийного срока на Результат Работ в случае, если иное не установлено Сторонами в соответствующем соглашении о расторжении Договора. </w:t>
      </w:r>
    </w:p>
    <w:p>
      <w:pPr>
        <w:pStyle w:val="ListParagraph"/>
        <w:shd w:val="clear" w:color="auto" w:fill="FFFFFF"/>
        <w:tabs>
          <w:tab w:val="clear" w:pos="708"/>
          <w:tab w:val="left" w:pos="1276" w:leader="none"/>
          <w:tab w:val="left" w:pos="1418" w:leader="none"/>
        </w:tabs>
        <w:ind w:left="0" w:firstLine="709"/>
        <w:jc w:val="both"/>
        <w:rPr/>
      </w:pPr>
      <w:r>
        <w:rPr/>
        <w:t xml:space="preserve">Любое требование </w:t>
      </w:r>
      <w:r>
        <w:rPr>
          <w:color w:val="000000" w:themeColor="text1"/>
        </w:rPr>
        <w:t>Подрядчик</w:t>
      </w:r>
      <w:r>
        <w:rPr/>
        <w:t xml:space="preserve"> о выплате Обеспечительного платежа до наступления установленного Договором срока не подлежит удовлетворению.</w:t>
      </w:r>
    </w:p>
    <w:p>
      <w:pPr>
        <w:pStyle w:val="ListParagraph"/>
        <w:numPr>
          <w:ilvl w:val="2"/>
          <w:numId w:val="3"/>
        </w:numPr>
        <w:shd w:val="clear" w:color="auto" w:fill="FFFFFF"/>
        <w:tabs>
          <w:tab w:val="clear" w:pos="708"/>
          <w:tab w:val="left" w:pos="1418" w:leader="none"/>
        </w:tabs>
        <w:ind w:left="0" w:firstLine="709"/>
        <w:jc w:val="both"/>
        <w:rPr>
          <w:bCs/>
        </w:rPr>
      </w:pPr>
      <w:bookmarkStart w:id="24" w:name="_Ref373242894"/>
      <w:bookmarkStart w:id="25" w:name="_Ref361834178_Копия_1"/>
      <w:bookmarkEnd w:id="25"/>
      <w:r>
        <w:rPr>
          <w:bCs/>
        </w:rPr>
        <w:t xml:space="preserve">Заказчик вправе не выплачивать предварительную оплату (аванс), отказаться от Договора в одностороннем внесудебном порядке и предъявить требование о возмещении убытков в случае, если </w:t>
      </w:r>
      <w:r>
        <w:rPr>
          <w:bCs/>
          <w:color w:val="000000" w:themeColor="text1"/>
        </w:rPr>
        <w:t>Подрядчик</w:t>
      </w:r>
      <w:r>
        <w:rPr>
          <w:bCs/>
        </w:rPr>
        <w:t xml:space="preserve"> не </w:t>
      </w:r>
      <w:r>
        <w:rPr/>
        <w:t>предоставил</w:t>
      </w:r>
      <w:r>
        <w:rPr>
          <w:bCs/>
        </w:rPr>
        <w:t xml:space="preserve"> Банковскую гарантию возврата авансового платежа в срок, установленный пунктом 3.5.1 Договора, и при этом не приступил к исполнению обязательств по Договору.</w:t>
      </w:r>
      <w:bookmarkEnd w:id="24"/>
      <w:r>
        <w:rPr>
          <w:bCs/>
        </w:rPr>
        <w:t xml:space="preserve"> </w:t>
      </w:r>
    </w:p>
    <w:p>
      <w:pPr>
        <w:pStyle w:val="ListParagraph"/>
        <w:numPr>
          <w:ilvl w:val="1"/>
          <w:numId w:val="3"/>
        </w:numPr>
        <w:shd w:val="clear" w:color="auto" w:fill="FFFFFF"/>
        <w:tabs>
          <w:tab w:val="clear" w:pos="708"/>
          <w:tab w:val="left" w:pos="1134" w:leader="none"/>
        </w:tabs>
        <w:ind w:left="0" w:firstLine="709"/>
        <w:jc w:val="both"/>
        <w:rPr>
          <w:bCs/>
        </w:rPr>
      </w:pPr>
      <w:r>
        <w:rPr>
          <w:bCs/>
        </w:rPr>
        <w:t xml:space="preserve">Расчеты по Договору осуществляются в валюте Российской Федерации. </w:t>
      </w:r>
      <w:r>
        <w:rPr/>
        <w:t xml:space="preserve">Оплата производится Заказчиком путем перечисления денежных средств на ОБС </w:t>
      </w:r>
      <w:r>
        <w:rPr>
          <w:bCs/>
          <w:color w:val="000000" w:themeColor="text1"/>
        </w:rPr>
        <w:t>Подрядчика</w:t>
      </w:r>
      <w:r>
        <w:rPr/>
        <w:t>.</w:t>
      </w:r>
      <w:r>
        <w:rPr>
          <w:bCs/>
        </w:rPr>
        <w:t xml:space="preserve"> По предварительному письменному согласованию с Заказчиком об осуществлении расчетов по Договору не на ОБС</w:t>
      </w:r>
      <w:r>
        <w:rPr/>
        <w:t xml:space="preserve"> </w:t>
      </w:r>
      <w:r>
        <w:rPr>
          <w:bCs/>
        </w:rPr>
        <w:t xml:space="preserve">оплата может производиться на расчетный счет Подрядчика, указанный в разделе 18 Договора. </w:t>
      </w:r>
      <w:r>
        <w:rPr/>
        <w:t>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3"/>
        </w:numPr>
        <w:shd w:val="clear" w:color="auto" w:fill="FFFFFF"/>
        <w:tabs>
          <w:tab w:val="clear" w:pos="708"/>
          <w:tab w:val="left" w:pos="1134" w:leader="none"/>
        </w:tabs>
        <w:ind w:left="0" w:firstLine="709"/>
        <w:jc w:val="both"/>
        <w:rPr/>
      </w:pPr>
      <w:r>
        <w:rPr>
          <w:bCs/>
        </w:rPr>
        <w:t>Компенсация</w:t>
      </w:r>
      <w:r>
        <w:rPr/>
        <w:t xml:space="preserve"> прочих затрат (командировочные, вахтовые, проживание, перебазировка, </w:t>
      </w:r>
      <w:r>
        <w:rPr>
          <w:bCs/>
          <w:color w:val="000000" w:themeColor="text1"/>
        </w:rPr>
        <w:t>снегоборьба</w:t>
      </w:r>
      <w:r>
        <w:rPr/>
        <w:t xml:space="preserve">) либо части перечисленных затрат, производится в размере 100 (ста) процентов по мере факта возникновения таковых на основании предварительно согласованного Заказчиком расчета и заверенных </w:t>
      </w:r>
      <w:r>
        <w:rPr>
          <w:bCs/>
          <w:color w:val="000000" w:themeColor="text1"/>
        </w:rPr>
        <w:t>Подрядчиком</w:t>
      </w:r>
      <w:r>
        <w:rPr/>
        <w:t xml:space="preserve"> копий документов, подтверждающих фактические затраты в рамках лимита, предусмотренного </w:t>
      </w:r>
      <w:r>
        <w:rPr>
          <w:bCs/>
          <w:color w:val="000000" w:themeColor="text1"/>
        </w:rPr>
        <w:t xml:space="preserve">Сводным сметным расчетом </w:t>
      </w:r>
      <w:r>
        <w:rPr/>
        <w:t xml:space="preserve">(Приложение № 3 к Договору) и включаются в </w:t>
      </w:r>
      <w:r>
        <w:rPr>
          <w:bCs/>
        </w:rPr>
        <w:t>Акты КС-2 и Справки КС-3. Оплата прочих затрат производится</w:t>
      </w:r>
      <w:r>
        <w:rPr/>
        <w:t xml:space="preserve"> в течение 45 (сорока пяти) календарных дней</w:t>
      </w:r>
      <w:r>
        <w:rPr>
          <w:rStyle w:val="FootnoteReference"/>
        </w:rPr>
        <w:footnoteReference w:id="9"/>
      </w:r>
      <w:r>
        <w:rPr/>
        <w:t xml:space="preserve"> / 7 (семи) рабочих дней</w:t>
      </w:r>
      <w:r>
        <w:rPr>
          <w:rStyle w:val="FootnoteReference"/>
        </w:rPr>
        <w:footnoteReference w:id="10"/>
      </w:r>
      <w:r>
        <w:rPr/>
        <w:t xml:space="preserve"> с даты подписания Актов </w:t>
      </w:r>
      <w:r>
        <w:rPr>
          <w:bCs/>
        </w:rPr>
        <w:t>КС-2 и Справки КС-3</w:t>
      </w:r>
      <w:r>
        <w:rPr/>
        <w:t xml:space="preserve"> на основании счета, выставленного </w:t>
      </w:r>
      <w:r>
        <w:rPr>
          <w:bCs/>
          <w:color w:val="000000" w:themeColor="text1"/>
        </w:rPr>
        <w:t>Подрядчиком</w:t>
      </w:r>
      <w:r>
        <w:rPr/>
        <w:t>, с учетом пункта 3.5.5 Договора.</w:t>
      </w:r>
      <w:r>
        <w:rPr>
          <w:bCs/>
          <w:color w:val="000000" w:themeColor="text1"/>
        </w:rPr>
        <w:t xml:space="preserve"> Фактические затраты на перебазировку определяются расчетом на основании приказа Минстроя от 13.12.2021 № 916/пр. </w:t>
      </w:r>
    </w:p>
    <w:p>
      <w:pPr>
        <w:pStyle w:val="ListParagraph"/>
        <w:numPr>
          <w:ilvl w:val="1"/>
          <w:numId w:val="3"/>
        </w:numPr>
        <w:shd w:val="clear" w:color="auto" w:fill="FFFFFF"/>
        <w:tabs>
          <w:tab w:val="clear" w:pos="708"/>
          <w:tab w:val="left" w:pos="1134" w:leader="none"/>
        </w:tabs>
        <w:ind w:left="0" w:firstLine="709"/>
        <w:jc w:val="both"/>
        <w:rPr/>
      </w:pPr>
      <w:r>
        <w:rPr/>
        <w:t>Затраты</w:t>
      </w:r>
      <w:r>
        <w:rPr>
          <w:bCs/>
        </w:rPr>
        <w:t xml:space="preserve"> на временные здания и сооружения включены в предельную цену Работ в соответствии со </w:t>
      </w:r>
      <w:r>
        <w:rPr>
          <w:bCs/>
          <w:color w:val="000000" w:themeColor="text1"/>
        </w:rPr>
        <w:t xml:space="preserve">Сводным сметным расчетом </w:t>
      </w:r>
      <w:r>
        <w:rPr>
          <w:bCs/>
        </w:rPr>
        <w:t xml:space="preserve">(Приложение № 3 к Договору) и рассчитываются в процентном соотношении от суммы выполненных работ и </w:t>
      </w:r>
      <w:r>
        <w:rPr/>
        <w:t xml:space="preserve">включаются в Акты освидетельствования выполненных работ, </w:t>
      </w:r>
      <w:r>
        <w:rPr>
          <w:bCs/>
        </w:rPr>
        <w:t>Акты КС-2 и Справки КС-3. Оплата затрат на временные здания и сооружения производится Заказчиком в порядке, установленном Договором для оплаты выполненных Работ.</w:t>
      </w:r>
    </w:p>
    <w:p>
      <w:pPr>
        <w:pStyle w:val="ListParagraph"/>
        <w:numPr>
          <w:ilvl w:val="1"/>
          <w:numId w:val="3"/>
        </w:numPr>
        <w:shd w:val="clear" w:color="auto" w:fill="FFFFFF"/>
        <w:tabs>
          <w:tab w:val="clear" w:pos="708"/>
          <w:tab w:val="left" w:pos="1134" w:leader="none"/>
        </w:tabs>
        <w:ind w:left="0" w:firstLine="709"/>
        <w:jc w:val="both"/>
        <w:rPr/>
      </w:pPr>
      <w:r>
        <w:rPr/>
        <w:t xml:space="preserve">Компенсация непредвиденных работ и затрат производится за фактически выполненные работы. Объём работ, выполняемый Подрядчиком, должен быть предварительно согласован с Заказчиком и выполняться на основании утвержденных Заказчиком локальных сметных расчётов, в рамках лимита на непредвиденные работы и затраты, предусмотренного </w:t>
      </w:r>
      <w:r>
        <w:rPr>
          <w:bCs/>
          <w:color w:val="000000" w:themeColor="text1"/>
        </w:rPr>
        <w:t xml:space="preserve">Сводным сметным расчетом </w:t>
      </w:r>
      <w:r>
        <w:rPr/>
        <w:t xml:space="preserve">(Приложение № 3 к Договору). Освидетельствование выполненного объёма работ производится по мере факта возникновения таковых при подписании Заказчиком и Подрядчиком Актов КС-2 и Справки КС-3. Оплата непредвиденных работ и затрат </w:t>
      </w:r>
      <w:r>
        <w:rPr>
          <w:bCs/>
        </w:rPr>
        <w:t>производится</w:t>
      </w:r>
      <w:r>
        <w:rPr/>
        <w:t xml:space="preserve"> в течение 45 (сорока пяти) календарных дней</w:t>
      </w:r>
      <w:r>
        <w:rPr>
          <w:rStyle w:val="FootnoteReference"/>
        </w:rPr>
        <w:footnoteReference w:id="11"/>
      </w:r>
      <w:r>
        <w:rPr/>
        <w:t xml:space="preserve"> / 7 (семи) рабочих дней</w:t>
      </w:r>
      <w:r>
        <w:rPr>
          <w:rStyle w:val="FootnoteReference"/>
        </w:rPr>
        <w:footnoteReference w:id="12"/>
      </w:r>
      <w:r>
        <w:rPr/>
        <w:t xml:space="preserve"> с даты подписания Актов </w:t>
      </w:r>
      <w:r>
        <w:rPr>
          <w:bCs/>
        </w:rPr>
        <w:t xml:space="preserve">КС-2 </w:t>
      </w:r>
      <w:r>
        <w:rPr/>
        <w:t xml:space="preserve">и Справки КС-3 на основании счета, выставленного </w:t>
      </w:r>
      <w:r>
        <w:rPr>
          <w:color w:val="000000" w:themeColor="text1"/>
        </w:rPr>
        <w:t>Подрядчиком</w:t>
      </w:r>
      <w:r>
        <w:rPr/>
        <w:t>, с учетом пунктов 3.5.5, 3.5.6 Договора.</w:t>
      </w:r>
    </w:p>
    <w:p>
      <w:pPr>
        <w:pStyle w:val="ListParagraph"/>
        <w:numPr>
          <w:ilvl w:val="1"/>
          <w:numId w:val="3"/>
        </w:numPr>
        <w:shd w:val="clear" w:color="auto" w:fill="FFFFFF"/>
        <w:tabs>
          <w:tab w:val="clear" w:pos="708"/>
          <w:tab w:val="left" w:pos="1134" w:leader="none"/>
        </w:tabs>
        <w:ind w:left="0" w:firstLine="709"/>
        <w:jc w:val="both"/>
        <w:rPr/>
      </w:pPr>
      <w:r>
        <w:rPr/>
        <w:t xml:space="preserve">За исключением случая, указанного в пункте 2.3.21 Договора, </w:t>
      </w:r>
      <w:r>
        <w:rPr>
          <w:bCs/>
        </w:rPr>
        <w:t xml:space="preserve">любое превышение фактических </w:t>
      </w:r>
      <w:r>
        <w:rPr/>
        <w:t>объемов</w:t>
      </w:r>
      <w:r>
        <w:rPr>
          <w:bCs/>
        </w:rPr>
        <w:t xml:space="preserve"> Работ над объемами Работ, предусмотренными Договором, к оплате Заказчиком не принимается и считается включенным в Цену Договора.</w:t>
      </w:r>
    </w:p>
    <w:p>
      <w:pPr>
        <w:pStyle w:val="ListParagraph"/>
        <w:numPr>
          <w:ilvl w:val="1"/>
          <w:numId w:val="3"/>
        </w:numPr>
        <w:shd w:val="clear" w:color="auto" w:fill="FFFFFF"/>
        <w:tabs>
          <w:tab w:val="clear" w:pos="708"/>
          <w:tab w:val="left" w:pos="1134" w:leader="none"/>
        </w:tabs>
        <w:ind w:left="0" w:firstLine="709"/>
        <w:jc w:val="both"/>
        <w:rPr/>
      </w:pPr>
      <w:bookmarkStart w:id="26" w:name="_Ref361834251"/>
      <w:bookmarkStart w:id="27" w:name="_Ref361335023_Копия_1"/>
      <w:bookmarkEnd w:id="26"/>
      <w:bookmarkEnd w:id="27"/>
      <w:r>
        <w:rPr/>
        <w:t xml:space="preserve">Индексация Цены Договора не допускается. </w:t>
      </w:r>
    </w:p>
    <w:p>
      <w:pPr>
        <w:pStyle w:val="ListParagraph"/>
        <w:numPr>
          <w:ilvl w:val="1"/>
          <w:numId w:val="3"/>
        </w:numPr>
        <w:shd w:val="clear" w:color="auto" w:fill="FFFFFF"/>
        <w:tabs>
          <w:tab w:val="clear" w:pos="708"/>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Подрядчику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недостатков выполненных Подрядчиком Работ.</w:t>
      </w:r>
    </w:p>
    <w:p>
      <w:pPr>
        <w:pStyle w:val="ListParagraph"/>
        <w:shd w:val="clear" w:color="auto" w:fill="FFFFFF"/>
        <w:tabs>
          <w:tab w:val="clear" w:pos="708"/>
          <w:tab w:val="left" w:pos="1134" w:leader="none"/>
          <w:tab w:val="left" w:pos="1276" w:leader="none"/>
        </w:tabs>
        <w:ind w:left="0" w:firstLine="709"/>
        <w:jc w:val="both"/>
        <w:rPr/>
      </w:pPr>
      <w:r>
        <w:rPr/>
        <w:t>Заказчик направляет Подрядчику уведомление о проведении сальдо взаимных обязательств Сторон по Договору.</w:t>
      </w:r>
    </w:p>
    <w:p>
      <w:pPr>
        <w:pStyle w:val="ListParagraph"/>
        <w:numPr>
          <w:ilvl w:val="1"/>
          <w:numId w:val="3"/>
        </w:numPr>
        <w:shd w:val="clear" w:color="auto" w:fill="FFFFFF"/>
        <w:tabs>
          <w:tab w:val="clear" w:pos="708"/>
          <w:tab w:val="left" w:pos="1134" w:leader="none"/>
        </w:tabs>
        <w:ind w:left="0" w:firstLine="709"/>
        <w:jc w:val="both"/>
        <w:rPr>
          <w:bCs/>
        </w:rPr>
      </w:pPr>
      <w:r>
        <w:rPr/>
        <w:t>Затраты</w:t>
      </w:r>
      <w:r>
        <w:rPr>
          <w:bCs/>
        </w:rPr>
        <w:t xml:space="preserve"> Подрядчика, связанные с получением/обслуживанием Банковских гарантий, предусмотренных Договором, оплачиваются Заказчиком Подрядчику при соблюдении следующих условий и в следующем порядке:</w:t>
      </w:r>
    </w:p>
    <w:p>
      <w:pPr>
        <w:pStyle w:val="ListParagraph"/>
        <w:numPr>
          <w:ilvl w:val="2"/>
          <w:numId w:val="3"/>
        </w:numPr>
        <w:spacing w:lineRule="auto" w:line="264"/>
        <w:ind w:left="0" w:firstLine="709"/>
        <w:jc w:val="both"/>
        <w:rPr>
          <w:bCs/>
        </w:rPr>
      </w:pPr>
      <w:r>
        <w:rPr>
          <w:bCs/>
        </w:rPr>
        <w:t>Размер затрат Подрядчика, связанных с получением/обслуживанием Банковских гарантий, должен быть предварительно согласован с Заказчиком;</w:t>
      </w:r>
    </w:p>
    <w:p>
      <w:pPr>
        <w:pStyle w:val="ListParagraph"/>
        <w:numPr>
          <w:ilvl w:val="2"/>
          <w:numId w:val="3"/>
        </w:numPr>
        <w:spacing w:lineRule="auto" w:line="264"/>
        <w:ind w:left="0" w:firstLine="709"/>
        <w:jc w:val="both"/>
        <w:rPr>
          <w:bCs/>
        </w:rPr>
      </w:pPr>
      <w:r>
        <w:rPr>
          <w:bCs/>
        </w:rPr>
        <w:t>Для оплаты затрат, связанных с получением/обслуживанием Банковских гарантий Подрядчик предоставляет Заказчику следующие подтверждающие документы (включая, но не ограничиваясь):</w:t>
      </w:r>
    </w:p>
    <w:p>
      <w:pPr>
        <w:pStyle w:val="Normal"/>
        <w:spacing w:lineRule="auto" w:line="264"/>
        <w:ind w:firstLine="708"/>
        <w:rPr>
          <w:bCs/>
          <w:sz w:val="24"/>
          <w:szCs w:val="24"/>
        </w:rPr>
      </w:pPr>
      <w:r>
        <w:rPr>
          <w:bCs/>
          <w:sz w:val="24"/>
          <w:szCs w:val="24"/>
        </w:rPr>
        <w:t xml:space="preserve">− </w:t>
      </w:r>
      <w:r>
        <w:rPr>
          <w:bCs/>
          <w:sz w:val="24"/>
          <w:szCs w:val="24"/>
        </w:rPr>
        <w:t>копию договора (соглашения) между Подрядчиком и Банком-Гарантом о выдаче Банковской гарантии;</w:t>
      </w:r>
    </w:p>
    <w:p>
      <w:pPr>
        <w:pStyle w:val="Normal"/>
        <w:spacing w:lineRule="auto" w:line="264"/>
        <w:ind w:firstLine="708"/>
        <w:rPr>
          <w:bCs/>
          <w:sz w:val="24"/>
          <w:szCs w:val="24"/>
        </w:rPr>
      </w:pPr>
      <w:r>
        <w:rPr>
          <w:bCs/>
          <w:sz w:val="24"/>
          <w:szCs w:val="24"/>
        </w:rPr>
        <w:t xml:space="preserve">− </w:t>
      </w:r>
      <w:r>
        <w:rPr>
          <w:bCs/>
          <w:sz w:val="24"/>
          <w:szCs w:val="24"/>
        </w:rPr>
        <w:t>копию Банковской гарантии с копией акта передачи-приема, подписанного Заказчиком и Подрядчиком;</w:t>
      </w:r>
    </w:p>
    <w:p>
      <w:pPr>
        <w:pStyle w:val="Normal"/>
        <w:spacing w:lineRule="auto" w:line="264"/>
        <w:ind w:firstLine="708"/>
        <w:rPr>
          <w:bCs/>
          <w:sz w:val="24"/>
          <w:szCs w:val="24"/>
        </w:rPr>
      </w:pPr>
      <w:r>
        <w:rPr>
          <w:bCs/>
          <w:sz w:val="24"/>
          <w:szCs w:val="24"/>
        </w:rPr>
        <w:t xml:space="preserve">− </w:t>
      </w:r>
      <w:r>
        <w:rPr>
          <w:bCs/>
          <w:sz w:val="24"/>
          <w:szCs w:val="24"/>
        </w:rPr>
        <w:t>копию(-и) платежного(-ых) поручения(-ий) или иных документов, подтверждающего(-их) понесённые Подрядчиком затраты на организацию получения/обслуживания Банковских гарантий, с отметкой банка об исполнении платежа         (-ей);</w:t>
      </w:r>
    </w:p>
    <w:p>
      <w:pPr>
        <w:pStyle w:val="ListParagraph"/>
        <w:numPr>
          <w:ilvl w:val="2"/>
          <w:numId w:val="3"/>
        </w:numPr>
        <w:spacing w:lineRule="auto" w:line="264"/>
        <w:ind w:left="0" w:firstLine="709"/>
        <w:jc w:val="both"/>
        <w:rPr>
          <w:bCs/>
        </w:rPr>
      </w:pPr>
      <w:r>
        <w:rPr>
          <w:bCs/>
        </w:rPr>
        <w:t>Заказчик вправе запросить у Подрядчика дополнительные документы, подтверждающие размер затрат Подрядчика, связанных с получением/обслуживанием Банковских гарантий.</w:t>
      </w:r>
    </w:p>
    <w:p>
      <w:pPr>
        <w:pStyle w:val="ListParagraph"/>
        <w:numPr>
          <w:ilvl w:val="2"/>
          <w:numId w:val="3"/>
        </w:numPr>
        <w:spacing w:lineRule="auto" w:line="264"/>
        <w:ind w:left="0" w:firstLine="709"/>
        <w:jc w:val="both"/>
        <w:rPr>
          <w:bCs/>
        </w:rPr>
      </w:pPr>
      <w:r>
        <w:rPr>
          <w:bCs/>
        </w:rPr>
        <w:t>Оплата затрат Подрядчика, связанных с получением/обслуживанием Банковских гарантий, осуществляется Заказчиком при условии наличия соответствующего лимита в Сводном сметном расчёте (Приложение № 3 к Договору) и в пределах такого лимита.</w:t>
      </w:r>
    </w:p>
    <w:p>
      <w:pPr>
        <w:pStyle w:val="ListParagraph"/>
        <w:numPr>
          <w:ilvl w:val="2"/>
          <w:numId w:val="3"/>
        </w:numPr>
        <w:spacing w:lineRule="auto" w:line="264"/>
        <w:ind w:left="0" w:firstLine="709"/>
        <w:jc w:val="both"/>
        <w:rPr>
          <w:bCs/>
        </w:rPr>
      </w:pPr>
      <w:r>
        <w:rPr>
          <w:bCs/>
        </w:rPr>
        <w:t>Затраты, связанные с получением/обслуживанием Банковских гарантий, включаются в отдельные Акт(ы) КС-2, Справку(и) КС-3, подписываемые Сторонами на основании документов, подтверждающих произведенные затраты, в пределах лимита, установленного Договором.</w:t>
      </w:r>
    </w:p>
    <w:p>
      <w:pPr>
        <w:pStyle w:val="ListParagraph"/>
        <w:numPr>
          <w:ilvl w:val="2"/>
          <w:numId w:val="3"/>
        </w:numPr>
        <w:spacing w:lineRule="auto" w:line="264"/>
        <w:ind w:left="0" w:firstLine="709"/>
        <w:jc w:val="both"/>
        <w:rPr>
          <w:bCs/>
        </w:rPr>
      </w:pPr>
      <w:r>
        <w:rPr>
          <w:bCs/>
        </w:rPr>
        <w:t>Заказчиком не оплачиваются затраты, понесенные Подрядчиком на получение (продление срока действия) и обслуживание Банковских гарантий, если получение (продление срока действия) Банковских гарантий вызвано несоблюдением Подрядчиком сроков исполнения обязательств по Договору.</w:t>
      </w:r>
    </w:p>
    <w:p>
      <w:pPr>
        <w:pStyle w:val="ListParagraph"/>
        <w:numPr>
          <w:ilvl w:val="2"/>
          <w:numId w:val="3"/>
        </w:numPr>
        <w:spacing w:lineRule="auto" w:line="264"/>
        <w:ind w:left="0" w:firstLine="709"/>
        <w:jc w:val="both"/>
        <w:rPr>
          <w:bCs/>
        </w:rPr>
      </w:pPr>
      <w:r>
        <w:rPr>
          <w:bCs/>
        </w:rPr>
        <w:t>Заказчик вправе проверить достоверность документов, предоставленных Подрядчиком согласно пунктам 3.13.2 – 3.13.3 Договора. Проверка достоверности документов может осуществляться, в том числе путём направления Заказчиком в Банк-Гарант запроса о подтверждении суммы расходов, понесенных Подрядчиком в связи с получением/обслуживанием Банковских гарантий. В этом случае письменное подтверждение Банком-Гарантом суммы расходов Подрядчика (ответ на запрос Заказчика) является основанием для оплаты Заказчиком затрат Подрядчика, связанных с получением/обслуживанием Банковских гарантий.</w:t>
      </w:r>
    </w:p>
    <w:p>
      <w:pPr>
        <w:pStyle w:val="ListParagraph"/>
        <w:numPr>
          <w:ilvl w:val="2"/>
          <w:numId w:val="3"/>
        </w:numPr>
        <w:spacing w:lineRule="auto" w:line="264"/>
        <w:ind w:left="0" w:firstLine="709"/>
        <w:jc w:val="both"/>
        <w:rPr>
          <w:bCs/>
        </w:rPr>
      </w:pPr>
      <w:r>
        <w:rPr>
          <w:bCs/>
        </w:rPr>
        <w:t>Если будет установлено, что Подрядчиком предоставлены недостоверные документы, то оплата затрат Подрядчика, связанных с получением/обслуживанием Банковских гарантий, на основании таких документов Заказчиком не осуществляется.</w:t>
      </w:r>
    </w:p>
    <w:p>
      <w:pPr>
        <w:pStyle w:val="ListParagraph"/>
        <w:numPr>
          <w:ilvl w:val="2"/>
          <w:numId w:val="3"/>
        </w:numPr>
        <w:spacing w:lineRule="auto" w:line="264"/>
        <w:ind w:left="0" w:firstLine="709"/>
        <w:jc w:val="both"/>
        <w:rPr/>
      </w:pPr>
      <w:r>
        <w:rPr>
          <w:bCs/>
        </w:rPr>
        <w:t xml:space="preserve">Оплата затрат Подрядчику, связанных с получением/обслуживанием Банковских гарантий, осуществляется Заказчиком только в отношении Банковских гарантий, полученных Подрядчиком в период исполнения обязательств по Договору, по мере возникновения факта таковых затрат в течение </w:t>
      </w:r>
      <w:r>
        <w:rPr/>
        <w:t>45 (сорока пяти) календарных дней</w:t>
      </w:r>
      <w:r>
        <w:rPr>
          <w:rStyle w:val="FootnoteReference"/>
        </w:rPr>
        <w:footnoteReference w:id="13"/>
      </w:r>
      <w:r>
        <w:rPr/>
        <w:t xml:space="preserve"> / 7 (семи) рабочих дней</w:t>
      </w:r>
      <w:r>
        <w:rPr>
          <w:rStyle w:val="FootnoteReference"/>
        </w:rPr>
        <w:footnoteReference w:id="14"/>
      </w:r>
      <w:r>
        <w:rPr>
          <w:bCs/>
        </w:rPr>
        <w:t xml:space="preserve"> с даты подписания Сторонами Акта КС-2 на основании счёта, выставленного Подрядчиком, при условии выполнения пунктов 3.13.1 - 3.13.8 Договора, но не чаще одного раза в календарный квартал, и с учётом пункта 3.5.5 Договора.</w:t>
      </w:r>
    </w:p>
    <w:p>
      <w:pPr>
        <w:pStyle w:val="ListParagraph"/>
        <w:shd w:val="clear" w:color="auto" w:fill="FFFFFF"/>
        <w:tabs>
          <w:tab w:val="clear" w:pos="708"/>
          <w:tab w:val="left" w:pos="1134" w:leader="none"/>
          <w:tab w:val="left" w:pos="1418" w:leader="none"/>
        </w:tabs>
        <w:ind w:left="0" w:hanging="200"/>
        <w:jc w:val="both"/>
        <w:rPr>
          <w:bCs/>
        </w:rPr>
      </w:pPr>
      <w:r>
        <w:rPr>
          <w:bCs/>
        </w:rPr>
      </w:r>
      <w:bookmarkStart w:id="28" w:name="_Ref361834251_Копия_1"/>
      <w:bookmarkStart w:id="29" w:name="_Ref361834251_Копия_1"/>
      <w:bookmarkEnd w:id="29"/>
    </w:p>
    <w:p>
      <w:pPr>
        <w:pStyle w:val="ListParagraph"/>
        <w:numPr>
          <w:ilvl w:val="0"/>
          <w:numId w:val="3"/>
        </w:numPr>
        <w:shd w:val="clear" w:color="auto" w:fill="FFFFFF"/>
        <w:tabs>
          <w:tab w:val="clear" w:pos="708"/>
          <w:tab w:val="left" w:pos="284" w:leader="none"/>
        </w:tabs>
        <w:ind w:left="0" w:hanging="0"/>
        <w:jc w:val="center"/>
        <w:rPr>
          <w:b/>
          <w:bCs/>
        </w:rPr>
      </w:pPr>
      <w:r>
        <w:rPr>
          <w:b/>
          <w:bCs/>
        </w:rPr>
        <w:t>Порядок сдачи-приемки Работ</w:t>
      </w:r>
    </w:p>
    <w:p>
      <w:pPr>
        <w:pStyle w:val="ListParagraph"/>
        <w:numPr>
          <w:ilvl w:val="1"/>
          <w:numId w:val="30"/>
        </w:numPr>
        <w:tabs>
          <w:tab w:val="clear" w:pos="708"/>
          <w:tab w:val="left" w:pos="1134" w:leader="none"/>
        </w:tabs>
        <w:ind w:left="0" w:firstLine="709"/>
        <w:jc w:val="both"/>
        <w:rPr/>
      </w:pPr>
      <w:r>
        <w:rPr>
          <w:bCs/>
          <w:color w:val="000000" w:themeColor="text1"/>
        </w:rPr>
        <w:t>Подрядчик</w:t>
      </w:r>
      <w:r>
        <w:rPr/>
        <w:t xml:space="preserve"> не позднее 5-го числа месяца, следующего за отчетным месяцем, представляет Заказчику подписанный(-ые) </w:t>
      </w:r>
      <w:r>
        <w:rPr>
          <w:color w:val="000000" w:themeColor="text1"/>
        </w:rPr>
        <w:t xml:space="preserve">Подрядчиком </w:t>
      </w:r>
      <w:r>
        <w:rPr/>
        <w:t>со своей стороны в 2 (двух) экземплярах Акт(-ы) освидетельствования выполненных работ за соответствующий отчетный месяц по форме Приложения № 7 к Договору с приложением выданных «в производство» локальных смет в соответствии с пунктом 3.2.1 Договора, а также Исполнительной документации в 3 (трех) экземплярах.</w:t>
      </w:r>
    </w:p>
    <w:p>
      <w:pPr>
        <w:pStyle w:val="ListParagraph"/>
        <w:numPr>
          <w:ilvl w:val="1"/>
          <w:numId w:val="30"/>
        </w:numPr>
        <w:ind w:left="0" w:firstLine="709"/>
        <w:jc w:val="both"/>
        <w:rPr/>
      </w:pPr>
      <w:r>
        <w:rPr>
          <w:bCs/>
        </w:rPr>
        <w:t xml:space="preserve">По завершении выполнения Работ по каждому Этапу Работ, указанному в Календарном графике выполнения Работ (Приложение № 2 к Договору), </w:t>
      </w:r>
      <w:r>
        <w:rPr>
          <w:bCs/>
          <w:color w:val="000000" w:themeColor="text1"/>
        </w:rPr>
        <w:t>Подрядчик</w:t>
      </w:r>
      <w:r>
        <w:rPr>
          <w:bCs/>
        </w:rPr>
        <w:t xml:space="preserve"> в течение 5</w:t>
      </w:r>
      <w:r>
        <w:rPr/>
        <w:t xml:space="preserve"> (пяти)</w:t>
      </w:r>
      <w:r>
        <w:rPr>
          <w:bCs/>
        </w:rPr>
        <w:t xml:space="preserve"> рабочих дней представляет Заказчику:</w:t>
      </w:r>
    </w:p>
    <w:p>
      <w:pPr>
        <w:pStyle w:val="ListParagraph"/>
        <w:shd w:val="clear" w:color="auto" w:fill="FFFFFF"/>
        <w:tabs>
          <w:tab w:val="clear" w:pos="708"/>
          <w:tab w:val="left" w:pos="709" w:leader="none"/>
          <w:tab w:val="left" w:pos="1134" w:leader="none"/>
        </w:tabs>
        <w:ind w:left="0" w:firstLine="709"/>
        <w:jc w:val="both"/>
        <w:rPr/>
      </w:pPr>
      <w:r>
        <w:rPr>
          <w:bCs/>
        </w:rPr>
        <w:t>- подписанные со своей стороны в 2 (двух) экземплярах Акт КС-2, Справку КС-3,</w:t>
      </w:r>
      <w:r>
        <w:rPr/>
        <w:t xml:space="preserve"> </w:t>
      </w:r>
    </w:p>
    <w:p>
      <w:pPr>
        <w:pStyle w:val="ListParagraph"/>
        <w:shd w:val="clear" w:color="auto" w:fill="FFFFFF"/>
        <w:tabs>
          <w:tab w:val="clear" w:pos="708"/>
          <w:tab w:val="left" w:pos="709" w:leader="none"/>
          <w:tab w:val="left" w:pos="1134" w:leader="none"/>
        </w:tabs>
        <w:ind w:left="0" w:firstLine="709"/>
        <w:jc w:val="both"/>
        <w:rPr/>
      </w:pPr>
      <w:r>
        <w:rPr/>
        <w:t>- исполнительную документацию, подписанную Сторонами, в 5 (пяти) экземплярах на бумажном носителе, в 1 (одном) экземпляре в электронном формате;</w:t>
      </w:r>
    </w:p>
    <w:p>
      <w:pPr>
        <w:pStyle w:val="ListParagraph"/>
        <w:shd w:val="clear" w:color="auto" w:fill="FFFFFF"/>
        <w:tabs>
          <w:tab w:val="clear" w:pos="708"/>
          <w:tab w:val="left" w:pos="709" w:leader="none"/>
          <w:tab w:val="left" w:pos="1134" w:leader="none"/>
        </w:tabs>
        <w:ind w:left="0" w:firstLine="709"/>
        <w:jc w:val="both"/>
        <w:rPr/>
      </w:pPr>
      <w:r>
        <w:rPr/>
        <w:t>- журнал учета выполненных работ по форме КС-6а;</w:t>
      </w:r>
    </w:p>
    <w:p>
      <w:pPr>
        <w:pStyle w:val="ListParagraph"/>
        <w:shd w:val="clear" w:color="auto" w:fill="FFFFFF"/>
        <w:tabs>
          <w:tab w:val="clear" w:pos="708"/>
          <w:tab w:val="left" w:pos="709" w:leader="none"/>
          <w:tab w:val="left" w:pos="1134" w:leader="none"/>
        </w:tabs>
        <w:ind w:left="0" w:firstLine="709"/>
        <w:jc w:val="both"/>
        <w:rPr/>
      </w:pPr>
      <w:bookmarkStart w:id="30" w:name="_Ref373242517"/>
      <w:bookmarkStart w:id="31" w:name="_Ref361335138"/>
      <w:bookmarkStart w:id="32" w:name="_Ref361336754"/>
      <w:r>
        <w:rPr/>
        <w:t>- накопительную ведомость выполненных работ с начала проведения работ по отчётный период включительно</w:t>
      </w:r>
      <w:bookmarkEnd w:id="30"/>
      <w:bookmarkEnd w:id="31"/>
      <w:bookmarkEnd w:id="32"/>
      <w:r>
        <w:rPr/>
        <w:t>;</w:t>
      </w:r>
    </w:p>
    <w:p>
      <w:pPr>
        <w:pStyle w:val="ListParagraph"/>
        <w:shd w:val="clear" w:color="auto" w:fill="FFFFFF"/>
        <w:tabs>
          <w:tab w:val="clear" w:pos="708"/>
          <w:tab w:val="left" w:pos="709" w:leader="none"/>
          <w:tab w:val="left" w:pos="1134" w:leader="none"/>
        </w:tabs>
        <w:ind w:left="0" w:firstLine="709"/>
        <w:jc w:val="both"/>
        <w:rPr/>
      </w:pPr>
      <w:r>
        <w:rPr/>
        <w:t>-  комплект локальных сметных расчетов на Этап Работ в соответствии с пунктом 3.2.2 Договора.</w:t>
      </w:r>
    </w:p>
    <w:p>
      <w:pPr>
        <w:pStyle w:val="ListParagraph"/>
        <w:numPr>
          <w:ilvl w:val="1"/>
          <w:numId w:val="30"/>
        </w:numPr>
        <w:shd w:val="clear" w:color="auto" w:fill="FFFFFF"/>
        <w:tabs>
          <w:tab w:val="clear" w:pos="708"/>
          <w:tab w:val="left" w:pos="709" w:leader="none"/>
          <w:tab w:val="left" w:pos="1134" w:leader="none"/>
        </w:tabs>
        <w:ind w:left="0" w:firstLine="709"/>
        <w:jc w:val="both"/>
        <w:rPr>
          <w:bCs/>
        </w:rPr>
      </w:pPr>
      <w:bookmarkStart w:id="33" w:name="_Ref361336865"/>
      <w:r>
        <w:rPr>
          <w:bCs/>
        </w:rPr>
        <w:t xml:space="preserve">По завершении выполнения всех предусмотренных Договором Работ </w:t>
      </w:r>
      <w:r>
        <w:rPr>
          <w:bCs/>
          <w:color w:val="000000" w:themeColor="text1"/>
        </w:rPr>
        <w:t>Подрядчик</w:t>
      </w:r>
      <w:r>
        <w:rPr>
          <w:bCs/>
        </w:rPr>
        <w:t xml:space="preserve"> в течение 3 (трех) рабочих дней представляет Заказчику подписанный со своей стороны Акт КС-11 в 2 (двух) экземплярах.</w:t>
      </w:r>
      <w:bookmarkEnd w:id="33"/>
    </w:p>
    <w:p>
      <w:pPr>
        <w:pStyle w:val="ListParagraph"/>
        <w:numPr>
          <w:ilvl w:val="1"/>
          <w:numId w:val="30"/>
        </w:numPr>
        <w:shd w:val="clear" w:color="auto" w:fill="FFFFFF"/>
        <w:tabs>
          <w:tab w:val="clear" w:pos="708"/>
          <w:tab w:val="left" w:pos="568" w:leader="none"/>
          <w:tab w:val="left" w:pos="1134" w:leader="none"/>
        </w:tabs>
        <w:ind w:left="0" w:firstLine="709"/>
        <w:jc w:val="both"/>
        <w:rPr>
          <w:bCs/>
        </w:rPr>
      </w:pPr>
      <w:r>
        <w:rPr>
          <w:bCs/>
        </w:rPr>
        <w:t xml:space="preserve">В течение 15 (пятнадцати) рабочих дней с даты получения полного комплекта документов, указанных в пунктах 4.1 – 4.3 Договора, Заказчик подписывает и передает </w:t>
      </w:r>
      <w:r>
        <w:rPr>
          <w:bCs/>
          <w:color w:val="000000" w:themeColor="text1"/>
        </w:rPr>
        <w:t>Подрядчику</w:t>
      </w:r>
      <w:r>
        <w:rPr>
          <w:bCs/>
        </w:rPr>
        <w:t xml:space="preserve"> 1 (один) экземпляр каждого указанного акта, либо направляет </w:t>
      </w:r>
      <w:r>
        <w:rPr>
          <w:bCs/>
          <w:color w:val="000000" w:themeColor="text1"/>
        </w:rPr>
        <w:t>Подрядчику</w:t>
      </w:r>
      <w:r>
        <w:rPr>
          <w:bCs/>
        </w:rPr>
        <w:t xml:space="preserve"> письменный мотивированный отказ от подписания Акта освидетельствования выполненных работ/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30"/>
        </w:numPr>
        <w:shd w:val="clear" w:color="auto" w:fill="FFFFFF"/>
        <w:tabs>
          <w:tab w:val="clear" w:pos="708"/>
          <w:tab w:val="left" w:pos="568" w:leader="none"/>
          <w:tab w:val="left" w:pos="1134" w:leader="none"/>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нового срока подписания Акта освидетельствования выполненных работ/ срока новой приемки Работ (Этапа Работ)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30"/>
        </w:numPr>
        <w:shd w:val="clear" w:color="auto" w:fill="FFFFFF"/>
        <w:tabs>
          <w:tab w:val="clear" w:pos="708"/>
          <w:tab w:val="left" w:pos="1134" w:leader="none"/>
        </w:tabs>
        <w:ind w:left="0" w:firstLine="709"/>
        <w:jc w:val="both"/>
        <w:rPr>
          <w:bCs/>
        </w:rPr>
      </w:pPr>
      <w:r>
        <w:rPr>
          <w:bCs/>
        </w:rPr>
        <w:t>Повторное подписание Актов освидетельствования выполненных работ/ 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 – 4.4 Договора.</w:t>
      </w:r>
    </w:p>
    <w:p>
      <w:pPr>
        <w:pStyle w:val="ListParagraph"/>
        <w:numPr>
          <w:ilvl w:val="1"/>
          <w:numId w:val="30"/>
        </w:numPr>
        <w:shd w:val="clear" w:color="auto" w:fill="FFFFFF"/>
        <w:tabs>
          <w:tab w:val="clear" w:pos="708"/>
          <w:tab w:val="left" w:pos="1134" w:leader="none"/>
        </w:tabs>
        <w:ind w:left="0" w:firstLine="709"/>
        <w:jc w:val="both"/>
        <w:rPr>
          <w:bCs/>
        </w:rPr>
      </w:pPr>
      <w:r>
        <w:rPr>
          <w:bCs/>
        </w:rPr>
        <w:t>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по устранению выявленных недостатков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30"/>
        </w:numPr>
        <w:shd w:val="clear" w:color="auto" w:fill="FFFFFF"/>
        <w:tabs>
          <w:tab w:val="clear" w:pos="708"/>
          <w:tab w:val="left" w:pos="1134" w:leader="none"/>
        </w:tabs>
        <w:ind w:left="0" w:firstLine="709"/>
        <w:jc w:val="both"/>
        <w:rPr>
          <w:bCs/>
        </w:rPr>
      </w:pPr>
      <w:r>
        <w:rPr>
          <w:bCs/>
        </w:rPr>
        <w:t>Досрочное выполнение Подрядчиком Работ по Договору допускается только при условии получения Подрядчиком предварительного письменного согласия Заказчика.</w:t>
      </w:r>
    </w:p>
    <w:p>
      <w:pPr>
        <w:pStyle w:val="ListParagraph"/>
        <w:numPr>
          <w:ilvl w:val="1"/>
          <w:numId w:val="30"/>
        </w:numPr>
        <w:shd w:val="clear" w:color="auto" w:fill="FFFFFF"/>
        <w:tabs>
          <w:tab w:val="clear" w:pos="708"/>
          <w:tab w:val="left" w:pos="1134" w:leader="none"/>
        </w:tabs>
        <w:ind w:left="0" w:firstLine="709"/>
        <w:jc w:val="both"/>
        <w:rPr>
          <w:bCs/>
        </w:rPr>
      </w:pPr>
      <w:bookmarkStart w:id="34" w:name="_Ref361337635"/>
      <w:r>
        <w:rPr>
          <w:bCs/>
          <w:color w:val="000000" w:themeColor="text1"/>
        </w:rPr>
        <w:t>Подрядчик</w:t>
      </w:r>
      <w:r>
        <w:rPr>
          <w:bCs/>
        </w:rPr>
        <w:t xml:space="preserve">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w:t>
      </w:r>
      <w:r>
        <w:rPr>
          <w:bCs/>
          <w:color w:val="000000" w:themeColor="text1"/>
        </w:rPr>
        <w:t>Подрядчиком</w:t>
      </w:r>
      <w:r>
        <w:rPr>
          <w:bCs/>
        </w:rPr>
        <w:t xml:space="preserve">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w:t>
      </w:r>
      <w:r>
        <w:rPr>
          <w:bCs/>
          <w:color w:val="000000" w:themeColor="text1"/>
        </w:rPr>
        <w:t>Подрядчиком</w:t>
      </w:r>
      <w:r>
        <w:rPr>
          <w:bCs/>
        </w:rPr>
        <w:t xml:space="preserve">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w:t>
      </w:r>
      <w:r>
        <w:rPr>
          <w:bCs/>
          <w:color w:val="000000" w:themeColor="text1"/>
        </w:rPr>
        <w:t>Подрядчик</w:t>
      </w:r>
      <w:r>
        <w:rPr>
          <w:bCs/>
        </w:rPr>
        <w:t xml:space="preserve">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34"/>
    </w:p>
    <w:p>
      <w:pPr>
        <w:pStyle w:val="ListParagraph"/>
        <w:shd w:val="clear" w:color="auto" w:fill="FFFFFF"/>
        <w:tabs>
          <w:tab w:val="clear" w:pos="708"/>
          <w:tab w:val="left" w:pos="1134" w:leader="none"/>
        </w:tabs>
        <w:ind w:left="0" w:hanging="0"/>
        <w:jc w:val="both"/>
        <w:rPr>
          <w:bCs/>
        </w:rPr>
      </w:pPr>
      <w:r>
        <w:rPr>
          <w:bCs/>
        </w:rPr>
      </w:r>
    </w:p>
    <w:p>
      <w:pPr>
        <w:pStyle w:val="ListParagraph"/>
        <w:shd w:val="clear" w:color="auto" w:fill="FFFFFF"/>
        <w:tabs>
          <w:tab w:val="clear" w:pos="708"/>
          <w:tab w:val="left" w:pos="284" w:leader="none"/>
        </w:tabs>
        <w:ind w:left="0" w:hanging="0"/>
        <w:jc w:val="center"/>
        <w:rPr>
          <w:b/>
          <w:bCs/>
        </w:rPr>
      </w:pPr>
      <w:r>
        <w:rPr>
          <w:b/>
          <w:bCs/>
        </w:rPr>
      </w:r>
    </w:p>
    <w:p>
      <w:pPr>
        <w:pStyle w:val="ListParagraph"/>
        <w:numPr>
          <w:ilvl w:val="0"/>
          <w:numId w:val="30"/>
        </w:numPr>
        <w:shd w:val="clear" w:color="auto" w:fill="FFFFFF"/>
        <w:tabs>
          <w:tab w:val="clear" w:pos="708"/>
          <w:tab w:val="left" w:pos="284" w:leader="none"/>
        </w:tabs>
        <w:ind w:left="0" w:hanging="0"/>
        <w:jc w:val="center"/>
        <w:rPr>
          <w:b/>
          <w:bCs/>
        </w:rPr>
      </w:pPr>
      <w:r>
        <w:rPr>
          <w:b/>
          <w:bCs/>
        </w:rPr>
        <w:t>Право собственности и переход рисков</w:t>
      </w:r>
    </w:p>
    <w:p>
      <w:pPr>
        <w:pStyle w:val="ListParagraph"/>
        <w:shd w:val="clear" w:color="auto" w:fill="FFFFFF"/>
        <w:tabs>
          <w:tab w:val="clear" w:pos="708"/>
          <w:tab w:val="left" w:pos="1134" w:leader="none"/>
        </w:tabs>
        <w:ind w:left="0" w:hanging="0"/>
        <w:jc w:val="both"/>
        <w:rPr/>
      </w:pPr>
      <w:r>
        <w:rPr/>
      </w:r>
      <w:bookmarkStart w:id="35" w:name="_Ref361405028"/>
      <w:bookmarkStart w:id="36" w:name="_Ref361405028"/>
    </w:p>
    <w:p>
      <w:pPr>
        <w:pStyle w:val="ListParagraph"/>
        <w:numPr>
          <w:ilvl w:val="1"/>
          <w:numId w:val="30"/>
        </w:numPr>
        <w:shd w:val="clear" w:color="auto" w:fill="FFFFFF"/>
        <w:tabs>
          <w:tab w:val="clear" w:pos="708"/>
          <w:tab w:val="left" w:pos="1134" w:leader="none"/>
        </w:tabs>
        <w:ind w:left="0" w:firstLine="709"/>
        <w:jc w:val="both"/>
        <w:rPr>
          <w:bCs/>
        </w:rPr>
      </w:pPr>
      <w:r>
        <w:rPr>
          <w:bCs/>
        </w:rPr>
        <w:t xml:space="preserve">Риск случайной гибели или повреждения результатов выполненных Работ, включая Материально-технические ресурсы, переходит к Заказчику с момента подписания Акта </w:t>
      </w:r>
      <w:r>
        <w:rPr/>
        <w:t>КС-2</w:t>
      </w:r>
      <w:r>
        <w:rPr>
          <w:bCs/>
        </w:rPr>
        <w:t>. До подписания Заказчиком и Подрядчиком Акта КС-2 риск случайной гибели или повреждения результатов выполненных Работ и Материально-технические ресурсы, несет Подрядчик.</w:t>
      </w:r>
      <w:bookmarkEnd w:id="36"/>
    </w:p>
    <w:p>
      <w:pPr>
        <w:pStyle w:val="ListParagraph"/>
        <w:numPr>
          <w:ilvl w:val="1"/>
          <w:numId w:val="30"/>
        </w:numPr>
        <w:shd w:val="clear" w:color="auto" w:fill="FFFFFF"/>
        <w:tabs>
          <w:tab w:val="clear" w:pos="708"/>
          <w:tab w:val="left" w:pos="1134" w:leader="none"/>
        </w:tabs>
        <w:ind w:left="0" w:firstLine="709"/>
        <w:jc w:val="both"/>
        <w:rPr>
          <w:bCs/>
        </w:rPr>
      </w:pPr>
      <w:r>
        <w:rPr>
          <w:bCs/>
        </w:rPr>
        <w:t xml:space="preserve">Право собственности на результаты выполненных Работ возникает у Заказчика с момента подписания Заказчиком и Подрядчиком Акта КС-2. </w:t>
      </w:r>
    </w:p>
    <w:p>
      <w:pPr>
        <w:pStyle w:val="ListParagraph"/>
        <w:numPr>
          <w:ilvl w:val="1"/>
          <w:numId w:val="30"/>
        </w:numPr>
        <w:tabs>
          <w:tab w:val="clear" w:pos="708"/>
          <w:tab w:val="left" w:pos="1134" w:leader="none"/>
        </w:tabs>
        <w:ind w:left="0" w:firstLine="709"/>
        <w:jc w:val="both"/>
        <w:rPr>
          <w:bCs/>
        </w:rPr>
      </w:pPr>
      <w:r>
        <w:rPr>
          <w:bCs/>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30"/>
        </w:numPr>
        <w:tabs>
          <w:tab w:val="clear" w:pos="708"/>
          <w:tab w:val="left" w:pos="1134" w:leader="none"/>
        </w:tabs>
        <w:ind w:left="0" w:firstLine="709"/>
        <w:jc w:val="both"/>
        <w:rPr/>
      </w:pPr>
      <w:r>
        <w:rPr>
          <w:bCs/>
        </w:rPr>
        <w:t>Подписание</w:t>
      </w:r>
      <w:r>
        <w:rPr>
          <w:iCs/>
        </w:rPr>
        <w:t xml:space="preserve"> Заказчиком </w:t>
      </w:r>
      <w:r>
        <w:rPr>
          <w:bCs/>
        </w:rPr>
        <w:t xml:space="preserve">Акта </w:t>
      </w:r>
      <w:r>
        <w:rPr/>
        <w:t xml:space="preserve">КС-11 </w:t>
      </w:r>
      <w:r>
        <w:rPr>
          <w:iCs/>
        </w:rPr>
        <w:t>означает приемку выполненных Работ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подписание Актов освидетельствования выполненных работ, приемка Работ (Этапов Работ), не освобождает Подрядчика от ответственности за Результат Работ по Договору в целом.</w:t>
      </w:r>
    </w:p>
    <w:p>
      <w:pPr>
        <w:pStyle w:val="ListParagraph"/>
        <w:shd w:val="clear" w:color="auto" w:fill="FFFFFF"/>
        <w:tabs>
          <w:tab w:val="clear" w:pos="708"/>
          <w:tab w:val="left" w:pos="0" w:leader="none"/>
          <w:tab w:val="left" w:pos="1134" w:leader="none"/>
        </w:tabs>
        <w:ind w:left="0" w:firstLine="709"/>
        <w:jc w:val="both"/>
        <w:rPr>
          <w:bCs/>
        </w:rPr>
      </w:pPr>
      <w:r>
        <w:rPr>
          <w:bCs/>
        </w:rPr>
      </w:r>
    </w:p>
    <w:p>
      <w:pPr>
        <w:pStyle w:val="ListParagraph"/>
        <w:numPr>
          <w:ilvl w:val="0"/>
          <w:numId w:val="30"/>
        </w:numPr>
        <w:shd w:val="clear" w:color="auto" w:fill="FFFFFF"/>
        <w:tabs>
          <w:tab w:val="clear" w:pos="708"/>
          <w:tab w:val="left" w:pos="284" w:leader="none"/>
        </w:tabs>
        <w:ind w:left="0" w:hanging="0"/>
        <w:jc w:val="center"/>
        <w:rPr>
          <w:b/>
          <w:bCs/>
        </w:rPr>
      </w:pPr>
      <w:r>
        <w:rPr>
          <w:b/>
          <w:bCs/>
        </w:rPr>
        <w:t>Банковские гарантии</w:t>
      </w:r>
    </w:p>
    <w:p>
      <w:pPr>
        <w:pStyle w:val="ListParagraph"/>
        <w:numPr>
          <w:ilvl w:val="1"/>
          <w:numId w:val="30"/>
        </w:numPr>
        <w:shd w:val="clear" w:color="auto" w:fill="FFFFFF"/>
        <w:tabs>
          <w:tab w:val="clear" w:pos="708"/>
          <w:tab w:val="left" w:pos="1134" w:leader="none"/>
          <w:tab w:val="left" w:pos="1701" w:leader="none"/>
        </w:tabs>
        <w:ind w:left="0" w:firstLine="709"/>
        <w:jc w:val="both"/>
        <w:rPr>
          <w:bCs/>
        </w:rPr>
      </w:pPr>
      <w:r>
        <w:rPr>
          <w:bCs/>
        </w:rPr>
        <w:t xml:space="preserve">Банковская гарантия, предоставляемая </w:t>
      </w:r>
      <w:r>
        <w:rPr>
          <w:bCs/>
          <w:color w:val="000000" w:themeColor="text1"/>
        </w:rPr>
        <w:t>Подрядчиком</w:t>
      </w:r>
      <w:r>
        <w:rPr>
          <w:bCs/>
        </w:rPr>
        <w:t xml:space="preserve"> Заказчику по Договору, должна соответствовать следующим требованиям:</w:t>
      </w:r>
    </w:p>
    <w:p>
      <w:pPr>
        <w:pStyle w:val="ListParagraph"/>
        <w:numPr>
          <w:ilvl w:val="2"/>
          <w:numId w:val="30"/>
        </w:numPr>
        <w:shd w:val="clear" w:color="auto" w:fill="FFFFFF"/>
        <w:tabs>
          <w:tab w:val="clear" w:pos="708"/>
          <w:tab w:val="left" w:pos="1418" w:leader="none"/>
          <w:tab w:val="left" w:pos="1701" w:leader="none"/>
        </w:tabs>
        <w:ind w:left="0" w:firstLine="709"/>
        <w:jc w:val="both"/>
        <w:rPr>
          <w:bCs/>
        </w:rPr>
      </w:pPr>
      <w:r>
        <w:rPr>
          <w:bCs/>
        </w:rPr>
        <w:t xml:space="preserve">Банковская гарантия возврата авансового платежа/ надлежащего исполнения обязательств по Договору: </w:t>
      </w:r>
    </w:p>
    <w:p>
      <w:pPr>
        <w:pStyle w:val="ListParagraph"/>
        <w:numPr>
          <w:ilvl w:val="3"/>
          <w:numId w:val="30"/>
        </w:numPr>
        <w:shd w:val="clear" w:color="auto" w:fill="FFFFFF"/>
        <w:tabs>
          <w:tab w:val="clear" w:pos="708"/>
          <w:tab w:val="left" w:pos="1418" w:leader="none"/>
          <w:tab w:val="left" w:pos="1701"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3"/>
          <w:numId w:val="30"/>
        </w:numPr>
        <w:shd w:val="clear" w:color="auto" w:fill="FFFFFF"/>
        <w:tabs>
          <w:tab w:val="clear" w:pos="708"/>
          <w:tab w:val="left" w:pos="1418" w:leader="none"/>
          <w:tab w:val="left" w:pos="1701" w:leader="none"/>
        </w:tabs>
        <w:ind w:left="0" w:firstLine="709"/>
        <w:jc w:val="both"/>
        <w:rPr>
          <w:bCs/>
        </w:rPr>
      </w:pPr>
      <w:r>
        <w:rPr>
          <w:bCs/>
        </w:rPr>
        <w:t xml:space="preserve">Бенефициар по Банковской гарантии – Заказчик, принципал – </w:t>
      </w:r>
      <w:r>
        <w:rPr>
          <w:bCs/>
          <w:color w:val="000000" w:themeColor="text1"/>
        </w:rPr>
        <w:t>Подрядчик</w:t>
      </w:r>
      <w:r>
        <w:rPr>
          <w:bCs/>
        </w:rPr>
        <w:t>.</w:t>
      </w:r>
    </w:p>
    <w:p>
      <w:pPr>
        <w:pStyle w:val="ListParagraph"/>
        <w:numPr>
          <w:ilvl w:val="3"/>
          <w:numId w:val="30"/>
        </w:numPr>
        <w:shd w:val="clear" w:color="auto" w:fill="FFFFFF"/>
        <w:tabs>
          <w:tab w:val="clear" w:pos="708"/>
          <w:tab w:val="left" w:pos="1418" w:leader="none"/>
          <w:tab w:val="left" w:pos="1701" w:leader="none"/>
        </w:tabs>
        <w:ind w:left="0" w:firstLine="709"/>
        <w:jc w:val="both"/>
        <w:rPr>
          <w:bCs/>
        </w:rPr>
      </w:pPr>
      <w:r>
        <w:rPr>
          <w:bCs/>
        </w:rPr>
        <w:t>Сумма Банковской гарантии – выражена в валюте расчетов по Договору.</w:t>
      </w:r>
    </w:p>
    <w:p>
      <w:pPr>
        <w:pStyle w:val="ListParagraph"/>
        <w:numPr>
          <w:ilvl w:val="3"/>
          <w:numId w:val="30"/>
        </w:numPr>
        <w:shd w:val="clear" w:color="auto" w:fill="FFFFFF"/>
        <w:tabs>
          <w:tab w:val="clear" w:pos="708"/>
          <w:tab w:val="left" w:pos="1418" w:leader="none"/>
          <w:tab w:val="left" w:pos="1701"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Подрядчику и неотработанных авансовых платежей. </w:t>
      </w:r>
    </w:p>
    <w:p>
      <w:pPr>
        <w:pStyle w:val="ListParagraph"/>
        <w:numPr>
          <w:ilvl w:val="3"/>
          <w:numId w:val="30"/>
        </w:numPr>
        <w:shd w:val="clear" w:color="auto" w:fill="FFFFFF"/>
        <w:tabs>
          <w:tab w:val="clear" w:pos="708"/>
          <w:tab w:val="left" w:pos="1418" w:leader="none"/>
          <w:tab w:val="left" w:pos="1701" w:leader="none"/>
        </w:tabs>
        <w:ind w:left="0" w:firstLine="709"/>
        <w:jc w:val="both"/>
        <w:rPr>
          <w:bCs/>
        </w:rPr>
      </w:pPr>
      <w:r>
        <w:rPr>
          <w:bCs/>
        </w:rPr>
        <w:t>Сумма Банковской гарантии надлежащего исполнения обязательств по Договору – не менее 10 (десяти) процентов от Цены Договора.</w:t>
      </w:r>
    </w:p>
    <w:p>
      <w:pPr>
        <w:pStyle w:val="ListParagraph"/>
        <w:numPr>
          <w:ilvl w:val="3"/>
          <w:numId w:val="30"/>
        </w:numPr>
        <w:shd w:val="clear" w:color="auto" w:fill="FFFFFF"/>
        <w:tabs>
          <w:tab w:val="clear" w:pos="708"/>
          <w:tab w:val="left" w:pos="1418" w:leader="none"/>
          <w:tab w:val="left" w:pos="1701"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Подрядчиком нарушений, в том числе в случаях (включая, но не ограничиваясь):</w:t>
      </w:r>
    </w:p>
    <w:p>
      <w:pPr>
        <w:pStyle w:val="Normal"/>
        <w:numPr>
          <w:ilvl w:val="0"/>
          <w:numId w:val="5"/>
        </w:numPr>
        <w:tabs>
          <w:tab w:val="clear" w:pos="708"/>
          <w:tab w:val="left" w:pos="1418" w:leader="none"/>
        </w:tabs>
        <w:spacing w:lineRule="auto" w:line="240"/>
        <w:ind w:left="0" w:firstLine="709"/>
        <w:rPr>
          <w:bCs/>
          <w:sz w:val="24"/>
          <w:szCs w:val="24"/>
        </w:rPr>
      </w:pPr>
      <w:r>
        <w:rPr>
          <w:bCs/>
          <w:sz w:val="24"/>
          <w:szCs w:val="24"/>
        </w:rPr>
        <w:t>отказа Подрядчика от исполнения обязательств по Договору, в том числе одностороннего отказа от Договора;</w:t>
      </w:r>
    </w:p>
    <w:p>
      <w:pPr>
        <w:pStyle w:val="Normal"/>
        <w:numPr>
          <w:ilvl w:val="0"/>
          <w:numId w:val="5"/>
        </w:numPr>
        <w:tabs>
          <w:tab w:val="clear" w:pos="708"/>
          <w:tab w:val="left" w:pos="1418" w:leader="none"/>
        </w:tabs>
        <w:spacing w:lineRule="auto" w:line="240"/>
        <w:ind w:left="0" w:firstLine="709"/>
        <w:rPr>
          <w:bCs/>
          <w:sz w:val="24"/>
          <w:szCs w:val="24"/>
        </w:rPr>
      </w:pPr>
      <w:r>
        <w:rPr>
          <w:bCs/>
          <w:sz w:val="24"/>
          <w:szCs w:val="24"/>
        </w:rPr>
        <w:t>отказа Подрядчика от возврата неотработанного аванса при досрочном прекращении Договора/признании Договора недействительным;</w:t>
      </w:r>
    </w:p>
    <w:p>
      <w:pPr>
        <w:pStyle w:val="Normal"/>
        <w:numPr>
          <w:ilvl w:val="0"/>
          <w:numId w:val="5"/>
        </w:numPr>
        <w:tabs>
          <w:tab w:val="clear" w:pos="708"/>
          <w:tab w:val="left" w:pos="1418" w:leader="none"/>
        </w:tabs>
        <w:spacing w:lineRule="auto" w:line="240"/>
        <w:ind w:left="0" w:firstLine="709"/>
        <w:rPr>
          <w:bCs/>
          <w:sz w:val="24"/>
          <w:szCs w:val="24"/>
        </w:rPr>
      </w:pPr>
      <w:r>
        <w:rPr>
          <w:bCs/>
          <w:sz w:val="24"/>
          <w:szCs w:val="24"/>
        </w:rPr>
        <w:t>нарушения Подрядчиком сроков</w:t>
      </w:r>
      <w:r>
        <w:rPr/>
        <w:t xml:space="preserve"> </w:t>
      </w:r>
      <w:r>
        <w:rPr>
          <w:bCs/>
          <w:sz w:val="24"/>
          <w:szCs w:val="24"/>
        </w:rPr>
        <w:t>выполнения Работ/Этапов Работ, установленных Календарным графиком выполнения Работ (Приложение № 2 к Договору) более чем на 60 (шестьдесят) календарных дней;</w:t>
      </w:r>
    </w:p>
    <w:p>
      <w:pPr>
        <w:pStyle w:val="Normal"/>
        <w:numPr>
          <w:ilvl w:val="0"/>
          <w:numId w:val="5"/>
        </w:numPr>
        <w:tabs>
          <w:tab w:val="clear" w:pos="708"/>
          <w:tab w:val="left" w:pos="1418" w:leader="none"/>
        </w:tabs>
        <w:spacing w:lineRule="auto" w:line="240"/>
        <w:ind w:left="0" w:firstLine="709"/>
        <w:rPr>
          <w:bCs/>
          <w:sz w:val="24"/>
          <w:szCs w:val="24"/>
        </w:rPr>
      </w:pPr>
      <w:r>
        <w:rPr>
          <w:bCs/>
          <w:sz w:val="24"/>
          <w:szCs w:val="24"/>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numPr>
          <w:ilvl w:val="0"/>
          <w:numId w:val="5"/>
        </w:numPr>
        <w:tabs>
          <w:tab w:val="clear" w:pos="708"/>
          <w:tab w:val="left" w:pos="1418" w:leader="none"/>
        </w:tabs>
        <w:spacing w:lineRule="auto" w:line="240"/>
        <w:ind w:left="0" w:firstLine="709"/>
        <w:rPr>
          <w:bCs/>
          <w:sz w:val="24"/>
          <w:szCs w:val="24"/>
        </w:rPr>
      </w:pPr>
      <w:r>
        <w:rPr>
          <w:bCs/>
          <w:sz w:val="24"/>
          <w:szCs w:val="24"/>
        </w:rPr>
        <w:t>прекращения членства Подрядчика в СРО, основанной на членстве лиц, осуществляющих строительство;</w:t>
      </w:r>
    </w:p>
    <w:p>
      <w:pPr>
        <w:pStyle w:val="Normal"/>
        <w:numPr>
          <w:ilvl w:val="0"/>
          <w:numId w:val="5"/>
        </w:numPr>
        <w:tabs>
          <w:tab w:val="clear" w:pos="708"/>
          <w:tab w:val="left" w:pos="1418" w:leader="none"/>
        </w:tabs>
        <w:spacing w:lineRule="auto" w:line="240"/>
        <w:ind w:left="0" w:firstLine="709"/>
        <w:rPr>
          <w:bCs/>
          <w:sz w:val="24"/>
          <w:szCs w:val="24"/>
        </w:rPr>
      </w:pPr>
      <w:r>
        <w:rPr>
          <w:bCs/>
          <w:sz w:val="24"/>
          <w:szCs w:val="24"/>
        </w:rPr>
        <w:t>введения арбитражным судом процедуры несостоятельности (банкротства)</w:t>
      </w:r>
      <w:r>
        <w:rPr/>
        <w:t xml:space="preserve"> </w:t>
      </w:r>
      <w:r>
        <w:rPr>
          <w:bCs/>
          <w:sz w:val="24"/>
          <w:szCs w:val="24"/>
        </w:rPr>
        <w:t>в отношении Подрядчика;</w:t>
      </w:r>
    </w:p>
    <w:p>
      <w:pPr>
        <w:pStyle w:val="Normal"/>
        <w:numPr>
          <w:ilvl w:val="0"/>
          <w:numId w:val="5"/>
        </w:numPr>
        <w:tabs>
          <w:tab w:val="clear" w:pos="708"/>
          <w:tab w:val="left" w:pos="1418" w:leader="none"/>
        </w:tabs>
        <w:spacing w:lineRule="auto" w:line="240"/>
        <w:ind w:left="0" w:firstLine="709"/>
        <w:rPr>
          <w:bCs/>
          <w:sz w:val="24"/>
          <w:szCs w:val="24"/>
        </w:rPr>
      </w:pPr>
      <w:r>
        <w:rPr>
          <w:bCs/>
          <w:sz w:val="24"/>
          <w:szCs w:val="24"/>
        </w:rPr>
        <w:t>непредставление Подрядчиком в срок не позднее 30 (тридцати)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5"/>
        </w:numPr>
        <w:tabs>
          <w:tab w:val="clear" w:pos="708"/>
          <w:tab w:val="left" w:pos="1418" w:leader="none"/>
        </w:tabs>
        <w:spacing w:lineRule="auto" w:line="240"/>
        <w:ind w:left="0" w:firstLine="709"/>
        <w:rPr>
          <w:bCs/>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w:t>
      </w:r>
      <w:r>
        <w:rPr>
          <w:color w:val="000000" w:themeColor="text1"/>
          <w:sz w:val="24"/>
          <w:szCs w:val="24"/>
        </w:rPr>
        <w:t>Подрядчика</w:t>
      </w:r>
      <w:r>
        <w:rPr>
          <w:sz w:val="24"/>
          <w:szCs w:val="24"/>
        </w:rPr>
        <w:t>;</w:t>
      </w:r>
    </w:p>
    <w:p>
      <w:pPr>
        <w:pStyle w:val="Normal"/>
        <w:numPr>
          <w:ilvl w:val="0"/>
          <w:numId w:val="5"/>
        </w:numPr>
        <w:tabs>
          <w:tab w:val="clear" w:pos="708"/>
          <w:tab w:val="left" w:pos="1418" w:leader="none"/>
        </w:tabs>
        <w:spacing w:lineRule="auto" w:line="240"/>
        <w:ind w:left="0" w:firstLine="709"/>
        <w:rPr>
          <w:bCs/>
          <w:sz w:val="24"/>
          <w:szCs w:val="24"/>
        </w:rPr>
      </w:pPr>
      <w:r>
        <w:rPr>
          <w:bCs/>
          <w:sz w:val="24"/>
          <w:szCs w:val="24"/>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8"/>
          <w:tab w:val="left" w:pos="1418" w:leader="none"/>
          <w:tab w:val="left" w:pos="1560" w:leader="none"/>
        </w:tabs>
        <w:ind w:left="0" w:firstLine="709"/>
        <w:jc w:val="both"/>
        <w:rPr>
          <w:bCs/>
        </w:rPr>
      </w:pPr>
      <w:r>
        <w:rPr>
          <w:bCs/>
        </w:rPr>
        <w:t xml:space="preserve">  </w:t>
      </w:r>
      <w:r>
        <w:rPr>
          <w:bCs/>
        </w:rPr>
        <w:t xml:space="preserve">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 </w:t>
      </w:r>
    </w:p>
    <w:p>
      <w:pPr>
        <w:pStyle w:val="ListParagraph"/>
        <w:shd w:val="clear" w:color="auto" w:fill="FFFFFF"/>
        <w:tabs>
          <w:tab w:val="clear" w:pos="708"/>
          <w:tab w:val="left" w:pos="1418" w:leader="none"/>
          <w:tab w:val="left" w:pos="1560" w:leader="none"/>
        </w:tabs>
        <w:ind w:left="0" w:firstLine="851"/>
        <w:jc w:val="both"/>
        <w:rPr>
          <w:bCs/>
        </w:rPr>
      </w:pPr>
      <w:r>
        <w:rPr>
          <w:bCs/>
        </w:rPr>
        <w:t xml:space="preserve">Банковской гарантией возврата авансового платежа / надлежащего исполнения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ListParagraph"/>
        <w:shd w:val="clear" w:color="auto" w:fill="FFFFFF"/>
        <w:tabs>
          <w:tab w:val="clear" w:pos="708"/>
          <w:tab w:val="left" w:pos="1418" w:leader="none"/>
          <w:tab w:val="left" w:pos="1560" w:leader="none"/>
        </w:tabs>
        <w:ind w:left="0" w:firstLine="851"/>
        <w:jc w:val="both"/>
        <w:rPr>
          <w:bCs/>
        </w:rPr>
      </w:pPr>
      <w:r>
        <w:rPr>
          <w:bCs/>
        </w:rPr>
        <w:t>Выбор формы направления такого требования осуществляется бенефициаром самостоятельно.</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rPr>
        <w:t>Срок действия Банковской гарантии возврата авансового платежа – не ранее 70 (семидесяти) календарных дней после наступления даты завершения Работ по Договору в целом.</w:t>
      </w:r>
    </w:p>
    <w:p>
      <w:pPr>
        <w:pStyle w:val="ListParagraph"/>
        <w:shd w:val="clear" w:color="auto" w:fill="FFFFFF"/>
        <w:tabs>
          <w:tab w:val="clear" w:pos="708"/>
          <w:tab w:val="left" w:pos="1418" w:leader="none"/>
          <w:tab w:val="left" w:pos="1560" w:leader="none"/>
        </w:tabs>
        <w:ind w:left="0" w:firstLine="709"/>
        <w:jc w:val="both"/>
        <w:rPr>
          <w:bCs/>
        </w:rPr>
      </w:pPr>
      <w:r>
        <w:rPr>
          <w:bCs/>
        </w:rPr>
        <w:t>Срок действия Банковской гарантии надлежащего исполнения обязательств по Договору – не ранее 70 (семидесяти) календарных дней после наступления даты окончания, установленного в соответствии с разделом 8 Договора Гарантийного срока по Договору.</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rPr>
        <w:t xml:space="preserve">Внесение изменений и дополнений в Договор в период срока действия Банковской гарантии не освобождает Банк-Гарант от обязательств перед Заказчиком </w:t>
        <w:br/>
        <w:t>по Банковской гарантии.</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rPr>
        <w:t xml:space="preserve"> </w:t>
      </w:r>
      <w:bookmarkStart w:id="37" w:name="_Ref233631502"/>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bookmarkEnd w:id="37"/>
      <w:r>
        <w:rPr>
          <w:bCs/>
        </w:rPr>
        <w:t xml:space="preserve"> </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rPr>
        <w:t xml:space="preserve"> </w:t>
      </w:r>
      <w:r>
        <w:rPr>
          <w:bCs/>
        </w:rPr>
        <w:t>Принадлежащее бенефициару по Банковской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Банка-Гаранта о смене бенефициара по Банковской гарантии.</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6.1.1.1 – 6.1.1.12 Договора, или делающих такие требования неисполнимыми.</w:t>
      </w:r>
    </w:p>
    <w:p>
      <w:pPr>
        <w:pStyle w:val="ListParagraph"/>
        <w:numPr>
          <w:ilvl w:val="2"/>
          <w:numId w:val="30"/>
        </w:numPr>
        <w:shd w:val="clear" w:color="auto" w:fill="FFFFFF"/>
        <w:tabs>
          <w:tab w:val="clear" w:pos="708"/>
          <w:tab w:val="left" w:pos="1418" w:leader="none"/>
        </w:tabs>
        <w:ind w:left="0" w:firstLine="709"/>
        <w:jc w:val="both"/>
        <w:rPr>
          <w:bCs/>
        </w:rPr>
      </w:pPr>
      <w:r>
        <w:rPr/>
        <w:t xml:space="preserve"> </w:t>
      </w:r>
      <w:r>
        <w:rPr>
          <w:bCs/>
          <w:color w:val="000000" w:themeColor="text1"/>
        </w:rPr>
        <w:t>Банковская гарантия надлежащего исполнения гарантийных обязательств:</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color w:val="000000" w:themeColor="text1"/>
        </w:rPr>
        <w:t>Банковская гарантия должна быть безотзывной и безусловной (гарантия по первому требованию);</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t xml:space="preserve"> </w:t>
      </w:r>
      <w:r>
        <w:rPr>
          <w:bCs/>
          <w:color w:val="000000" w:themeColor="text1"/>
        </w:rPr>
        <w:t>Бенефициар по Банковской гарантии - Заказчик, принципал — Подрядчик.</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color w:val="000000" w:themeColor="text1"/>
        </w:rPr>
        <w:t xml:space="preserve"> </w:t>
      </w:r>
      <w:r>
        <w:rPr>
          <w:bCs/>
          <w:color w:val="000000" w:themeColor="text1"/>
        </w:rPr>
        <w:t>Сумма Банковской гарантии выражена в валюте расчетов по Договору.</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color w:val="000000" w:themeColor="text1"/>
        </w:rPr>
        <w:t xml:space="preserve"> </w:t>
      </w:r>
      <w:r>
        <w:rPr>
          <w:bCs/>
          <w:color w:val="000000" w:themeColor="text1"/>
        </w:rPr>
        <w:t>Сумма Банковской гарантии - не менее 5 (пяти) процентов от Цены Договора.</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color w:val="000000" w:themeColor="text1"/>
        </w:rPr>
        <w:t xml:space="preserve">Срок окончания действия Банковской гарантии надлежащего исполнения гарантийных обязательств – </w:t>
      </w:r>
      <w:r>
        <w:rPr>
          <w:bCs/>
        </w:rPr>
        <w:t>не ранее 70 (семидесяти) календарных дней с даты окончания установленного в соответствии с разделом 8 Договора Гарантийного срока по Договору</w:t>
      </w:r>
      <w:r>
        <w:rPr>
          <w:bCs/>
          <w:color w:val="000000" w:themeColor="text1"/>
        </w:rPr>
        <w:t>.</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color w:val="000000" w:themeColor="text1"/>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Подрядчиком нарушений.</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color w:val="000000" w:themeColor="text1"/>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8"/>
          <w:tab w:val="left" w:pos="1418" w:leader="none"/>
          <w:tab w:val="left" w:pos="1560" w:leader="none"/>
        </w:tabs>
        <w:ind w:left="0" w:firstLine="709"/>
        <w:jc w:val="both"/>
        <w:rPr>
          <w:bCs/>
        </w:rPr>
      </w:pPr>
      <w:r>
        <w:rPr>
          <w:bCs/>
        </w:rPr>
        <w:t xml:space="preserve">Банковской гарантией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ListParagraph"/>
        <w:shd w:val="clear" w:color="auto" w:fill="FFFFFF"/>
        <w:tabs>
          <w:tab w:val="clear" w:pos="708"/>
          <w:tab w:val="left" w:pos="1418" w:leader="none"/>
          <w:tab w:val="left" w:pos="1560" w:leader="none"/>
        </w:tabs>
        <w:ind w:left="0" w:firstLine="709"/>
        <w:jc w:val="both"/>
        <w:rPr>
          <w:bCs/>
        </w:rPr>
      </w:pPr>
      <w:r>
        <w:rPr>
          <w:bCs/>
        </w:rPr>
        <w:t>Выбор формы направления такого требования осуществляется Бенефициаром самостоятельно.</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color w:val="000000" w:themeColor="text1"/>
        </w:rPr>
        <w:t>Платеж по Банковской гарантии осуществляется Банком-Гарантом в течение 10 (десяти) рабочих дней после обращения Заказчика. Расходы, связанные с оплатой по Банковской гарантии, несет Банк-Гарант.</w:t>
      </w:r>
    </w:p>
    <w:p>
      <w:pPr>
        <w:pStyle w:val="ListParagraph"/>
        <w:numPr>
          <w:ilvl w:val="3"/>
          <w:numId w:val="30"/>
        </w:numPr>
        <w:shd w:val="clear" w:color="auto" w:fill="FFFFFF"/>
        <w:tabs>
          <w:tab w:val="clear" w:pos="708"/>
          <w:tab w:val="left" w:pos="1418" w:leader="none"/>
          <w:tab w:val="left" w:pos="1560" w:leader="none"/>
        </w:tabs>
        <w:ind w:left="0" w:firstLine="709"/>
        <w:jc w:val="both"/>
        <w:rPr>
          <w:bCs/>
        </w:rPr>
      </w:pPr>
      <w:r>
        <w:rPr>
          <w:bCs/>
          <w:color w:val="000000" w:themeColor="text1"/>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3"/>
          <w:numId w:val="30"/>
        </w:numPr>
        <w:shd w:val="clear" w:color="auto" w:fill="FFFFFF"/>
        <w:tabs>
          <w:tab w:val="clear" w:pos="708"/>
          <w:tab w:val="left" w:pos="1418" w:leader="none"/>
        </w:tabs>
        <w:ind w:left="0" w:firstLine="567"/>
        <w:jc w:val="both"/>
        <w:rPr>
          <w:bCs/>
        </w:rPr>
      </w:pPr>
      <w:bookmarkStart w:id="38" w:name="_Ref233631550"/>
      <w:r>
        <w:rPr>
          <w:bCs/>
          <w:color w:val="000000" w:themeColor="text1"/>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разрешить спора из Банковской гарантии.</w:t>
      </w:r>
      <w:bookmarkEnd w:id="38"/>
    </w:p>
    <w:p>
      <w:pPr>
        <w:pStyle w:val="ListParagraph"/>
        <w:numPr>
          <w:ilvl w:val="3"/>
          <w:numId w:val="30"/>
        </w:numPr>
        <w:shd w:val="clear" w:color="auto" w:fill="FFFFFF"/>
        <w:tabs>
          <w:tab w:val="clear" w:pos="708"/>
          <w:tab w:val="left" w:pos="1418" w:leader="none"/>
        </w:tabs>
        <w:ind w:left="0" w:firstLine="567"/>
        <w:jc w:val="both"/>
        <w:rPr>
          <w:bCs/>
        </w:rPr>
      </w:pPr>
      <w:r>
        <w:rPr>
          <w:bCs/>
          <w:color w:val="000000" w:themeColor="text1"/>
        </w:rPr>
        <w:t xml:space="preserve"> </w:t>
      </w:r>
      <w:r>
        <w:rPr>
          <w:bCs/>
        </w:rPr>
        <w:t>Принадлежащее бенефициару по Банковской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Банка-Гаранта о смене бенефициара по Банковской гарантии</w:t>
      </w:r>
      <w:r>
        <w:rPr>
          <w:bCs/>
          <w:color w:val="000000" w:themeColor="text1"/>
        </w:rPr>
        <w:t>.</w:t>
      </w:r>
    </w:p>
    <w:p>
      <w:pPr>
        <w:pStyle w:val="ListParagraph"/>
        <w:numPr>
          <w:ilvl w:val="3"/>
          <w:numId w:val="30"/>
        </w:numPr>
        <w:shd w:val="clear" w:color="auto" w:fill="FFFFFF"/>
        <w:tabs>
          <w:tab w:val="clear" w:pos="708"/>
          <w:tab w:val="left" w:pos="1418" w:leader="none"/>
        </w:tabs>
        <w:ind w:left="0" w:firstLine="567"/>
        <w:jc w:val="both"/>
        <w:rPr>
          <w:bCs/>
        </w:rPr>
      </w:pPr>
      <w:r>
        <w:rPr>
          <w:bCs/>
          <w:color w:val="000000" w:themeColor="text1"/>
        </w:rPr>
        <w:t>Банковская гарантия не должна содержать условий или требований, противоречащих требованиям, указанным в пунктах 6.1.2.1-6.1.2.11 Договора, или делающих такие требования неисполнимыми.</w:t>
      </w:r>
    </w:p>
    <w:p>
      <w:pPr>
        <w:pStyle w:val="ListParagraph"/>
        <w:numPr>
          <w:ilvl w:val="1"/>
          <w:numId w:val="30"/>
        </w:numPr>
        <w:shd w:val="clear" w:color="auto" w:fill="FFFFFF"/>
        <w:tabs>
          <w:tab w:val="clear" w:pos="708"/>
          <w:tab w:val="left" w:pos="993" w:leader="none"/>
          <w:tab w:val="left" w:pos="1418" w:leader="none"/>
        </w:tabs>
        <w:ind w:left="0" w:firstLine="567"/>
        <w:jc w:val="both"/>
        <w:rPr>
          <w:bCs/>
        </w:rPr>
      </w:pPr>
      <w:r>
        <w:rPr>
          <w:bCs/>
        </w:rPr>
        <w:t>Банк, выдавший Банковскую гарантию, должен соответствовать критериям, установленным в Приложении № 9 к Договору.</w:t>
      </w:r>
    </w:p>
    <w:p>
      <w:pPr>
        <w:pStyle w:val="ListParagraph"/>
        <w:numPr>
          <w:ilvl w:val="1"/>
          <w:numId w:val="30"/>
        </w:numPr>
        <w:shd w:val="clear" w:color="auto" w:fill="FFFFFF"/>
        <w:tabs>
          <w:tab w:val="clear" w:pos="708"/>
          <w:tab w:val="left" w:pos="993" w:leader="none"/>
          <w:tab w:val="left" w:pos="1418" w:leader="none"/>
        </w:tabs>
        <w:ind w:left="0" w:firstLine="567"/>
        <w:jc w:val="both"/>
        <w:rPr>
          <w:bCs/>
        </w:rPr>
      </w:pPr>
      <w:r>
        <w:rPr>
          <w:bCs/>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30"/>
        </w:numPr>
        <w:shd w:val="clear" w:color="auto" w:fill="FFFFFF"/>
        <w:tabs>
          <w:tab w:val="clear" w:pos="708"/>
          <w:tab w:val="left" w:pos="993" w:leader="none"/>
          <w:tab w:val="left" w:pos="1418" w:leader="none"/>
        </w:tabs>
        <w:ind w:left="0" w:firstLine="567"/>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Подрядчиком обязательств по Договору (соответствующего Этапа Работ) при условии подтверждения их выполнения.</w:t>
      </w:r>
    </w:p>
    <w:p>
      <w:pPr>
        <w:pStyle w:val="ListParagraph"/>
        <w:numPr>
          <w:ilvl w:val="1"/>
          <w:numId w:val="30"/>
        </w:numPr>
        <w:shd w:val="clear" w:color="auto" w:fill="FFFFFF"/>
        <w:tabs>
          <w:tab w:val="clear" w:pos="708"/>
          <w:tab w:val="left" w:pos="993" w:leader="none"/>
          <w:tab w:val="left" w:pos="1418" w:leader="none"/>
        </w:tabs>
        <w:ind w:left="0" w:firstLine="567"/>
        <w:jc w:val="both"/>
        <w:rPr>
          <w:bCs/>
        </w:rPr>
      </w:pPr>
      <w:r>
        <w:rPr>
          <w:bCs/>
        </w:rPr>
        <w:t xml:space="preserve">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w:t>
      </w:r>
      <w:r>
        <w:rPr>
          <w:bCs/>
          <w:color w:val="000000" w:themeColor="text1"/>
        </w:rPr>
        <w:t>Подрядчиком</w:t>
      </w:r>
      <w:r>
        <w:rPr>
          <w:bCs/>
        </w:rPr>
        <w:t xml:space="preserve"> на новую или в нее должны быть внесены изменения, оформленные отдельным документом.</w:t>
      </w:r>
    </w:p>
    <w:p>
      <w:pPr>
        <w:pStyle w:val="ListParagraph"/>
        <w:numPr>
          <w:ilvl w:val="1"/>
          <w:numId w:val="30"/>
        </w:numPr>
        <w:shd w:val="clear" w:color="auto" w:fill="FFFFFF"/>
        <w:tabs>
          <w:tab w:val="clear" w:pos="708"/>
          <w:tab w:val="left" w:pos="993" w:leader="none"/>
          <w:tab w:val="left" w:pos="1418" w:leader="none"/>
        </w:tabs>
        <w:ind w:left="0" w:firstLine="567"/>
        <w:jc w:val="both"/>
        <w:rPr>
          <w:bCs/>
        </w:rPr>
      </w:pPr>
      <w:r>
        <w:rPr>
          <w:bCs/>
        </w:rPr>
        <w:t>В случаях</w:t>
      </w:r>
      <w:r>
        <w:rPr>
          <w:bCs/>
          <w:lang w:val="en-US"/>
        </w:rPr>
        <w:t>:</w:t>
      </w:r>
      <w:r>
        <w:rPr>
          <w:bCs/>
        </w:rPr>
        <w:t xml:space="preserve"> </w:t>
      </w:r>
    </w:p>
    <w:p>
      <w:pPr>
        <w:pStyle w:val="ListParagraph"/>
        <w:numPr>
          <w:ilvl w:val="1"/>
          <w:numId w:val="15"/>
        </w:numPr>
        <w:shd w:val="clear" w:color="auto" w:fill="FFFFFF"/>
        <w:tabs>
          <w:tab w:val="clear" w:pos="708"/>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5"/>
        </w:numPr>
        <w:shd w:val="clear" w:color="auto" w:fill="FFFFFF"/>
        <w:tabs>
          <w:tab w:val="clear" w:pos="708"/>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8"/>
          <w:tab w:val="left" w:pos="1134" w:leader="none"/>
        </w:tabs>
        <w:ind w:left="0" w:firstLine="709"/>
        <w:jc w:val="both"/>
        <w:rPr>
          <w:bCs/>
        </w:rPr>
      </w:pPr>
      <w:r>
        <w:rPr>
          <w:bCs/>
          <w:color w:val="000000" w:themeColor="text1"/>
        </w:rPr>
        <w:t>Подрядчик</w:t>
      </w:r>
      <w:r>
        <w:rPr>
          <w:bCs/>
        </w:rPr>
        <w:t xml:space="preserve"> обязан предоставить Заказчику новую Банковскую гарантию</w:t>
      </w:r>
      <w:r>
        <w:rPr/>
        <w:t xml:space="preserve"> </w:t>
      </w:r>
      <w:r>
        <w:rPr>
          <w:bCs/>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 xml:space="preserve">В случае непредставления </w:t>
      </w:r>
      <w:r>
        <w:rPr>
          <w:bCs/>
          <w:color w:val="000000" w:themeColor="text1"/>
        </w:rPr>
        <w:t>Подрядчиком</w:t>
      </w:r>
      <w:r>
        <w:rPr>
          <w:bCs/>
        </w:rPr>
        <w:t xml:space="preserve"> в установленный срок новой Банковской гарантии Заказчик вправе удерживать сумму неотработанного аванса</w:t>
      </w:r>
      <w:r>
        <w:rPr>
          <w:rStyle w:val="FootnoteReference"/>
          <w:bCs/>
        </w:rPr>
        <w:footnoteReference w:id="15"/>
      </w:r>
      <w:r>
        <w:rPr>
          <w:bCs/>
        </w:rPr>
        <w:t xml:space="preserve"> при выплате каждого платежа, причитающегося Подрядчику, до полного зачета неотработанного аванса </w:t>
      </w:r>
      <w:r>
        <w:rPr/>
        <w:t>и / или сумму ранее выплаченного Обеспечительного платежа</w:t>
      </w:r>
      <w:r>
        <w:rPr>
          <w:rStyle w:val="FootnoteReference"/>
        </w:rPr>
        <w:footnoteReference w:id="16"/>
      </w:r>
      <w:r>
        <w:rPr/>
        <w:t xml:space="preserve"> при выплате каждого платежа, причитающегося Подрядчику.</w:t>
      </w:r>
    </w:p>
    <w:p>
      <w:pPr>
        <w:pStyle w:val="ListParagraph"/>
        <w:numPr>
          <w:ilvl w:val="1"/>
          <w:numId w:val="30"/>
        </w:numPr>
        <w:shd w:val="clear" w:color="auto" w:fill="FFFFFF"/>
        <w:tabs>
          <w:tab w:val="clear" w:pos="708"/>
          <w:tab w:val="left" w:pos="993" w:leader="none"/>
          <w:tab w:val="left" w:pos="1418" w:leader="none"/>
        </w:tabs>
        <w:ind w:left="0" w:firstLine="567"/>
        <w:jc w:val="both"/>
        <w:rPr>
          <w:bCs/>
        </w:rPr>
      </w:pPr>
      <w:r>
        <w:rPr>
          <w:bCs/>
        </w:rPr>
        <w:t xml:space="preserve">Во всех случаях, предусмотренных Договором, кроме установленных пунктом 6.6 Договора, </w:t>
      </w:r>
      <w:r>
        <w:rPr>
          <w:color w:val="000000" w:themeColor="text1"/>
        </w:rPr>
        <w:t>Подрядчик</w:t>
      </w:r>
      <w:r>
        <w:rPr>
          <w:bCs/>
        </w:rPr>
        <w:t xml:space="preserve"> вправе представить Заказчику вместо новой Банковской гарантии изменения к действующей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30"/>
        </w:numPr>
        <w:shd w:val="clear" w:color="auto" w:fill="FFFFFF"/>
        <w:tabs>
          <w:tab w:val="clear" w:pos="708"/>
          <w:tab w:val="left" w:pos="993" w:leader="none"/>
          <w:tab w:val="left" w:pos="1418" w:leader="none"/>
        </w:tabs>
        <w:ind w:left="0" w:firstLine="567"/>
        <w:jc w:val="both"/>
        <w:rPr>
          <w:bCs/>
        </w:rPr>
      </w:pPr>
      <w:r>
        <w:rPr>
          <w:bCs/>
        </w:rPr>
        <w:t xml:space="preserve">Положения пункта 3.5.1 Договора применяются, если совокупный размер неотработанных авансовых платежей, уплаченных и подлежащих уплате по Договору в соответствии с выставленными счетами </w:t>
      </w:r>
      <w:r>
        <w:rPr>
          <w:bCs/>
          <w:color w:val="000000" w:themeColor="text1"/>
        </w:rPr>
        <w:t>Подрядчиком</w:t>
      </w:r>
      <w:r>
        <w:rPr>
          <w:bCs/>
        </w:rPr>
        <w:t xml:space="preserve"> составляет 5 000 000 (пять миллионов) рублей и более без учета НДС. При этом, в расчет суммы указанного в настоящем пункте Договора лимита не включаются платежи, осуществляемые в соответствии с пунктом 3.5.3 Договора.</w:t>
      </w:r>
    </w:p>
    <w:p>
      <w:pPr>
        <w:pStyle w:val="ListParagraph"/>
        <w:numPr>
          <w:ilvl w:val="1"/>
          <w:numId w:val="30"/>
        </w:numPr>
        <w:shd w:val="clear" w:color="auto" w:fill="FFFFFF" w:themeFill="background1"/>
        <w:tabs>
          <w:tab w:val="clear" w:pos="708"/>
          <w:tab w:val="left" w:pos="1134" w:leader="none"/>
        </w:tabs>
        <w:suppressAutoHyphens w:val="false"/>
        <w:ind w:left="0" w:firstLine="567"/>
        <w:jc w:val="both"/>
        <w:rPr>
          <w:bCs/>
        </w:rPr>
      </w:pPr>
      <w:r>
        <w:rPr>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highlight w:val="lightGray"/>
        </w:rPr>
        <w:footnoteReference w:id="17"/>
      </w:r>
      <w:r>
        <w:rPr>
          <w:highlight w:val="lightGray"/>
        </w:rPr>
        <w:t>.</w:t>
      </w:r>
    </w:p>
    <w:p>
      <w:pPr>
        <w:pStyle w:val="Normal"/>
        <w:shd w:val="clear" w:color="auto" w:fill="FFFFFF"/>
        <w:tabs>
          <w:tab w:val="clear" w:pos="708"/>
          <w:tab w:val="left" w:pos="1134" w:leader="none"/>
        </w:tabs>
        <w:suppressAutoHyphens w:val="false"/>
        <w:ind w:left="851" w:hanging="0"/>
        <w:rPr>
          <w:bCs/>
        </w:rPr>
      </w:pPr>
      <w:r>
        <w:rPr>
          <w:bCs/>
        </w:rPr>
      </w:r>
    </w:p>
    <w:p>
      <w:pPr>
        <w:pStyle w:val="Normal"/>
        <w:shd w:val="clear" w:color="auto" w:fill="FFFFFF"/>
        <w:tabs>
          <w:tab w:val="clear" w:pos="708"/>
          <w:tab w:val="left" w:pos="1134" w:leader="none"/>
        </w:tabs>
        <w:spacing w:lineRule="auto" w:line="240"/>
        <w:ind w:hanging="0"/>
        <w:jc w:val="center"/>
        <w:rPr>
          <w:bCs/>
        </w:rPr>
      </w:pPr>
      <w:r>
        <w:rPr>
          <w:bCs/>
        </w:rPr>
      </w:r>
    </w:p>
    <w:p>
      <w:pPr>
        <w:pStyle w:val="ListParagraph"/>
        <w:numPr>
          <w:ilvl w:val="0"/>
          <w:numId w:val="23"/>
        </w:numPr>
        <w:shd w:val="clear" w:color="auto" w:fill="FFFFFF"/>
        <w:tabs>
          <w:tab w:val="clear" w:pos="708"/>
          <w:tab w:val="left" w:pos="284" w:leader="none"/>
        </w:tabs>
        <w:ind w:left="0" w:hanging="0"/>
        <w:jc w:val="center"/>
        <w:rPr>
          <w:b/>
          <w:bCs/>
        </w:rPr>
      </w:pPr>
      <w:r>
        <w:rPr>
          <w:b/>
          <w:bCs/>
        </w:rPr>
        <w:t>Ответственность Сторон</w:t>
      </w:r>
    </w:p>
    <w:p>
      <w:pPr>
        <w:pStyle w:val="ListParagraph"/>
        <w:numPr>
          <w:ilvl w:val="1"/>
          <w:numId w:val="23"/>
        </w:numPr>
        <w:shd w:val="clear" w:color="auto" w:fill="FFFFFF"/>
        <w:tabs>
          <w:tab w:val="clear" w:pos="708"/>
          <w:tab w:val="left" w:pos="0" w:leader="none"/>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23"/>
        </w:numPr>
        <w:tabs>
          <w:tab w:val="clear" w:pos="708"/>
          <w:tab w:val="left" w:pos="0" w:leader="none"/>
          <w:tab w:val="left" w:pos="1134" w:leader="none"/>
        </w:tabs>
        <w:spacing w:lineRule="auto" w:line="240"/>
        <w:ind w:left="0" w:firstLine="709"/>
        <w:rPr>
          <w:bCs/>
          <w:sz w:val="24"/>
          <w:szCs w:val="24"/>
        </w:rPr>
      </w:pPr>
      <w:r>
        <w:rPr>
          <w:bCs/>
          <w:sz w:val="24"/>
          <w:szCs w:val="24"/>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23"/>
        </w:numPr>
        <w:tabs>
          <w:tab w:val="clear" w:pos="708"/>
          <w:tab w:val="left" w:pos="0" w:leader="none"/>
          <w:tab w:val="left" w:pos="1134" w:leader="none"/>
        </w:tabs>
        <w:spacing w:lineRule="auto" w:line="240"/>
        <w:ind w:left="0" w:firstLine="709"/>
        <w:rPr>
          <w:bCs/>
          <w:sz w:val="24"/>
          <w:szCs w:val="24"/>
        </w:rPr>
      </w:pPr>
      <w:r>
        <w:rPr>
          <w:bCs/>
          <w:sz w:val="24"/>
          <w:szCs w:val="24"/>
        </w:rPr>
        <w:t xml:space="preserve">В случае нарушения Заказчиком сроков оплаты, установленных разделом 4 Договора (за исключением срока уплаты авансовых платежей), </w:t>
      </w:r>
      <w:r>
        <w:rPr>
          <w:bCs/>
          <w:color w:val="000000" w:themeColor="text1"/>
          <w:sz w:val="24"/>
          <w:szCs w:val="24"/>
        </w:rPr>
        <w:t>Подрядчик</w:t>
      </w:r>
      <w:r>
        <w:rPr>
          <w:bCs/>
          <w:sz w:val="24"/>
          <w:szCs w:val="24"/>
        </w:rPr>
        <w:t xml:space="preserve">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numPr>
          <w:ilvl w:val="1"/>
          <w:numId w:val="23"/>
        </w:numPr>
        <w:tabs>
          <w:tab w:val="clear" w:pos="708"/>
          <w:tab w:val="left" w:pos="0" w:leader="none"/>
          <w:tab w:val="left" w:pos="1134" w:leader="none"/>
        </w:tabs>
        <w:spacing w:lineRule="auto" w:line="240"/>
        <w:ind w:left="0" w:firstLine="709"/>
        <w:rPr>
          <w:bCs/>
          <w:sz w:val="24"/>
          <w:szCs w:val="24"/>
        </w:rPr>
      </w:pPr>
      <w:r>
        <w:rPr>
          <w:bCs/>
          <w:sz w:val="24"/>
          <w:szCs w:val="24"/>
        </w:rPr>
        <w:t xml:space="preserve">В случае </w:t>
      </w:r>
      <w:r>
        <w:rPr>
          <w:sz w:val="24"/>
          <w:szCs w:val="24"/>
        </w:rPr>
        <w:t>нарушения Подрядчиком обязательств по выполнению Работ, в том числе сроков выполнения Этапов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Результата Работ, Заказчик вправе требовать уплаты Подрядчиком</w:t>
      </w:r>
      <w:r>
        <w:rPr>
          <w:color w:val="000000" w:themeColor="text1"/>
          <w:sz w:val="24"/>
          <w:szCs w:val="24"/>
        </w:rPr>
        <w:t>:</w:t>
      </w:r>
    </w:p>
    <w:p>
      <w:pPr>
        <w:pStyle w:val="ListParagraph"/>
        <w:numPr>
          <w:ilvl w:val="2"/>
          <w:numId w:val="23"/>
        </w:numPr>
        <w:shd w:val="clear" w:color="auto" w:fill="FFFFFF"/>
        <w:tabs>
          <w:tab w:val="clear" w:pos="708"/>
          <w:tab w:val="left" w:pos="0" w:leader="none"/>
          <w:tab w:val="left" w:pos="709" w:leader="none"/>
          <w:tab w:val="left" w:pos="1134" w:leader="none"/>
          <w:tab w:val="left" w:pos="1418" w:leader="none"/>
        </w:tabs>
        <w:ind w:left="0" w:firstLine="709"/>
        <w:jc w:val="both"/>
        <w:rPr>
          <w:bCs/>
        </w:rPr>
      </w:pPr>
      <w:r>
        <w:rPr>
          <w:rFonts w:eastAsia="Calibri"/>
          <w:bCs/>
        </w:rPr>
        <w:t>неустойки в размере 0,1 (ноль целых и одна десятая) процента от стоимости Этапа Работ за каждый день просрочки выполнения Работ;</w:t>
      </w:r>
    </w:p>
    <w:p>
      <w:pPr>
        <w:pStyle w:val="ListParagraph"/>
        <w:numPr>
          <w:ilvl w:val="2"/>
          <w:numId w:val="23"/>
        </w:numPr>
        <w:shd w:val="clear" w:color="auto" w:fill="FFFFFF"/>
        <w:tabs>
          <w:tab w:val="clear" w:pos="708"/>
          <w:tab w:val="left" w:pos="0" w:leader="none"/>
          <w:tab w:val="left" w:pos="709" w:leader="none"/>
          <w:tab w:val="left" w:pos="1134" w:leader="none"/>
          <w:tab w:val="left" w:pos="1418" w:leader="none"/>
        </w:tabs>
        <w:ind w:left="0" w:firstLine="709"/>
        <w:jc w:val="both"/>
        <w:rPr>
          <w:bCs/>
        </w:rPr>
      </w:pPr>
      <w:r>
        <w:rPr>
          <w:rFonts w:eastAsia="Calibri"/>
          <w:bCs/>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w:t>
      </w:r>
    </w:p>
    <w:p>
      <w:pPr>
        <w:pStyle w:val="ListParagraph"/>
        <w:numPr>
          <w:ilvl w:val="2"/>
          <w:numId w:val="23"/>
        </w:numPr>
        <w:shd w:val="clear" w:color="auto" w:fill="FFFFFF"/>
        <w:tabs>
          <w:tab w:val="clear" w:pos="708"/>
          <w:tab w:val="left" w:pos="142" w:leader="none"/>
          <w:tab w:val="left" w:pos="709" w:leader="none"/>
          <w:tab w:val="left" w:pos="1134" w:leader="none"/>
          <w:tab w:val="left" w:pos="1418" w:leader="none"/>
        </w:tabs>
        <w:ind w:left="0" w:firstLine="709"/>
        <w:jc w:val="both"/>
        <w:rPr>
          <w:bCs/>
        </w:rPr>
      </w:pPr>
      <w:r>
        <w:rPr>
          <w:rFonts w:eastAsia="Calibri"/>
          <w:bCs/>
        </w:rPr>
        <w:t>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w:t>
      </w:r>
    </w:p>
    <w:p>
      <w:pPr>
        <w:pStyle w:val="Normal"/>
        <w:numPr>
          <w:ilvl w:val="1"/>
          <w:numId w:val="23"/>
        </w:numPr>
        <w:tabs>
          <w:tab w:val="clear" w:pos="708"/>
          <w:tab w:val="left" w:pos="142" w:leader="none"/>
          <w:tab w:val="left" w:pos="1134" w:leader="none"/>
        </w:tabs>
        <w:spacing w:lineRule="auto" w:line="240"/>
        <w:ind w:left="0" w:firstLine="709"/>
        <w:rPr>
          <w:bCs/>
          <w:sz w:val="24"/>
          <w:szCs w:val="24"/>
        </w:rPr>
      </w:pPr>
      <w:r>
        <w:rPr>
          <w:bCs/>
          <w:sz w:val="24"/>
          <w:szCs w:val="24"/>
        </w:rPr>
        <w:t xml:space="preserve">На сумму подлежащего возврату </w:t>
      </w:r>
      <w:r>
        <w:rPr>
          <w:bCs/>
          <w:color w:val="000000" w:themeColor="text1"/>
          <w:sz w:val="24"/>
          <w:szCs w:val="24"/>
        </w:rPr>
        <w:t>Подрядчиком</w:t>
      </w:r>
      <w:r>
        <w:rPr>
          <w:bCs/>
          <w:sz w:val="24"/>
          <w:szCs w:val="24"/>
        </w:rPr>
        <w:t xml:space="preserve">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3"/>
        </w:numPr>
        <w:tabs>
          <w:tab w:val="clear" w:pos="708"/>
          <w:tab w:val="left" w:pos="142" w:leader="none"/>
          <w:tab w:val="left" w:pos="1134" w:leader="none"/>
        </w:tabs>
        <w:ind w:left="0" w:firstLine="709"/>
        <w:jc w:val="both"/>
        <w:rPr>
          <w:bCs/>
        </w:rPr>
      </w:pPr>
      <w:r>
        <w:rPr>
          <w:bCs/>
        </w:rPr>
        <w:t xml:space="preserve">В случае нарушения </w:t>
      </w:r>
      <w:r>
        <w:rPr/>
        <w:t>Подрядчиком</w:t>
      </w:r>
      <w:r>
        <w:rPr>
          <w:bCs/>
        </w:rPr>
        <w:t xml:space="preserve">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w:t>
      </w:r>
      <w:r>
        <w:rPr>
          <w:bCs/>
          <w:color w:val="000000" w:themeColor="text1"/>
        </w:rPr>
        <w:t>Подрядчиком</w:t>
      </w:r>
      <w:r>
        <w:rPr>
          <w:bCs/>
        </w:rPr>
        <w:t xml:space="preserve"> штрафа в размерах, установленных Приложением № 6 к Договору.</w:t>
        <w:tab/>
      </w:r>
    </w:p>
    <w:p>
      <w:pPr>
        <w:pStyle w:val="Normal"/>
        <w:numPr>
          <w:ilvl w:val="1"/>
          <w:numId w:val="23"/>
        </w:numPr>
        <w:tabs>
          <w:tab w:val="clear" w:pos="708"/>
          <w:tab w:val="left" w:pos="142" w:leader="none"/>
          <w:tab w:val="left" w:pos="1134" w:leader="none"/>
        </w:tabs>
        <w:spacing w:lineRule="auto" w:line="240"/>
        <w:ind w:left="0" w:firstLine="709"/>
        <w:rPr>
          <w:bCs/>
          <w:sz w:val="24"/>
          <w:szCs w:val="24"/>
        </w:rPr>
      </w:pPr>
      <w:r>
        <w:rPr>
          <w:bCs/>
          <w:sz w:val="24"/>
          <w:szCs w:val="24"/>
        </w:rPr>
        <w:t xml:space="preserve">Если в результате составления и выставления </w:t>
      </w:r>
      <w:r>
        <w:rPr>
          <w:bCs/>
          <w:color w:val="000000" w:themeColor="text1"/>
          <w:sz w:val="24"/>
          <w:szCs w:val="24"/>
        </w:rPr>
        <w:t>Подрядчиком</w:t>
      </w:r>
      <w:r>
        <w:rPr>
          <w:bCs/>
          <w:sz w:val="24"/>
          <w:szCs w:val="24"/>
        </w:rPr>
        <w:t xml:space="preserve">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w:t>
      </w:r>
      <w:r>
        <w:rPr>
          <w:bCs/>
          <w:color w:val="000000" w:themeColor="text1"/>
          <w:sz w:val="24"/>
          <w:szCs w:val="24"/>
        </w:rPr>
        <w:t>Подрядчиком</w:t>
      </w:r>
      <w:r>
        <w:rPr>
          <w:bCs/>
          <w:sz w:val="24"/>
          <w:szCs w:val="24"/>
        </w:rPr>
        <w:t xml:space="preserve"> сроков предоставления счетов-фактур, установленных пунктом 4.9 Договора, Заказчик вправе требовать уплаты </w:t>
      </w:r>
      <w:r>
        <w:rPr>
          <w:bCs/>
          <w:color w:val="000000" w:themeColor="text1"/>
          <w:sz w:val="24"/>
          <w:szCs w:val="24"/>
        </w:rPr>
        <w:t>Подрядчиком</w:t>
      </w:r>
      <w:r>
        <w:rPr>
          <w:bCs/>
          <w:sz w:val="24"/>
          <w:szCs w:val="24"/>
        </w:rPr>
        <w:t xml:space="preserve"> штрафа в размере 50 000 (пятидесяти тысяч) рублей за каждый случай нарушения.</w:t>
      </w:r>
    </w:p>
    <w:p>
      <w:pPr>
        <w:pStyle w:val="ListParagraph"/>
        <w:numPr>
          <w:ilvl w:val="1"/>
          <w:numId w:val="23"/>
        </w:numPr>
        <w:shd w:val="clear" w:color="auto" w:fill="FFFFFF"/>
        <w:tabs>
          <w:tab w:val="clear" w:pos="708"/>
          <w:tab w:val="left" w:pos="1134" w:leader="none"/>
        </w:tabs>
        <w:ind w:left="0" w:firstLine="709"/>
        <w:jc w:val="both"/>
        <w:rPr/>
      </w:pPr>
      <w:r>
        <w:rPr>
          <w:bCs/>
        </w:rPr>
        <w:t xml:space="preserve">За непредоставление либо несвоевременное предоставление / переоформление </w:t>
      </w:r>
      <w:r>
        <w:rPr>
          <w:bCs/>
          <w:color w:val="000000" w:themeColor="text1"/>
        </w:rPr>
        <w:t>Подрядчиком</w:t>
      </w:r>
      <w:r>
        <w:rPr>
          <w:bCs/>
        </w:rPr>
        <w:t xml:space="preserve"> Банковских гарантий, предусмотренных Договором, в порядке и сроки, установленные Договором, Заказчик вправе требовать уплаты Подрядчиком неустойки в размере 0,03 (ноль целых и три сотых) процента от Цены Договора за каждый день просрочки.</w:t>
      </w:r>
    </w:p>
    <w:p>
      <w:pPr>
        <w:pStyle w:val="ListParagraph"/>
        <w:numPr>
          <w:ilvl w:val="1"/>
          <w:numId w:val="23"/>
        </w:numPr>
        <w:shd w:val="clear" w:color="auto" w:fill="FFFFFF"/>
        <w:tabs>
          <w:tab w:val="clear" w:pos="708"/>
          <w:tab w:val="left" w:pos="1134" w:leader="none"/>
        </w:tabs>
        <w:ind w:left="0" w:firstLine="709"/>
        <w:jc w:val="both"/>
        <w:rPr/>
      </w:pPr>
      <w:r>
        <w:rPr/>
        <w:t>В случае если неисполнение / ненадлежащее исполнение Подрядчиком обязательств по Договору повлекло за собой нарушение Заказчиком обязательств на оптовом и / или розничных рынках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Подрядчиком своих обязательств.</w:t>
      </w:r>
    </w:p>
    <w:p>
      <w:pPr>
        <w:pStyle w:val="Normal"/>
        <w:tabs>
          <w:tab w:val="clear" w:pos="708"/>
          <w:tab w:val="left" w:pos="0" w:leader="none"/>
          <w:tab w:val="left" w:pos="1701" w:leader="none"/>
        </w:tabs>
        <w:spacing w:lineRule="auto" w:line="240"/>
        <w:ind w:firstLine="709"/>
        <w:rPr>
          <w:sz w:val="24"/>
        </w:rPr>
      </w:pPr>
      <w:r>
        <w:rPr>
          <w:sz w:val="24"/>
        </w:rPr>
        <w:t>Кроме суммы реального ущерба, Подрядчик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tabs>
          <w:tab w:val="clear" w:pos="708"/>
          <w:tab w:val="left" w:pos="0" w:leader="none"/>
          <w:tab w:val="left" w:pos="1701" w:leader="none"/>
        </w:tabs>
        <w:spacing w:lineRule="auto" w:line="240"/>
        <w:ind w:firstLine="709"/>
        <w:rPr>
          <w:sz w:val="24"/>
        </w:rPr>
      </w:pPr>
      <w:r>
        <w:rPr>
          <w:sz w:val="24"/>
        </w:rPr>
        <w:t>Размер упущенной выгоды (выручки) подтверждается (по выбору Заказчика):</w:t>
      </w:r>
    </w:p>
    <w:p>
      <w:pPr>
        <w:pStyle w:val="Normal"/>
        <w:numPr>
          <w:ilvl w:val="0"/>
          <w:numId w:val="27"/>
        </w:numPr>
        <w:tabs>
          <w:tab w:val="clear" w:pos="708"/>
          <w:tab w:val="left" w:pos="0" w:leader="none"/>
          <w:tab w:val="left" w:pos="1134" w:leader="none"/>
        </w:tabs>
        <w:suppressAutoHyphens w:val="false"/>
        <w:spacing w:lineRule="auto" w:line="240"/>
        <w:ind w:left="0" w:firstLine="709"/>
        <w:rPr>
          <w:sz w:val="24"/>
        </w:rPr>
      </w:pPr>
      <w:r>
        <w:rPr>
          <w:sz w:val="24"/>
        </w:rPr>
        <w:t>в ценовой зоне оптового рынка:</w:t>
      </w:r>
    </w:p>
    <w:p>
      <w:pPr>
        <w:pStyle w:val="Normal"/>
        <w:tabs>
          <w:tab w:val="clear" w:pos="708"/>
          <w:tab w:val="left" w:pos="0" w:leader="none"/>
          <w:tab w:val="left" w:pos="1134" w:leader="none"/>
        </w:tabs>
        <w:spacing w:lineRule="auto" w:line="240"/>
        <w:ind w:firstLine="709"/>
        <w:rPr>
          <w:sz w:val="24"/>
        </w:rPr>
      </w:pPr>
      <w:r>
        <w:rPr>
          <w:sz w:val="24"/>
        </w:rPr>
        <w:t xml:space="preserve">расчетом, подготовленным Коммерческим оператором оптового рынка; </w:t>
      </w:r>
    </w:p>
    <w:p>
      <w:pPr>
        <w:pStyle w:val="Normal"/>
        <w:tabs>
          <w:tab w:val="clear" w:pos="708"/>
          <w:tab w:val="left" w:pos="0" w:leader="none"/>
          <w:tab w:val="left" w:pos="1134" w:leader="none"/>
        </w:tabs>
        <w:spacing w:lineRule="auto" w:line="240"/>
        <w:ind w:firstLine="709"/>
        <w:rPr>
          <w:sz w:val="24"/>
        </w:rPr>
      </w:pPr>
      <w:r>
        <w:rPr>
          <w:sz w:val="24"/>
        </w:rPr>
        <w:t>и / или</w:t>
      </w:r>
    </w:p>
    <w:p>
      <w:pPr>
        <w:pStyle w:val="Normal"/>
        <w:tabs>
          <w:tab w:val="clear" w:pos="708"/>
          <w:tab w:val="left" w:pos="0" w:leader="none"/>
          <w:tab w:val="left" w:pos="1134" w:leader="none"/>
        </w:tabs>
        <w:spacing w:lineRule="auto" w:line="240"/>
        <w:ind w:firstLine="709"/>
        <w:rPr>
          <w:sz w:val="24"/>
        </w:rPr>
      </w:pPr>
      <w:r>
        <w:rPr>
          <w:sz w:val="24"/>
        </w:rPr>
        <w:t>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t>
      </w:r>
    </w:p>
    <w:p>
      <w:pPr>
        <w:pStyle w:val="Normal"/>
        <w:numPr>
          <w:ilvl w:val="0"/>
          <w:numId w:val="27"/>
        </w:numPr>
        <w:tabs>
          <w:tab w:val="clear" w:pos="708"/>
          <w:tab w:val="left" w:pos="1134" w:leader="none"/>
        </w:tabs>
        <w:suppressAutoHyphens w:val="false"/>
        <w:spacing w:lineRule="auto" w:line="240"/>
        <w:ind w:left="0" w:firstLine="709"/>
        <w:rPr>
          <w:sz w:val="24"/>
        </w:rPr>
      </w:pPr>
      <w:r>
        <w:rPr>
          <w:sz w:val="24"/>
        </w:rPr>
        <w:t xml:space="preserve">в отдельной территории ценовой зоны оптового рынка, ранее относившейся к неценовой зоне оптового рынка Дальнего Востока: </w:t>
      </w:r>
    </w:p>
    <w:p>
      <w:pPr>
        <w:pStyle w:val="Normal"/>
        <w:tabs>
          <w:tab w:val="clear" w:pos="708"/>
          <w:tab w:val="left" w:pos="0" w:leader="none"/>
          <w:tab w:val="left" w:pos="1134" w:leader="none"/>
        </w:tabs>
        <w:spacing w:lineRule="auto" w:line="240"/>
        <w:ind w:firstLine="709"/>
        <w:rPr>
          <w:sz w:val="24"/>
        </w:rPr>
      </w:pPr>
      <w:r>
        <w:rPr>
          <w:sz w:val="24"/>
        </w:rPr>
        <w:t>до даты утверждения Наблюдательным советом Ассоциации «НП Совет рынка» изменений в методику определения в 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 (Приложение № 10 к Договору);</w:t>
      </w:r>
    </w:p>
    <w:p>
      <w:pPr>
        <w:pStyle w:val="Normal"/>
        <w:tabs>
          <w:tab w:val="clear" w:pos="708"/>
          <w:tab w:val="left" w:pos="0" w:leader="none"/>
          <w:tab w:val="left" w:pos="1134" w:leader="none"/>
        </w:tabs>
        <w:spacing w:lineRule="auto" w:line="240"/>
        <w:ind w:firstLine="709"/>
        <w:rPr>
          <w:sz w:val="24"/>
        </w:rPr>
      </w:pPr>
      <w:r>
        <w:rPr>
          <w:sz w:val="24"/>
        </w:rPr>
        <w:t>после утверждения Наблюдательным советом Ассоциации «НП Совет рынка» изменений в методику определения в ценовых зонах ОРЭМ упущенной выручки от недопоставки электрической энергии и мощности на ОРЭМ:</w:t>
      </w:r>
    </w:p>
    <w:p>
      <w:pPr>
        <w:pStyle w:val="Normal"/>
        <w:tabs>
          <w:tab w:val="clear" w:pos="708"/>
          <w:tab w:val="left" w:pos="0" w:leader="none"/>
          <w:tab w:val="left" w:pos="1134" w:leader="none"/>
        </w:tabs>
        <w:spacing w:lineRule="auto" w:line="240"/>
        <w:ind w:firstLine="709"/>
        <w:rPr>
          <w:sz w:val="24"/>
        </w:rPr>
      </w:pPr>
      <w:r>
        <w:rPr>
          <w:sz w:val="24"/>
        </w:rPr>
        <w:t xml:space="preserve">расчетом, подготовленным Коммерческим оператором оптового рынка; </w:t>
      </w:r>
    </w:p>
    <w:p>
      <w:pPr>
        <w:pStyle w:val="Normal"/>
        <w:tabs>
          <w:tab w:val="clear" w:pos="708"/>
          <w:tab w:val="left" w:pos="0" w:leader="none"/>
          <w:tab w:val="left" w:pos="1134" w:leader="none"/>
        </w:tabs>
        <w:spacing w:lineRule="auto" w:line="240"/>
        <w:ind w:firstLine="709"/>
        <w:rPr>
          <w:sz w:val="24"/>
        </w:rPr>
      </w:pPr>
      <w:r>
        <w:rPr>
          <w:sz w:val="24"/>
        </w:rPr>
        <w:t>и / или</w:t>
      </w:r>
    </w:p>
    <w:p>
      <w:pPr>
        <w:pStyle w:val="Normal"/>
        <w:tabs>
          <w:tab w:val="clear" w:pos="708"/>
          <w:tab w:val="left" w:pos="0" w:leader="none"/>
          <w:tab w:val="left" w:pos="1134" w:leader="none"/>
        </w:tabs>
        <w:spacing w:lineRule="auto" w:line="240"/>
        <w:ind w:firstLine="709"/>
        <w:rPr>
          <w:sz w:val="24"/>
        </w:rPr>
      </w:pPr>
      <w:r>
        <w:rPr>
          <w:sz w:val="24"/>
        </w:rPr>
        <w:t>расчетом, подготовленным Заказчиком на основании методики, утвержденной Наблюдательным советом Ассоциации «НП Совет рынка».</w:t>
      </w:r>
    </w:p>
    <w:p>
      <w:pPr>
        <w:pStyle w:val="Normal"/>
        <w:tabs>
          <w:tab w:val="clear" w:pos="708"/>
          <w:tab w:val="left" w:pos="0" w:leader="none"/>
          <w:tab w:val="left" w:pos="1701" w:leader="none"/>
        </w:tabs>
        <w:spacing w:lineRule="auto" w:line="240"/>
        <w:ind w:firstLine="709"/>
        <w:rPr>
          <w:sz w:val="24"/>
        </w:rPr>
      </w:pPr>
      <w:r>
        <w:rPr>
          <w:sz w:val="24"/>
        </w:rPr>
        <w:t xml:space="preserve">В отношении вновь вводимого оборудования ГЭС / ГАЭС – объектов ДПМ, ДПМ ВИЭ в ценовых зонах ОРЭМ </w:t>
      </w:r>
      <w:r>
        <w:rPr>
          <w:bCs/>
          <w:sz w:val="24"/>
        </w:rPr>
        <w:t>Подрядчик</w:t>
      </w:r>
      <w:r>
        <w:rPr>
          <w:sz w:val="24"/>
        </w:rPr>
        <w:t xml:space="preserve"> дополнительно компенсирует Заказчику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tabs>
          <w:tab w:val="clear" w:pos="708"/>
          <w:tab w:val="left" w:pos="0" w:leader="none"/>
          <w:tab w:val="left" w:pos="1701" w:leader="none"/>
        </w:tabs>
        <w:spacing w:lineRule="auto" w:line="240"/>
        <w:ind w:firstLine="709"/>
        <w:rPr>
          <w:sz w:val="24"/>
        </w:rPr>
      </w:pPr>
      <w:r>
        <w:rPr>
          <w:sz w:val="24"/>
        </w:rPr>
        <w: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оптового рынка Дальнего Востока Подрядчик дополнительно компенсирует Заказчику упущенную выгоду (выручку) в связи: </w:t>
      </w:r>
    </w:p>
    <w:p>
      <w:pPr>
        <w:pStyle w:val="ListParagraph"/>
        <w:numPr>
          <w:ilvl w:val="2"/>
          <w:numId w:val="23"/>
        </w:numPr>
        <w:tabs>
          <w:tab w:val="clear" w:pos="708"/>
          <w:tab w:val="left" w:pos="1276" w:leader="none"/>
          <w:tab w:val="left" w:pos="1701" w:leader="none"/>
        </w:tabs>
        <w:suppressAutoHyphens w:val="false"/>
        <w:ind w:left="0" w:firstLine="709"/>
        <w:jc w:val="both"/>
        <w:rPr/>
      </w:pPr>
      <w:r>
        <w:rPr/>
        <w:t>С неоплатой мощности из-за просрочки исполнения обязательства по поставке мощности модернизированным объектом.</w:t>
      </w:r>
    </w:p>
    <w:p>
      <w:pPr>
        <w:pStyle w:val="Normal"/>
        <w:tabs>
          <w:tab w:val="clear" w:pos="708"/>
          <w:tab w:val="left" w:pos="0" w:leader="none"/>
          <w:tab w:val="left" w:pos="1276" w:leader="none"/>
          <w:tab w:val="left" w:pos="1701" w:leader="none"/>
        </w:tabs>
        <w:spacing w:lineRule="auto" w:line="240"/>
        <w:ind w:firstLine="709"/>
        <w:rPr>
          <w:sz w:val="24"/>
        </w:rPr>
      </w:pPr>
      <w:r>
        <w:rPr>
          <w:sz w:val="24"/>
        </w:rPr>
        <w:t>Размер упущенной выгоды для каждого месяца просрочки определяется в соответствии с Правилами ОРЭМ.</w:t>
      </w:r>
    </w:p>
    <w:p>
      <w:pPr>
        <w:pStyle w:val="ListParagraph"/>
        <w:numPr>
          <w:ilvl w:val="2"/>
          <w:numId w:val="23"/>
        </w:numPr>
        <w:tabs>
          <w:tab w:val="clear" w:pos="708"/>
          <w:tab w:val="left" w:pos="1276" w:leader="none"/>
          <w:tab w:val="left" w:pos="1701" w:leader="none"/>
        </w:tabs>
        <w:suppressAutoHyphens w:val="false"/>
        <w:ind w:left="0" w:firstLine="709"/>
        <w:jc w:val="both"/>
        <w:rPr/>
      </w:pPr>
      <w:r>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t>
      </w:r>
    </w:p>
    <w:p>
      <w:pPr>
        <w:pStyle w:val="Normal"/>
        <w:tabs>
          <w:tab w:val="clear" w:pos="708"/>
          <w:tab w:val="left" w:pos="0" w:leader="none"/>
          <w:tab w:val="left" w:pos="1276" w:leader="none"/>
          <w:tab w:val="left" w:pos="1701" w:leader="none"/>
        </w:tabs>
        <w:spacing w:lineRule="auto" w:line="240"/>
        <w:ind w:firstLine="709"/>
        <w:rPr>
          <w:sz w:val="24"/>
          <w:szCs w:val="24"/>
        </w:rPr>
      </w:pPr>
      <w:r>
        <w:rPr>
          <w:sz w:val="24"/>
          <w:szCs w:val="24"/>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tabs>
          <w:tab w:val="clear" w:pos="708"/>
          <w:tab w:val="left" w:pos="1276" w:leader="none"/>
          <w:tab w:val="left" w:pos="1701" w:leader="none"/>
        </w:tabs>
        <w:suppressAutoHyphens w:val="false"/>
        <w:ind w:left="0" w:firstLine="709"/>
        <w:jc w:val="both"/>
        <w:rPr/>
      </w:pPr>
      <w:r>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t>
      </w:r>
    </w:p>
    <w:p>
      <w:pPr>
        <w:pStyle w:val="ListParagraph"/>
        <w:numPr>
          <w:ilvl w:val="1"/>
          <w:numId w:val="23"/>
        </w:numPr>
        <w:shd w:val="clear" w:color="auto" w:fill="FFFFFF"/>
        <w:tabs>
          <w:tab w:val="clear" w:pos="708"/>
          <w:tab w:val="left" w:pos="1134" w:leader="none"/>
        </w:tabs>
        <w:ind w:left="0" w:firstLine="709"/>
        <w:jc w:val="both"/>
        <w:rPr>
          <w:bCs/>
        </w:rPr>
      </w:pPr>
      <w:r>
        <w:rPr>
          <w:bCs/>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3"/>
        </w:numPr>
        <w:shd w:val="clear" w:color="auto" w:fill="FFFFFF"/>
        <w:tabs>
          <w:tab w:val="clear" w:pos="708"/>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3"/>
        </w:numPr>
        <w:shd w:val="clear" w:color="auto" w:fill="FFFFFF"/>
        <w:tabs>
          <w:tab w:val="clear" w:pos="708"/>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3"/>
        </w:numPr>
        <w:shd w:val="clear" w:color="auto" w:fill="FFFFFF"/>
        <w:tabs>
          <w:tab w:val="clear" w:pos="708"/>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23"/>
        </w:numPr>
        <w:shd w:val="clear" w:color="auto" w:fill="FFFFFF"/>
        <w:tabs>
          <w:tab w:val="clear" w:pos="708"/>
          <w:tab w:val="left" w:pos="1134"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numPr>
          <w:ilvl w:val="1"/>
          <w:numId w:val="23"/>
        </w:numPr>
        <w:shd w:val="clear" w:color="auto" w:fill="FFFFFF"/>
        <w:tabs>
          <w:tab w:val="clear" w:pos="708"/>
          <w:tab w:val="left" w:pos="1134" w:leader="none"/>
        </w:tabs>
        <w:ind w:left="0" w:firstLine="709"/>
        <w:jc w:val="both"/>
        <w:rPr>
          <w:bCs/>
        </w:rPr>
      </w:pPr>
      <w:r>
        <w:rPr>
          <w:bCs/>
        </w:rPr>
        <w:t>В случае предъявления к Заказчику</w:t>
      </w:r>
      <w:r>
        <w:rPr>
          <w:bCs/>
          <w:color w:val="000000" w:themeColor="text1"/>
        </w:rPr>
        <w:t xml:space="preserve"> и/или АО «УК ГидроОГК»</w:t>
      </w:r>
      <w:r>
        <w:rPr>
          <w:bCs/>
        </w:rPr>
        <w:t xml:space="preserve"> государственными органами или иными лицами требований о возмещении убытков и/или уплате штрафных санкций в связи с неисполнением / ненадлежащим исполнением Подрядчиком своих обязательств по Договору, Подрядчик обязуется в полном объеме возместить Заказчику </w:t>
      </w:r>
      <w:r>
        <w:rPr>
          <w:bCs/>
          <w:color w:val="000000" w:themeColor="text1"/>
        </w:rPr>
        <w:t xml:space="preserve">или АО «УК ГидроОГК» </w:t>
      </w:r>
      <w:r>
        <w:rPr>
          <w:bCs/>
        </w:rPr>
        <w:t>сумму этих убытков и/или штрафных санкций.</w:t>
      </w:r>
    </w:p>
    <w:p>
      <w:pPr>
        <w:pStyle w:val="ListParagraph"/>
        <w:shd w:val="clear" w:color="auto" w:fill="FFFFFF"/>
        <w:tabs>
          <w:tab w:val="clear" w:pos="708"/>
          <w:tab w:val="left" w:pos="1134" w:leader="none"/>
        </w:tabs>
        <w:ind w:left="709" w:hanging="0"/>
        <w:jc w:val="both"/>
        <w:rPr>
          <w:bCs/>
        </w:rPr>
      </w:pPr>
      <w:r>
        <w:rPr>
          <w:bCs/>
        </w:rPr>
      </w:r>
    </w:p>
    <w:p>
      <w:pPr>
        <w:pStyle w:val="ListParagraph"/>
        <w:numPr>
          <w:ilvl w:val="0"/>
          <w:numId w:val="23"/>
        </w:numPr>
        <w:shd w:val="clear" w:color="auto" w:fill="FFFFFF"/>
        <w:tabs>
          <w:tab w:val="clear" w:pos="708"/>
          <w:tab w:val="left" w:pos="284" w:leader="none"/>
        </w:tabs>
        <w:ind w:left="0" w:hanging="0"/>
        <w:jc w:val="center"/>
        <w:rPr>
          <w:b/>
          <w:bCs/>
        </w:rPr>
      </w:pPr>
      <w:r>
        <w:rPr>
          <w:b/>
          <w:bCs/>
        </w:rPr>
        <w:t>Гарантии качества Результата Работ</w:t>
      </w:r>
    </w:p>
    <w:p>
      <w:pPr>
        <w:pStyle w:val="Normal"/>
        <w:numPr>
          <w:ilvl w:val="1"/>
          <w:numId w:val="23"/>
        </w:numPr>
        <w:tabs>
          <w:tab w:val="clear" w:pos="708"/>
          <w:tab w:val="left" w:pos="1134" w:leader="none"/>
        </w:tabs>
        <w:spacing w:lineRule="auto" w:line="240"/>
        <w:ind w:left="0" w:firstLine="709"/>
        <w:rPr>
          <w:bCs/>
          <w:sz w:val="24"/>
          <w:szCs w:val="24"/>
        </w:rPr>
      </w:pPr>
      <w:bookmarkStart w:id="39" w:name="_Ref361337777"/>
      <w:r>
        <w:rPr>
          <w:color w:val="000000" w:themeColor="text1"/>
          <w:sz w:val="24"/>
          <w:szCs w:val="24"/>
        </w:rPr>
        <w:t>Гарантийный</w:t>
      </w:r>
      <w:r>
        <w:rPr>
          <w:bCs/>
          <w:color w:val="000000" w:themeColor="text1"/>
          <w:sz w:val="24"/>
          <w:szCs w:val="24"/>
        </w:rPr>
        <w:t xml:space="preserve"> срок по Договору начинает течь с даты подписания Сторонами А</w:t>
      </w:r>
      <w:r>
        <w:rPr>
          <w:color w:val="000000" w:themeColor="text1"/>
          <w:sz w:val="24"/>
          <w:szCs w:val="24"/>
        </w:rPr>
        <w:t>кта КС-11</w:t>
      </w:r>
      <w:r>
        <w:rPr>
          <w:bCs/>
          <w:color w:val="000000" w:themeColor="text1"/>
          <w:sz w:val="24"/>
          <w:szCs w:val="24"/>
        </w:rPr>
        <w:t xml:space="preserve"> либо с даты прекращения (расторжения) Договора. Гарантийный срок заканчивается через 24 (двадцать четыре) месяца с даты подписания Акта КС-14 по Объекту либо через 39 (тридцать девять) месяцев с даты подписания Сторонами Акта КС-11 / даты прекращения (расторжения Договора) в зависимости от того, какой срок истечет позже. Гарантийный срок может быть продлен в соответствии с условиями Договора.</w:t>
      </w:r>
      <w:bookmarkEnd w:id="39"/>
    </w:p>
    <w:p>
      <w:pPr>
        <w:pStyle w:val="ListParagraph"/>
        <w:numPr>
          <w:ilvl w:val="1"/>
          <w:numId w:val="23"/>
        </w:numPr>
        <w:shd w:val="clear" w:color="auto" w:fill="FFFFFF"/>
        <w:tabs>
          <w:tab w:val="clear" w:pos="708"/>
          <w:tab w:val="left" w:pos="568" w:leader="none"/>
          <w:tab w:val="left" w:pos="1134" w:leader="none"/>
        </w:tabs>
        <w:ind w:left="0" w:firstLine="709"/>
        <w:jc w:val="both"/>
        <w:rPr>
          <w:bCs/>
        </w:rPr>
      </w:pPr>
      <w:r>
        <w:rPr>
          <w:bCs/>
        </w:rPr>
        <w:t>Гарантийные обязательства Подрядчика наступают с даты подписания Сторонами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23"/>
        </w:numPr>
        <w:shd w:val="clear" w:color="auto" w:fill="FFFFFF"/>
        <w:tabs>
          <w:tab w:val="clear" w:pos="708"/>
          <w:tab w:val="left" w:pos="1134" w:leader="none"/>
        </w:tabs>
        <w:ind w:left="0" w:firstLine="709"/>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прямо предусмотренных в инструкциях и иных документах, переданных Заказчику. </w:t>
      </w:r>
    </w:p>
    <w:p>
      <w:pPr>
        <w:pStyle w:val="ListParagraph"/>
        <w:numPr>
          <w:ilvl w:val="1"/>
          <w:numId w:val="23"/>
        </w:numPr>
        <w:shd w:val="clear" w:color="auto" w:fill="FFFFFF"/>
        <w:tabs>
          <w:tab w:val="clear" w:pos="708"/>
          <w:tab w:val="left" w:pos="1134" w:leader="none"/>
        </w:tabs>
        <w:ind w:left="0" w:firstLine="709"/>
        <w:jc w:val="both"/>
        <w:rPr>
          <w:bCs/>
        </w:rPr>
      </w:pPr>
      <w:bookmarkStart w:id="40"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40"/>
      <w:r>
        <w:rPr>
          <w:bCs/>
        </w:rPr>
        <w:t xml:space="preserve"> </w:t>
      </w:r>
    </w:p>
    <w:p>
      <w:pPr>
        <w:pStyle w:val="ListParagraph"/>
        <w:numPr>
          <w:ilvl w:val="1"/>
          <w:numId w:val="23"/>
        </w:numPr>
        <w:shd w:val="clear" w:color="auto" w:fill="FFFFFF"/>
        <w:tabs>
          <w:tab w:val="clear" w:pos="708"/>
          <w:tab w:val="left" w:pos="1134" w:leader="none"/>
        </w:tabs>
        <w:ind w:left="0" w:firstLine="709"/>
        <w:jc w:val="both"/>
        <w:rPr>
          <w:bCs/>
        </w:rPr>
      </w:pPr>
      <w:r>
        <w:rPr>
          <w:bCs/>
        </w:rPr>
        <w:t>Наличие и полный перечень недостатков,</w:t>
      </w:r>
      <w:r>
        <w:rP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23"/>
        </w:numPr>
        <w:shd w:val="clear" w:color="auto" w:fill="FFFFFF"/>
        <w:tabs>
          <w:tab w:val="clear" w:pos="708"/>
          <w:tab w:val="left" w:pos="1134" w:leader="none"/>
        </w:tabs>
        <w:ind w:left="0" w:firstLine="709"/>
        <w:jc w:val="both"/>
        <w:rPr>
          <w:bCs/>
        </w:rPr>
      </w:pPr>
      <w:r>
        <w:rPr>
          <w:bCs/>
        </w:rPr>
        <w:t>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в срок, указанный в </w:t>
      </w:r>
      <w:bookmarkStart w:id="41" w:name="OLE_LINK5"/>
      <w:bookmarkStart w:id="42" w:name="OLE_LINK6"/>
      <w:r>
        <w:rPr>
          <w:bCs/>
        </w:rPr>
        <w:t>Акте о недостатках, составленном в порядке, установленном пунктом 8.5 Договора</w:t>
      </w:r>
      <w:bookmarkEnd w:id="41"/>
      <w:bookmarkEnd w:id="42"/>
      <w:r>
        <w:rPr>
          <w:bCs/>
        </w:rPr>
        <w:t>.</w:t>
      </w:r>
      <w:r>
        <w:rPr/>
        <w:t xml:space="preserve"> </w:t>
      </w:r>
    </w:p>
    <w:p>
      <w:pPr>
        <w:pStyle w:val="ListParagraph"/>
        <w:numPr>
          <w:ilvl w:val="1"/>
          <w:numId w:val="23"/>
        </w:numPr>
        <w:shd w:val="clear" w:color="auto" w:fill="FFFFFF"/>
        <w:tabs>
          <w:tab w:val="clear" w:pos="708"/>
          <w:tab w:val="left" w:pos="1134" w:leader="none"/>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23"/>
        </w:numPr>
        <w:shd w:val="clear" w:color="auto" w:fill="FFFFFF"/>
        <w:tabs>
          <w:tab w:val="clear" w:pos="708"/>
          <w:tab w:val="left" w:pos="1134" w:leader="none"/>
        </w:tabs>
        <w:ind w:left="0" w:firstLine="709"/>
        <w:jc w:val="both"/>
        <w:rPr>
          <w:bCs/>
        </w:rPr>
      </w:pPr>
      <w:r>
        <w:rPr>
          <w:bCs/>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23"/>
        </w:numPr>
        <w:shd w:val="clear" w:color="auto" w:fill="FFFFFF"/>
        <w:tabs>
          <w:tab w:val="clear" w:pos="708"/>
          <w:tab w:val="left" w:pos="1134" w:leader="none"/>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8"/>
          <w:tab w:val="left" w:pos="566" w:leader="none"/>
        </w:tabs>
        <w:spacing w:lineRule="auto" w:line="240"/>
        <w:ind w:hanging="0"/>
        <w:rPr>
          <w:color w:val="000000"/>
          <w:sz w:val="24"/>
          <w:szCs w:val="24"/>
        </w:rPr>
      </w:pPr>
      <w:r>
        <w:rPr>
          <w:color w:val="000000"/>
          <w:sz w:val="24"/>
          <w:szCs w:val="24"/>
        </w:rPr>
      </w:r>
    </w:p>
    <w:p>
      <w:pPr>
        <w:pStyle w:val="ListParagraph"/>
        <w:numPr>
          <w:ilvl w:val="0"/>
          <w:numId w:val="23"/>
        </w:numPr>
        <w:shd w:val="clear" w:color="auto" w:fill="FFFFFF"/>
        <w:tabs>
          <w:tab w:val="clear" w:pos="708"/>
          <w:tab w:val="left" w:pos="426" w:leader="none"/>
        </w:tabs>
        <w:ind w:left="0" w:hanging="0"/>
        <w:jc w:val="center"/>
        <w:rPr>
          <w:b/>
          <w:bCs/>
        </w:rPr>
      </w:pPr>
      <w:r>
        <w:rPr>
          <w:b/>
          <w:bCs/>
        </w:rPr>
        <w:t>Исключительные права и патенты</w:t>
      </w:r>
    </w:p>
    <w:p>
      <w:pPr>
        <w:pStyle w:val="ListParagraph"/>
        <w:numPr>
          <w:ilvl w:val="1"/>
          <w:numId w:val="23"/>
        </w:numPr>
        <w:shd w:val="clear" w:color="auto" w:fill="FFFFFF"/>
        <w:tabs>
          <w:tab w:val="clear" w:pos="708"/>
          <w:tab w:val="left" w:pos="1134" w:leader="none"/>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3"/>
        </w:numPr>
        <w:shd w:val="clear" w:color="auto" w:fill="FFFFFF"/>
        <w:tabs>
          <w:tab w:val="clear" w:pos="708"/>
          <w:tab w:val="left" w:pos="1134" w:leader="none"/>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3"/>
        </w:numPr>
        <w:shd w:val="clear" w:color="auto" w:fill="FFFFFF"/>
        <w:tabs>
          <w:tab w:val="clear" w:pos="708"/>
          <w:tab w:val="left" w:pos="1134" w:leader="none"/>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23"/>
        </w:numPr>
        <w:shd w:val="clear" w:color="auto" w:fill="FFFFFF"/>
        <w:tabs>
          <w:tab w:val="clear" w:pos="708"/>
          <w:tab w:val="left" w:pos="1134" w:leader="none"/>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3"/>
        </w:numPr>
        <w:shd w:val="clear" w:color="auto" w:fill="FFFFFF"/>
        <w:tabs>
          <w:tab w:val="clear" w:pos="708"/>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t xml:space="preserve"> </w:t>
      </w:r>
      <w:r>
        <w:rPr>
          <w:bCs/>
        </w:rPr>
        <w:t>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w:t>
      </w:r>
    </w:p>
    <w:p>
      <w:pPr>
        <w:pStyle w:val="ListParagraph"/>
        <w:numPr>
          <w:ilvl w:val="1"/>
          <w:numId w:val="23"/>
        </w:numPr>
        <w:shd w:val="clear" w:color="auto" w:fill="FFFFFF"/>
        <w:ind w:left="0" w:firstLine="709"/>
        <w:jc w:val="both"/>
        <w:rPr>
          <w:bCs/>
        </w:rPr>
      </w:pPr>
      <w:r>
        <w:rPr>
          <w:bCs/>
        </w:rPr>
        <w:t xml:space="preserve">В случае появления в рамках исполнения Договора или в составе выполненных Работ патентоспособного результата интеллектуальной деятельности, </w:t>
      </w:r>
      <w:r>
        <w:rPr>
          <w:bCs/>
          <w:color w:val="000000" w:themeColor="text1"/>
        </w:rPr>
        <w:t>Подрядчик</w:t>
      </w:r>
      <w:r>
        <w:rPr>
          <w:bCs/>
        </w:rPr>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3"/>
        </w:numPr>
        <w:shd w:val="clear" w:color="auto" w:fill="FFFFFF"/>
        <w:tabs>
          <w:tab w:val="clear" w:pos="708"/>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 по соответствующему Этапу Работ.</w:t>
      </w:r>
    </w:p>
    <w:p>
      <w:pPr>
        <w:pStyle w:val="ListParagraph"/>
        <w:shd w:val="clear" w:color="auto" w:fill="FFFFFF"/>
        <w:tabs>
          <w:tab w:val="clear" w:pos="708"/>
          <w:tab w:val="left" w:pos="1134" w:leader="none"/>
        </w:tabs>
        <w:ind w:left="0" w:hanging="0"/>
        <w:jc w:val="both"/>
        <w:rPr>
          <w:bCs/>
        </w:rPr>
      </w:pPr>
      <w:r>
        <w:rPr>
          <w:bCs/>
        </w:rPr>
      </w:r>
    </w:p>
    <w:p>
      <w:pPr>
        <w:pStyle w:val="ListParagraph"/>
        <w:numPr>
          <w:ilvl w:val="0"/>
          <w:numId w:val="23"/>
        </w:numPr>
        <w:shd w:val="clear" w:color="auto" w:fill="FFFFFF"/>
        <w:tabs>
          <w:tab w:val="clear" w:pos="708"/>
          <w:tab w:val="left" w:pos="426" w:leader="none"/>
        </w:tabs>
        <w:ind w:left="0" w:hanging="0"/>
        <w:jc w:val="center"/>
        <w:rPr>
          <w:b/>
          <w:bCs/>
        </w:rPr>
      </w:pPr>
      <w:r>
        <w:rPr>
          <w:b/>
          <w:bCs/>
        </w:rPr>
        <w:t>Конфиденциальность</w:t>
      </w:r>
    </w:p>
    <w:p>
      <w:pPr>
        <w:pStyle w:val="ListParagraph"/>
        <w:numPr>
          <w:ilvl w:val="1"/>
          <w:numId w:val="23"/>
        </w:numPr>
        <w:shd w:val="clear" w:color="auto" w:fill="FFFFFF"/>
        <w:tabs>
          <w:tab w:val="clear" w:pos="708"/>
          <w:tab w:val="left" w:pos="1134" w:leader="none"/>
        </w:tabs>
        <w:ind w:left="0" w:firstLine="709"/>
        <w:jc w:val="both"/>
        <w:rPr>
          <w:bCs/>
        </w:rPr>
      </w:pPr>
      <w:r>
        <w:rPr>
          <w:bCs/>
        </w:rPr>
        <w:t xml:space="preserve">Под конфиденциальной информацией (далее – «Информация») для целей Договора понимается любая информация, передаваемая Заказчиком </w:t>
      </w:r>
      <w:r>
        <w:rPr>
          <w:bCs/>
          <w:color w:val="000000" w:themeColor="text1"/>
        </w:rPr>
        <w:t>Подрядчику</w:t>
      </w:r>
      <w:r>
        <w:rPr>
          <w:bCs/>
        </w:rPr>
        <w:t xml:space="preserve">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6"/>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6"/>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23"/>
        </w:numPr>
        <w:shd w:val="clear" w:color="auto" w:fill="FFFFFF"/>
        <w:tabs>
          <w:tab w:val="clear" w:pos="708"/>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3"/>
        </w:numPr>
        <w:shd w:val="clear" w:color="auto" w:fill="FFFFFF"/>
        <w:tabs>
          <w:tab w:val="clear" w:pos="708"/>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3"/>
        </w:numPr>
        <w:shd w:val="clear" w:color="auto" w:fill="FFFFFF"/>
        <w:tabs>
          <w:tab w:val="clear" w:pos="708"/>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3"/>
        </w:numPr>
        <w:shd w:val="clear" w:color="auto" w:fill="FFFFFF"/>
        <w:tabs>
          <w:tab w:val="clear" w:pos="708"/>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6"/>
        </w:numPr>
        <w:tabs>
          <w:tab w:val="clear" w:pos="708"/>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6"/>
        </w:numPr>
        <w:tabs>
          <w:tab w:val="clear" w:pos="708"/>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6"/>
        </w:numPr>
        <w:tabs>
          <w:tab w:val="clear" w:pos="708"/>
          <w:tab w:val="left" w:pos="1418" w:leader="none"/>
        </w:tabs>
        <w:spacing w:lineRule="auto" w:line="240"/>
        <w:ind w:left="0" w:firstLine="709"/>
        <w:rPr>
          <w:bCs/>
          <w:sz w:val="24"/>
          <w:szCs w:val="24"/>
        </w:rPr>
      </w:pPr>
      <w:r>
        <w:rPr>
          <w:bCs/>
          <w:sz w:val="24"/>
          <w:szCs w:val="24"/>
        </w:rPr>
        <w:t>бизнес-планы;</w:t>
      </w:r>
    </w:p>
    <w:p>
      <w:pPr>
        <w:pStyle w:val="Normal"/>
        <w:numPr>
          <w:ilvl w:val="0"/>
          <w:numId w:val="6"/>
        </w:numPr>
        <w:tabs>
          <w:tab w:val="clear" w:pos="708"/>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6"/>
        </w:numPr>
        <w:tabs>
          <w:tab w:val="clear" w:pos="708"/>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6"/>
        </w:numPr>
        <w:tabs>
          <w:tab w:val="clear" w:pos="708"/>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6"/>
        </w:numPr>
        <w:tabs>
          <w:tab w:val="clear" w:pos="708"/>
          <w:tab w:val="left" w:pos="1418" w:leader="none"/>
        </w:tabs>
        <w:spacing w:lineRule="auto" w:line="240"/>
        <w:ind w:left="0" w:firstLine="709"/>
        <w:rPr>
          <w:bCs/>
          <w:sz w:val="24"/>
          <w:szCs w:val="24"/>
        </w:rPr>
      </w:pPr>
      <w:r>
        <w:rPr>
          <w:bCs/>
          <w:sz w:val="24"/>
          <w:szCs w:val="24"/>
        </w:rPr>
        <w:t>сведения о подрядчиках, поставщиках материалов, а также о покупателях продукции Заказчика и их аффилированных лицах;</w:t>
      </w:r>
    </w:p>
    <w:p>
      <w:pPr>
        <w:pStyle w:val="Normal"/>
        <w:numPr>
          <w:ilvl w:val="0"/>
          <w:numId w:val="6"/>
        </w:numPr>
        <w:tabs>
          <w:tab w:val="clear" w:pos="708"/>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6"/>
        </w:numPr>
        <w:tabs>
          <w:tab w:val="clear" w:pos="708"/>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23"/>
        </w:numPr>
        <w:shd w:val="clear" w:color="auto" w:fill="FFFFFF"/>
        <w:tabs>
          <w:tab w:val="clear" w:pos="708"/>
          <w:tab w:val="left" w:pos="1134" w:leader="none"/>
        </w:tabs>
        <w:ind w:left="0" w:firstLine="709"/>
        <w:jc w:val="both"/>
        <w:rPr>
          <w:bCs/>
        </w:rPr>
      </w:pPr>
      <w:bookmarkStart w:id="43"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43"/>
      <w:r>
        <w:rPr>
          <w:bCs/>
        </w:rPr>
        <w:t xml:space="preserve"> </w:t>
      </w:r>
    </w:p>
    <w:p>
      <w:pPr>
        <w:pStyle w:val="ListParagraph"/>
        <w:numPr>
          <w:ilvl w:val="2"/>
          <w:numId w:val="23"/>
        </w:numPr>
        <w:shd w:val="clear" w:color="auto" w:fill="FFFFFF"/>
        <w:tabs>
          <w:tab w:val="clear" w:pos="708"/>
          <w:tab w:val="left" w:pos="1701"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23"/>
        </w:numPr>
        <w:shd w:val="clear" w:color="auto" w:fill="FFFFFF"/>
        <w:tabs>
          <w:tab w:val="clear" w:pos="708"/>
          <w:tab w:val="left" w:pos="1701"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23"/>
        </w:numPr>
        <w:shd w:val="clear" w:color="auto" w:fill="FFFFFF"/>
        <w:tabs>
          <w:tab w:val="clear" w:pos="708"/>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3"/>
        </w:numPr>
        <w:shd w:val="clear" w:color="auto" w:fill="FFFFFF"/>
        <w:tabs>
          <w:tab w:val="clear" w:pos="708"/>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3"/>
        </w:numPr>
        <w:shd w:val="clear" w:color="auto" w:fill="FFFFFF"/>
        <w:tabs>
          <w:tab w:val="clear" w:pos="708"/>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3"/>
        </w:numPr>
        <w:shd w:val="clear" w:color="auto" w:fill="FFFFFF"/>
        <w:tabs>
          <w:tab w:val="clear" w:pos="708"/>
          <w:tab w:val="left" w:pos="1701"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3"/>
        </w:numPr>
        <w:shd w:val="clear" w:color="auto" w:fill="FFFFFF"/>
        <w:tabs>
          <w:tab w:val="clear" w:pos="708"/>
          <w:tab w:val="left" w:pos="1701" w:leader="none"/>
        </w:tabs>
        <w:ind w:left="0" w:firstLine="709"/>
        <w:jc w:val="both"/>
        <w:rPr>
          <w:bCs/>
        </w:rPr>
      </w:pPr>
      <w:bookmarkStart w:id="44" w:name="_Ref361337832"/>
      <w:r>
        <w:rPr>
          <w:bCs/>
        </w:rPr>
        <w:t>Раскрывать Информацию работникам, членам органов управления и контроля, акционерам и аудиторам Подрядчика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44"/>
    </w:p>
    <w:p>
      <w:pPr>
        <w:pStyle w:val="ListParagraph"/>
        <w:numPr>
          <w:ilvl w:val="2"/>
          <w:numId w:val="23"/>
        </w:numPr>
        <w:shd w:val="clear" w:color="auto" w:fill="FFFFFF"/>
        <w:tabs>
          <w:tab w:val="clear" w:pos="708"/>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3"/>
        </w:numPr>
        <w:shd w:val="clear" w:color="auto" w:fill="FFFFFF"/>
        <w:tabs>
          <w:tab w:val="clear" w:pos="708"/>
          <w:tab w:val="left" w:pos="1134" w:leader="none"/>
        </w:tabs>
        <w:ind w:left="0" w:firstLine="709"/>
        <w:jc w:val="both"/>
        <w:rPr>
          <w:bCs/>
        </w:rPr>
      </w:pPr>
      <w:bookmarkStart w:id="45" w:name="_Ref361337863"/>
      <w:r>
        <w:rPr>
          <w:bCs/>
        </w:rPr>
        <w:t>В случае нарушения Подрядчиком условий настоящего раздела Договора Подрядчик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45"/>
    </w:p>
    <w:p>
      <w:pPr>
        <w:pStyle w:val="ListParagraph"/>
        <w:numPr>
          <w:ilvl w:val="1"/>
          <w:numId w:val="23"/>
        </w:numPr>
        <w:shd w:val="clear" w:color="auto" w:fill="FFFFFF"/>
        <w:tabs>
          <w:tab w:val="clear" w:pos="708"/>
          <w:tab w:val="left" w:pos="1134" w:leader="none"/>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23"/>
        </w:numPr>
        <w:shd w:val="clear" w:color="auto" w:fill="FFFFFF"/>
        <w:tabs>
          <w:tab w:val="clear" w:pos="708"/>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b/>
          <w:bCs/>
        </w:rPr>
      </w:pPr>
      <w:r>
        <w:rPr>
          <w:b/>
          <w:bCs/>
        </w:rPr>
      </w:r>
    </w:p>
    <w:p>
      <w:pPr>
        <w:pStyle w:val="ListParagraph"/>
        <w:numPr>
          <w:ilvl w:val="0"/>
          <w:numId w:val="23"/>
        </w:numPr>
        <w:shd w:val="clear" w:color="auto" w:fill="FFFFFF"/>
        <w:tabs>
          <w:tab w:val="clear" w:pos="708"/>
          <w:tab w:val="left" w:pos="426" w:leader="none"/>
        </w:tabs>
        <w:ind w:left="0" w:hanging="0"/>
        <w:jc w:val="center"/>
        <w:rPr>
          <w:bCs/>
        </w:rPr>
      </w:pPr>
      <w:r>
        <w:rPr>
          <w:b/>
          <w:bCs/>
        </w:rPr>
        <w:t>Разрешение споров</w:t>
      </w:r>
    </w:p>
    <w:p>
      <w:pPr>
        <w:pStyle w:val="ListParagraph"/>
        <w:numPr>
          <w:ilvl w:val="1"/>
          <w:numId w:val="23"/>
        </w:numPr>
        <w:shd w:val="clear" w:color="auto" w:fill="FFFFFF"/>
        <w:tabs>
          <w:tab w:val="clear" w:pos="708"/>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3"/>
        </w:numPr>
        <w:shd w:val="clear" w:color="auto" w:fill="FFFFFF"/>
        <w:tabs>
          <w:tab w:val="clear" w:pos="708"/>
          <w:tab w:val="left" w:pos="1134" w:leader="none"/>
          <w:tab w:val="left" w:pos="1418" w:leader="none"/>
        </w:tabs>
        <w:ind w:left="0" w:firstLine="709"/>
        <w:jc w:val="both"/>
        <w:rPr>
          <w:bCs/>
        </w:rPr>
      </w:pPr>
      <w:r>
        <w:rPr>
          <w:bCs/>
        </w:rPr>
        <w:t xml:space="preserve">Споры, указанные в пункте 11.1 Договора, которые не были урегулированы Сторонами путем переговоров, подлежат разрешению в Арбитражном суде г. Москвы в соответствии с законодательством Российской Федерации, за исключением споров из Банковских гарантий, подсудность которых предусмотрена пунктами </w:t>
      </w:r>
      <w:r>
        <w:rPr>
          <w:bCs/>
        </w:rPr>
        <w:fldChar w:fldCharType="begin"/>
      </w:r>
      <w:r>
        <w:rPr>
          <w:bCs/>
        </w:rPr>
        <w:instrText xml:space="preserve"> REF _Ref233631502 \r \h </w:instrText>
      </w:r>
      <w:r>
        <w:rPr>
          <w:bCs/>
        </w:rPr>
        <w:fldChar w:fldCharType="separate"/>
      </w:r>
      <w:r>
        <w:rPr>
          <w:bCs/>
        </w:rPr>
        <w:t>6.1.1.11</w:t>
      </w:r>
      <w:r>
        <w:rPr>
          <w:bCs/>
        </w:rPr>
        <w:fldChar w:fldCharType="end"/>
      </w:r>
      <w:r>
        <w:rPr>
          <w:bCs/>
        </w:rPr>
        <w:t xml:space="preserve">, </w:t>
      </w:r>
      <w:r>
        <w:rPr>
          <w:bCs/>
        </w:rPr>
        <w:fldChar w:fldCharType="begin"/>
      </w:r>
      <w:r>
        <w:rPr>
          <w:bCs/>
        </w:rPr>
        <w:instrText xml:space="preserve"> REF _Ref233631550 \r \h </w:instrText>
      </w:r>
      <w:r>
        <w:rPr>
          <w:bCs/>
        </w:rPr>
        <w:fldChar w:fldCharType="separate"/>
      </w:r>
      <w:r>
        <w:rPr>
          <w:bCs/>
        </w:rPr>
        <w:t>6.1.2.10</w:t>
      </w:r>
      <w:r>
        <w:rPr>
          <w:bCs/>
        </w:rPr>
        <w:fldChar w:fldCharType="end"/>
      </w:r>
      <w:r>
        <w:rPr>
          <w:bCs/>
        </w:rPr>
        <w:t>.</w:t>
      </w:r>
    </w:p>
    <w:p>
      <w:pPr>
        <w:pStyle w:val="ListParagraph"/>
        <w:numPr>
          <w:ilvl w:val="1"/>
          <w:numId w:val="23"/>
        </w:numPr>
        <w:shd w:val="clear" w:color="auto" w:fill="FFFFFF"/>
        <w:tabs>
          <w:tab w:val="clear" w:pos="708"/>
          <w:tab w:val="left" w:pos="1134"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17.8 Договора.</w:t>
      </w:r>
    </w:p>
    <w:p>
      <w:pPr>
        <w:pStyle w:val="ListParagraph"/>
        <w:numPr>
          <w:ilvl w:val="1"/>
          <w:numId w:val="23"/>
        </w:numPr>
        <w:shd w:val="clear" w:color="auto" w:fill="FFFFFF"/>
        <w:tabs>
          <w:tab w:val="clear" w:pos="708"/>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3"/>
        </w:numPr>
        <w:shd w:val="clear" w:color="auto" w:fill="FFFFFF"/>
        <w:tabs>
          <w:tab w:val="clear" w:pos="708"/>
          <w:tab w:val="left" w:pos="1134" w:leader="none"/>
          <w:tab w:val="left" w:pos="1418"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134" w:leader="none"/>
          <w:tab w:val="left" w:pos="1418" w:leader="none"/>
        </w:tabs>
        <w:ind w:left="0" w:hanging="0"/>
        <w:jc w:val="both"/>
        <w:rPr>
          <w:bCs/>
        </w:rPr>
      </w:pPr>
      <w:r>
        <w:rPr>
          <w:bCs/>
        </w:rPr>
      </w:r>
    </w:p>
    <w:p>
      <w:pPr>
        <w:pStyle w:val="Normal"/>
        <w:shd w:val="clear" w:color="auto" w:fill="FFFFFF"/>
        <w:tabs>
          <w:tab w:val="clear" w:pos="708"/>
          <w:tab w:val="left" w:pos="1134" w:leader="none"/>
          <w:tab w:val="left" w:pos="1418" w:leader="none"/>
        </w:tabs>
        <w:spacing w:lineRule="auto" w:line="240"/>
        <w:rPr>
          <w:bCs/>
        </w:rPr>
      </w:pPr>
      <w:r>
        <w:rPr>
          <w:bCs/>
        </w:rPr>
      </w:r>
    </w:p>
    <w:p>
      <w:pPr>
        <w:pStyle w:val="ListParagraph"/>
        <w:numPr>
          <w:ilvl w:val="0"/>
          <w:numId w:val="23"/>
        </w:numPr>
        <w:shd w:val="clear" w:color="auto" w:fill="FFFFFF"/>
        <w:tabs>
          <w:tab w:val="clear" w:pos="708"/>
          <w:tab w:val="left" w:pos="426" w:leader="none"/>
        </w:tabs>
        <w:ind w:left="0" w:hanging="0"/>
        <w:jc w:val="center"/>
        <w:rPr>
          <w:b/>
          <w:bCs/>
        </w:rPr>
      </w:pPr>
      <w:r>
        <w:rPr>
          <w:b/>
          <w:bCs/>
        </w:rPr>
        <w:t>Антикоррупционная оговорка</w:t>
      </w:r>
    </w:p>
    <w:p>
      <w:pPr>
        <w:pStyle w:val="Normal"/>
        <w:numPr>
          <w:ilvl w:val="0"/>
          <w:numId w:val="26"/>
        </w:numPr>
        <w:shd w:val="clear" w:color="auto" w:fill="FFFFFF"/>
        <w:tabs>
          <w:tab w:val="clear" w:pos="708"/>
          <w:tab w:val="left" w:pos="1134" w:leader="none"/>
        </w:tabs>
        <w:spacing w:lineRule="auto" w:line="240"/>
        <w:ind w:left="0" w:firstLine="709"/>
        <w:rPr>
          <w:bCs/>
          <w:color w:val="000000"/>
          <w:sz w:val="24"/>
          <w:szCs w:val="24"/>
        </w:rPr>
      </w:pPr>
      <w:r>
        <w:rPr>
          <w:color w:val="000000"/>
          <w:sz w:val="24"/>
          <w:szCs w:val="24"/>
        </w:rPr>
        <w:t xml:space="preserve">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numPr>
          <w:ilvl w:val="1"/>
          <w:numId w:val="26"/>
        </w:numPr>
        <w:shd w:val="clear" w:color="auto" w:fill="FFFFFF"/>
        <w:tabs>
          <w:tab w:val="clear" w:pos="708"/>
          <w:tab w:val="left" w:pos="1134" w:leader="none"/>
          <w:tab w:val="left" w:pos="1186" w:leader="none"/>
        </w:tabs>
        <w:spacing w:lineRule="auto" w:line="240"/>
        <w:ind w:left="0" w:firstLine="709"/>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numPr>
          <w:ilvl w:val="1"/>
          <w:numId w:val="26"/>
        </w:numPr>
        <w:shd w:val="clear" w:color="auto" w:fill="FFFFFF"/>
        <w:tabs>
          <w:tab w:val="clear" w:pos="708"/>
          <w:tab w:val="left" w:pos="1134" w:leader="none"/>
          <w:tab w:val="left" w:pos="1186" w:leader="none"/>
        </w:tabs>
        <w:spacing w:lineRule="auto" w:line="240"/>
        <w:ind w:left="0" w:firstLine="709"/>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numPr>
          <w:ilvl w:val="1"/>
          <w:numId w:val="26"/>
        </w:numPr>
        <w:shd w:val="clear" w:color="auto" w:fill="FFFFFF"/>
        <w:tabs>
          <w:tab w:val="clear" w:pos="708"/>
          <w:tab w:val="left" w:pos="1134" w:leader="none"/>
          <w:tab w:val="left" w:pos="1186" w:leader="none"/>
        </w:tabs>
        <w:spacing w:lineRule="auto" w:line="240"/>
        <w:ind w:left="0" w:firstLine="709"/>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numPr>
          <w:ilvl w:val="1"/>
          <w:numId w:val="26"/>
        </w:numPr>
        <w:shd w:val="clear" w:color="auto" w:fill="FFFFFF"/>
        <w:tabs>
          <w:tab w:val="clear" w:pos="708"/>
          <w:tab w:val="left" w:pos="1134" w:leader="none"/>
          <w:tab w:val="left" w:pos="1186" w:leader="none"/>
        </w:tabs>
        <w:spacing w:lineRule="auto" w:line="240"/>
        <w:ind w:left="0" w:firstLine="709"/>
        <w:rPr>
          <w:bCs/>
          <w:color w:val="000000"/>
          <w:sz w:val="24"/>
          <w:szCs w:val="24"/>
        </w:rPr>
      </w:pPr>
      <w:r>
        <w:rPr>
          <w:bCs/>
          <w:color w:val="000000"/>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numPr>
          <w:ilvl w:val="1"/>
          <w:numId w:val="26"/>
        </w:numPr>
        <w:shd w:val="clear" w:color="auto" w:fill="FFFFFF"/>
        <w:tabs>
          <w:tab w:val="clear" w:pos="708"/>
          <w:tab w:val="left" w:pos="1134" w:leader="none"/>
          <w:tab w:val="left" w:pos="1186" w:leader="none"/>
        </w:tabs>
        <w:spacing w:lineRule="auto" w:line="240"/>
        <w:ind w:left="0" w:firstLine="709"/>
        <w:rPr>
          <w:bCs/>
          <w:color w:val="000000"/>
          <w:sz w:val="24"/>
          <w:szCs w:val="24"/>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Normal"/>
        <w:numPr>
          <w:ilvl w:val="1"/>
          <w:numId w:val="26"/>
        </w:numPr>
        <w:shd w:val="clear" w:color="auto" w:fill="FFFFFF"/>
        <w:tabs>
          <w:tab w:val="clear" w:pos="708"/>
          <w:tab w:val="left" w:pos="1134" w:leader="none"/>
          <w:tab w:val="left" w:pos="1186" w:leader="none"/>
        </w:tabs>
        <w:spacing w:lineRule="auto" w:line="240"/>
        <w:ind w:left="0" w:firstLine="709"/>
        <w:rPr>
          <w:bCs/>
          <w:color w:val="000000"/>
          <w:sz w:val="24"/>
          <w:szCs w:val="24"/>
        </w:rPr>
      </w:pPr>
      <w:r>
        <w:rPr>
          <w:color w:val="000000"/>
          <w:sz w:val="24"/>
          <w:szCs w:val="24"/>
        </w:rPr>
        <w:t>Каналы связи Линия доверия Группы РусГидро:</w:t>
      </w:r>
    </w:p>
    <w:p>
      <w:pPr>
        <w:pStyle w:val="Normal"/>
        <w:numPr>
          <w:ilvl w:val="2"/>
          <w:numId w:val="26"/>
        </w:numPr>
        <w:shd w:val="clear" w:color="auto" w:fill="FFFFFF"/>
        <w:tabs>
          <w:tab w:val="clear" w:pos="708"/>
          <w:tab w:val="left" w:pos="1134" w:leader="none"/>
          <w:tab w:val="left" w:pos="1186" w:leader="none"/>
        </w:tabs>
        <w:spacing w:lineRule="auto" w:line="240"/>
        <w:ind w:left="0" w:firstLine="709"/>
        <w:rPr>
          <w:bCs/>
          <w:color w:val="000000"/>
          <w:sz w:val="24"/>
          <w:szCs w:val="24"/>
        </w:rPr>
      </w:pPr>
      <w:r>
        <w:rPr>
          <w:sz w:val="24"/>
          <w:szCs w:val="24"/>
        </w:rPr>
        <w:t xml:space="preserve">Электронная почта: </w:t>
      </w:r>
      <w:hyperlink r:id="rId2">
        <w:r>
          <w:rPr>
            <w:rStyle w:val="Hyperlink"/>
            <w:sz w:val="24"/>
            <w:szCs w:val="24"/>
          </w:rPr>
          <w:t>ld@rushydro.ru</w:t>
        </w:r>
      </w:hyperlink>
      <w:r>
        <w:rPr>
          <w:sz w:val="24"/>
          <w:szCs w:val="24"/>
        </w:rPr>
        <w:t>.</w:t>
      </w:r>
    </w:p>
    <w:p>
      <w:pPr>
        <w:pStyle w:val="Normal"/>
        <w:numPr>
          <w:ilvl w:val="2"/>
          <w:numId w:val="26"/>
        </w:numPr>
        <w:shd w:val="clear" w:color="auto" w:fill="FFFFFF"/>
        <w:tabs>
          <w:tab w:val="clear" w:pos="708"/>
          <w:tab w:val="left" w:pos="1134" w:leader="none"/>
          <w:tab w:val="left" w:pos="1186" w:leader="none"/>
        </w:tabs>
        <w:spacing w:lineRule="auto" w:line="240"/>
        <w:ind w:left="0" w:firstLine="709"/>
        <w:rPr>
          <w:bCs/>
          <w:color w:val="000000"/>
          <w:sz w:val="24"/>
          <w:szCs w:val="24"/>
        </w:rPr>
      </w:pPr>
      <w:r>
        <w:rPr>
          <w:sz w:val="24"/>
          <w:szCs w:val="24"/>
        </w:rP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numPr>
          <w:ilvl w:val="2"/>
          <w:numId w:val="26"/>
        </w:numPr>
        <w:shd w:val="clear" w:color="auto" w:fill="FFFFFF"/>
        <w:tabs>
          <w:tab w:val="clear" w:pos="708"/>
          <w:tab w:val="left" w:pos="1134" w:leader="none"/>
          <w:tab w:val="left" w:pos="1186" w:leader="none"/>
        </w:tabs>
        <w:spacing w:lineRule="auto" w:line="240"/>
        <w:ind w:left="0" w:firstLine="709"/>
        <w:rPr>
          <w:bCs/>
          <w:color w:val="000000"/>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08"/>
          <w:tab w:val="left" w:pos="567" w:leader="none"/>
          <w:tab w:val="left" w:pos="1134" w:leader="none"/>
        </w:tabs>
        <w:spacing w:lineRule="auto" w:line="240"/>
        <w:ind w:firstLine="709"/>
        <w:rPr>
          <w:b/>
          <w:sz w:val="24"/>
          <w:szCs w:val="24"/>
        </w:rPr>
      </w:pPr>
      <w:r>
        <w:rPr>
          <w:b/>
          <w:sz w:val="24"/>
          <w:szCs w:val="24"/>
        </w:rPr>
      </w:r>
    </w:p>
    <w:p>
      <w:pPr>
        <w:pStyle w:val="ListParagraph"/>
        <w:numPr>
          <w:ilvl w:val="0"/>
          <w:numId w:val="23"/>
        </w:numPr>
        <w:shd w:val="clear" w:color="auto" w:fill="FFFFFF"/>
        <w:tabs>
          <w:tab w:val="clear" w:pos="708"/>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3"/>
        </w:numPr>
        <w:shd w:val="clear" w:color="auto" w:fill="FFFFFF"/>
        <w:tabs>
          <w:tab w:val="clear" w:pos="708"/>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3"/>
        </w:numPr>
        <w:shd w:val="clear" w:color="auto" w:fill="FFFFFF"/>
        <w:tabs>
          <w:tab w:val="clear" w:pos="708"/>
          <w:tab w:val="left" w:pos="1134"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3"/>
        </w:numPr>
        <w:shd w:val="clear" w:color="auto" w:fill="FFFFFF"/>
        <w:tabs>
          <w:tab w:val="clear" w:pos="708"/>
          <w:tab w:val="left" w:pos="1134"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3"/>
        </w:numPr>
        <w:shd w:val="clear" w:color="auto" w:fill="FFFFFF"/>
        <w:tabs>
          <w:tab w:val="clear" w:pos="708"/>
          <w:tab w:val="left" w:pos="1134"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3"/>
        </w:numPr>
        <w:shd w:val="clear" w:color="auto" w:fill="FFFFFF"/>
        <w:tabs>
          <w:tab w:val="clear" w:pos="708"/>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3"/>
        </w:numPr>
        <w:shd w:val="clear" w:color="auto" w:fill="FFFFFF"/>
        <w:tabs>
          <w:tab w:val="clear" w:pos="708"/>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23"/>
        </w:numPr>
        <w:shd w:val="clear" w:color="auto" w:fill="FFFFFF"/>
        <w:tabs>
          <w:tab w:val="clear" w:pos="708"/>
          <w:tab w:val="left" w:pos="426" w:leader="none"/>
        </w:tabs>
        <w:ind w:left="0" w:hanging="0"/>
        <w:jc w:val="center"/>
        <w:rPr>
          <w:b/>
          <w:bCs/>
        </w:rPr>
      </w:pPr>
      <w:r>
        <w:rPr>
          <w:b/>
          <w:bCs/>
        </w:rPr>
        <w:t>Особые положения</w:t>
      </w:r>
    </w:p>
    <w:p>
      <w:pPr>
        <w:pStyle w:val="ListParagraph"/>
        <w:numPr>
          <w:ilvl w:val="1"/>
          <w:numId w:val="23"/>
        </w:numPr>
        <w:shd w:val="clear" w:color="auto" w:fill="FFFFFF"/>
        <w:tabs>
          <w:tab w:val="clear" w:pos="708"/>
          <w:tab w:val="left" w:pos="1134" w:leader="none"/>
        </w:tabs>
        <w:ind w:left="0" w:firstLine="709"/>
        <w:jc w:val="both"/>
        <w:rPr>
          <w:bCs/>
        </w:rPr>
      </w:pPr>
      <w:bookmarkStart w:id="46"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4"/>
        </w:numPr>
        <w:shd w:val="clear" w:color="auto" w:fill="FFFFFF"/>
        <w:tabs>
          <w:tab w:val="clear" w:pos="708"/>
          <w:tab w:val="left" w:pos="1134" w:leader="none"/>
        </w:tabs>
        <w:ind w:left="0" w:firstLine="709"/>
        <w:jc w:val="both"/>
        <w:rPr>
          <w:bCs/>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rPr>
          <w:t>№ 18162/09</w:t>
        </w:r>
      </w:hyperlink>
      <w:r>
        <w:rPr>
          <w:bCs/>
        </w:rPr>
        <w:t xml:space="preserve"> и от 25.05.2010 </w:t>
      </w:r>
      <w:hyperlink r:id="rId4">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p>
    <w:p>
      <w:pPr>
        <w:pStyle w:val="ListParagraph"/>
        <w:shd w:val="clear" w:color="auto" w:fill="FFFFFF"/>
        <w:tabs>
          <w:tab w:val="clear" w:pos="708"/>
          <w:tab w:val="left" w:pos="1134" w:leader="none"/>
        </w:tabs>
        <w:ind w:left="709" w:hanging="0"/>
        <w:jc w:val="both"/>
        <w:rPr>
          <w:bCs/>
        </w:rPr>
      </w:pPr>
      <w:r>
        <w:rPr>
          <w:bCs/>
        </w:rPr>
        <w:t xml:space="preserve">и / или </w:t>
      </w:r>
    </w:p>
    <w:p>
      <w:pPr>
        <w:pStyle w:val="ListParagraph"/>
        <w:numPr>
          <w:ilvl w:val="1"/>
          <w:numId w:val="14"/>
        </w:numPr>
        <w:shd w:val="clear" w:color="auto" w:fill="FFFFFF"/>
        <w:tabs>
          <w:tab w:val="clear" w:pos="708"/>
          <w:tab w:val="left" w:pos="1134" w:leader="none"/>
        </w:tabs>
        <w:ind w:left="0" w:firstLine="709"/>
        <w:jc w:val="both"/>
        <w:rPr>
          <w:bCs/>
        </w:rPr>
      </w:pPr>
      <w:r>
        <w:rPr>
          <w:bCs/>
        </w:rPr>
        <w:t xml:space="preserve">соответствующие </w:t>
      </w:r>
      <w:hyperlink r:id="rId5">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46"/>
    </w:p>
    <w:p>
      <w:pPr>
        <w:pStyle w:val="ListParagraph"/>
        <w:numPr>
          <w:ilvl w:val="1"/>
          <w:numId w:val="23"/>
        </w:numPr>
        <w:shd w:val="clear" w:color="auto" w:fill="FFFFFF"/>
        <w:tabs>
          <w:tab w:val="clear" w:pos="708"/>
          <w:tab w:val="left" w:pos="1134" w:leader="none"/>
        </w:tabs>
        <w:ind w:left="0" w:firstLine="709"/>
        <w:jc w:val="both"/>
        <w:rPr>
          <w:bCs/>
        </w:rPr>
      </w:pPr>
      <w:bookmarkStart w:id="47" w:name="_Ref361337921"/>
      <w:r>
        <w:rPr>
          <w:bCs/>
          <w:color w:val="000000" w:themeColor="text1"/>
        </w:rPr>
        <w:t>Подрядчик</w:t>
      </w:r>
      <w:r>
        <w:rPr>
          <w:bCs/>
        </w:rPr>
        <w:t xml:space="preserve">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14.1 Договора, а также обеспечить прекращение участия таких организаций в исполнении Договора.</w:t>
      </w:r>
      <w:bookmarkEnd w:id="47"/>
    </w:p>
    <w:p>
      <w:pPr>
        <w:pStyle w:val="ListParagraph"/>
        <w:numPr>
          <w:ilvl w:val="1"/>
          <w:numId w:val="23"/>
        </w:numPr>
        <w:shd w:val="clear" w:color="auto" w:fill="FFFFFF"/>
        <w:tabs>
          <w:tab w:val="clear" w:pos="708"/>
          <w:tab w:val="left" w:pos="1134" w:leader="none"/>
        </w:tabs>
        <w:ind w:left="0" w:firstLine="709"/>
        <w:jc w:val="both"/>
        <w:rPr>
          <w:bCs/>
        </w:rPr>
      </w:pPr>
      <w:bookmarkStart w:id="48" w:name="_Ref361337948"/>
      <w:r>
        <w:rPr>
          <w:bCs/>
        </w:rPr>
        <w:t xml:space="preserve">В случае нарушения Подрядчиком обязательств, установленных пунктами 14.1, 14.2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w:t>
      </w:r>
      <w:r>
        <w:rPr>
          <w:bCs/>
          <w:color w:val="000000" w:themeColor="text1"/>
        </w:rPr>
        <w:t>Подрядчиком</w:t>
      </w:r>
      <w:r>
        <w:rPr>
          <w:bCs/>
        </w:rPr>
        <w:t xml:space="preserve">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48"/>
    </w:p>
    <w:p>
      <w:pPr>
        <w:pStyle w:val="ListParagraph"/>
        <w:numPr>
          <w:ilvl w:val="1"/>
          <w:numId w:val="23"/>
        </w:numPr>
        <w:shd w:val="clear" w:color="auto" w:fill="FFFFFF"/>
        <w:tabs>
          <w:tab w:val="clear" w:pos="708"/>
          <w:tab w:val="left" w:pos="1134" w:leader="none"/>
        </w:tabs>
        <w:ind w:left="0" w:firstLine="709"/>
        <w:jc w:val="both"/>
        <w:rPr>
          <w:bCs/>
        </w:rPr>
      </w:pPr>
      <w:bookmarkStart w:id="49" w:name="_Ref36133798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14.1, 14.2 Договора.</w:t>
      </w:r>
      <w:bookmarkEnd w:id="49"/>
    </w:p>
    <w:p>
      <w:pPr>
        <w:pStyle w:val="ListParagraph"/>
        <w:numPr>
          <w:ilvl w:val="1"/>
          <w:numId w:val="23"/>
        </w:numPr>
        <w:shd w:val="clear" w:color="auto" w:fill="FFFFFF"/>
        <w:tabs>
          <w:tab w:val="clear" w:pos="708"/>
          <w:tab w:val="left" w:pos="1134" w:leader="none"/>
        </w:tabs>
        <w:ind w:left="0" w:firstLine="709"/>
        <w:jc w:val="both"/>
        <w:rPr>
          <w:bCs/>
        </w:rPr>
      </w:pPr>
      <w:bookmarkStart w:id="50" w:name="_Ref373243071"/>
      <w:r>
        <w:rPr>
          <w:bCs/>
        </w:rPr>
        <w:t xml:space="preserve">Штраф, предусмотренный пунктом </w:t>
      </w:r>
      <w:r>
        <w:rPr>
          <w:bCs/>
        </w:rPr>
        <w:fldChar w:fldCharType="begin"/>
      </w:r>
      <w:r>
        <w:rPr>
          <w:bCs/>
        </w:rPr>
        <w:instrText xml:space="preserve"> REF _Ref361337980 \r \h </w:instrText>
      </w:r>
      <w:r>
        <w:rPr>
          <w:bCs/>
        </w:rPr>
        <w:fldChar w:fldCharType="separate"/>
      </w:r>
      <w:r>
        <w:rPr>
          <w:bCs/>
        </w:rPr>
        <w:t>14.4</w:t>
      </w:r>
      <w:r>
        <w:rPr>
          <w:bCs/>
        </w:rPr>
        <w:fldChar w:fldCharType="end"/>
      </w:r>
      <w:r>
        <w:rPr>
          <w:bCs/>
        </w:rPr>
        <w:t>.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14.3 Договора.</w:t>
      </w:r>
      <w:bookmarkEnd w:id="50"/>
    </w:p>
    <w:p>
      <w:pPr>
        <w:pStyle w:val="ListParagraph"/>
        <w:numPr>
          <w:ilvl w:val="1"/>
          <w:numId w:val="23"/>
        </w:numPr>
        <w:shd w:val="clear" w:color="auto" w:fill="FFFFFF"/>
        <w:tabs>
          <w:tab w:val="clear" w:pos="708"/>
          <w:tab w:val="left" w:pos="1134" w:leader="none"/>
        </w:tabs>
        <w:ind w:left="0" w:firstLine="709"/>
        <w:jc w:val="both"/>
        <w:rPr>
          <w:bCs/>
        </w:rPr>
      </w:pPr>
      <w:bookmarkStart w:id="51" w:name="_Ref361337992"/>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14.4. Договора. При этом Заказчик не будет считаться просрочившим и / или нарушившим свои обязательства по Договору.</w:t>
      </w:r>
      <w:bookmarkEnd w:id="51"/>
    </w:p>
    <w:p>
      <w:pPr>
        <w:pStyle w:val="ListParagraph"/>
        <w:numPr>
          <w:ilvl w:val="1"/>
          <w:numId w:val="23"/>
        </w:numPr>
        <w:shd w:val="clear" w:color="auto" w:fill="FFFFFF"/>
        <w:tabs>
          <w:tab w:val="clear" w:pos="708"/>
          <w:tab w:val="left" w:pos="1134" w:leader="none"/>
        </w:tabs>
        <w:ind w:left="0" w:firstLine="709"/>
        <w:jc w:val="both"/>
        <w:rPr>
          <w:bCs/>
        </w:rPr>
      </w:pPr>
      <w:r>
        <w:rPr>
          <w:bCs/>
        </w:rPr>
        <w:t>Независимо от других положений Договора, положения пунктов 14.4, 14.5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bCs/>
        </w:rPr>
      </w:pPr>
      <w:r>
        <w:rPr>
          <w:bCs/>
        </w:rPr>
      </w:r>
    </w:p>
    <w:p>
      <w:pPr>
        <w:pStyle w:val="ListParagraph"/>
        <w:numPr>
          <w:ilvl w:val="0"/>
          <w:numId w:val="23"/>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23"/>
        </w:numPr>
        <w:shd w:val="clear" w:color="auto" w:fill="FFFFFF"/>
        <w:tabs>
          <w:tab w:val="clear" w:pos="708"/>
          <w:tab w:val="left" w:pos="1134" w:leader="none"/>
          <w:tab w:val="left" w:pos="1418" w:leader="none"/>
        </w:tabs>
        <w:ind w:left="0" w:firstLine="709"/>
        <w:jc w:val="both"/>
        <w:rPr/>
      </w:pPr>
      <w:r>
        <w:rPr>
          <w:bCs/>
          <w:color w:val="000000" w:themeColor="text1"/>
        </w:rPr>
        <w:t xml:space="preserve">Заказчик и Подрядчик </w:t>
      </w:r>
      <w:r>
        <w:rPr/>
        <w:t xml:space="preserve">заявляют и подтверждают друг другу, что: </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они являются юридическими лицами, надлежащим образом учрежденными и правомерно осуществляющими свою деятельность в соответствии с законодательством Российской Федерации;</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они обладают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они получили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 xml:space="preserve">они располагают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3"/>
        </w:numPr>
        <w:shd w:val="clear" w:color="auto" w:fill="FFFFFF"/>
        <w:tabs>
          <w:tab w:val="clear" w:pos="708"/>
          <w:tab w:val="left" w:pos="1134" w:leader="none"/>
          <w:tab w:val="left" w:pos="1418" w:leader="none"/>
        </w:tabs>
        <w:ind w:left="0" w:firstLine="709"/>
        <w:jc w:val="both"/>
        <w:rPr/>
      </w:pPr>
      <w:r>
        <w:rPr>
          <w:color w:val="000000" w:themeColor="text1"/>
        </w:rPr>
        <w:t>Подрядчик</w:t>
      </w:r>
      <w:r>
        <w:rPr/>
        <w:t xml:space="preserve"> заявляет и заверяет Заказчика в том, что на момент заключения Договора:</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 xml:space="preserve">учредителем / учредителями </w:t>
      </w:r>
      <w:r>
        <w:rPr>
          <w:color w:val="000000" w:themeColor="text1"/>
        </w:rPr>
        <w:t>Подрядчика</w:t>
      </w:r>
      <w:r>
        <w:rPr/>
        <w:t xml:space="preserve"> являются лица, не являющиеся массовыми учредителем / учредителями;</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 xml:space="preserve">руководителем </w:t>
      </w:r>
      <w:r>
        <w:rPr>
          <w:color w:val="000000" w:themeColor="text1"/>
        </w:rPr>
        <w:t>Подрядчика</w:t>
      </w:r>
      <w:r>
        <w:rPr/>
        <w:t xml:space="preserve"> является лицо, не являющееся массовым руководителем;</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color w:val="000000" w:themeColor="text1"/>
        </w:rPr>
        <w:t>Подрядчик</w:t>
      </w:r>
      <w:r>
        <w:rPr/>
        <w:t xml:space="preserve"> фактически находится по адресу, указанному в Едином государственном реестре юридических лиц; </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color w:val="000000" w:themeColor="text1"/>
        </w:rPr>
        <w:t>Подрядчик</w:t>
      </w:r>
      <w:r>
        <w:rPr/>
        <w:t xml:space="preserve">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color w:val="000000" w:themeColor="text1"/>
        </w:rPr>
        <w:t>Подрядчик</w:t>
      </w:r>
      <w:r>
        <w:rPr/>
        <w:t xml:space="preserve"> не находятся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Договора или в связи с ним;</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color w:val="000000" w:themeColor="text1"/>
        </w:rPr>
        <w:t>Подрядчик</w:t>
      </w:r>
      <w:r>
        <w:rPr/>
        <w:t xml:space="preserve"> состоит в СРО, основанной на членстве лиц, осуществляющих строительство;</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color w:val="000000" w:themeColor="text1"/>
        </w:rPr>
        <w:t>Подрядчик</w:t>
      </w:r>
      <w:r>
        <w:rPr/>
        <w:t xml:space="preserve"> имеют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color w:val="000000" w:themeColor="text1"/>
        </w:rPr>
        <w:t>Подрядчик</w:t>
      </w:r>
      <w:r>
        <w:rPr/>
        <w:t xml:space="preserve">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color w:val="000000" w:themeColor="text1"/>
        </w:rPr>
        <w:t>Подрядчик</w:t>
      </w:r>
      <w:r>
        <w:rPr/>
        <w:t xml:space="preserve">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color w:val="000000" w:themeColor="text1"/>
        </w:rPr>
        <w:t>Подрядчик</w:t>
      </w:r>
      <w:r>
        <w:rPr/>
        <w:t xml:space="preserve">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 xml:space="preserve">вся информация, предоставленная Заказчику, является достоверной, полной и точной, и </w:t>
      </w:r>
      <w:r>
        <w:rPr>
          <w:color w:val="000000" w:themeColor="text1"/>
        </w:rPr>
        <w:t>Подрядчик</w:t>
      </w:r>
      <w:r>
        <w:rPr/>
        <w:t xml:space="preserve">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23"/>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3"/>
        </w:numPr>
        <w:shd w:val="clear" w:color="auto" w:fill="FFFFFF"/>
        <w:tabs>
          <w:tab w:val="clear" w:pos="708"/>
          <w:tab w:val="left" w:pos="1134" w:leader="none"/>
          <w:tab w:val="left" w:pos="1418" w:leader="none"/>
        </w:tabs>
        <w:ind w:left="0" w:firstLine="709"/>
        <w:jc w:val="both"/>
        <w:rPr/>
      </w:pPr>
      <w:r>
        <w:rPr/>
        <w:t xml:space="preserve">В случае если </w:t>
      </w:r>
      <w:r>
        <w:rPr>
          <w:color w:val="000000" w:themeColor="text1"/>
        </w:rPr>
        <w:t>Подрядчик</w:t>
      </w:r>
      <w:r>
        <w:rPr/>
        <w:t xml:space="preserve"> при заключении Договора предоставил Заказчику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Подрядчик</w:t>
      </w:r>
      <w:r>
        <w:rPr>
          <w:bCs/>
        </w:rPr>
        <w:t xml:space="preserve"> </w:t>
      </w:r>
      <w:r>
        <w:rPr/>
        <w:t>обязан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3"/>
        </w:numPr>
        <w:shd w:val="clear" w:color="auto" w:fill="FFFFFF"/>
        <w:tabs>
          <w:tab w:val="clear" w:pos="708"/>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hanging="0"/>
        <w:jc w:val="both"/>
        <w:rPr/>
      </w:pPr>
      <w:r>
        <w:rPr/>
      </w:r>
    </w:p>
    <w:p>
      <w:pPr>
        <w:pStyle w:val="ListParagraph"/>
        <w:numPr>
          <w:ilvl w:val="0"/>
          <w:numId w:val="23"/>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23"/>
        </w:numPr>
        <w:shd w:val="clear" w:color="auto" w:fill="FFFFFF"/>
        <w:tabs>
          <w:tab w:val="clear" w:pos="708"/>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3"/>
        </w:numPr>
        <w:shd w:val="clear" w:color="auto" w:fill="FFFFFF"/>
        <w:tabs>
          <w:tab w:val="clear" w:pos="708"/>
          <w:tab w:val="left" w:pos="1134" w:leader="none"/>
        </w:tabs>
        <w:suppressAutoHyphens w:val="false"/>
        <w:ind w:left="0" w:firstLine="709"/>
        <w:jc w:val="both"/>
        <w:rPr/>
      </w:pPr>
      <w:r>
        <w:rPr/>
        <w:t xml:space="preserve">Заказчик вправе в любое время до сдачи ему Результата Работ </w:t>
        <w:br/>
        <w:t xml:space="preserve">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3"/>
        </w:numPr>
        <w:shd w:val="clear" w:color="auto" w:fill="FFFFFF"/>
        <w:tabs>
          <w:tab w:val="clear" w:pos="708"/>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w:t>
      </w:r>
      <w:r>
        <w:rPr>
          <w:bCs/>
        </w:rPr>
        <w:t xml:space="preserve"> </w:t>
      </w:r>
      <w:r>
        <w:rPr/>
        <w:t>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соответствующего письменного требования Заказчика.</w:t>
      </w:r>
    </w:p>
    <w:p>
      <w:pPr>
        <w:pStyle w:val="ListParagraph"/>
        <w:numPr>
          <w:ilvl w:val="1"/>
          <w:numId w:val="23"/>
        </w:numPr>
        <w:shd w:val="clear" w:color="auto" w:fill="FFFFFF"/>
        <w:tabs>
          <w:tab w:val="clear" w:pos="708"/>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10"/>
        </w:numPr>
        <w:tabs>
          <w:tab w:val="clear" w:pos="708"/>
          <w:tab w:val="left" w:pos="1134" w:leader="none"/>
        </w:tabs>
        <w:ind w:left="0" w:firstLine="709"/>
        <w:jc w:val="both"/>
        <w:rPr/>
      </w:pPr>
      <w:r>
        <w:rPr/>
        <w:t>нарушение Подрядчиком начального и конечного сроков выполнения Работ по Договору, а также сроков выполнения Этапов Работ, установленных Договором и Календарным графиком выполнения Работ (Приложение № 2 к Договору), более чем на 60 (шестьдесят) календарных дней по причинам, не зависящим от Заказчика;</w:t>
      </w:r>
    </w:p>
    <w:p>
      <w:pPr>
        <w:pStyle w:val="ListParagraph"/>
        <w:numPr>
          <w:ilvl w:val="0"/>
          <w:numId w:val="10"/>
        </w:numPr>
        <w:tabs>
          <w:tab w:val="clear" w:pos="708"/>
          <w:tab w:val="left" w:pos="1134" w:leader="none"/>
        </w:tabs>
        <w:ind w:left="0" w:firstLine="709"/>
        <w:jc w:val="both"/>
        <w:rPr/>
      </w:pPr>
      <w:r>
        <w:rPr/>
        <w:t>несоблюдение Подрядчиком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10"/>
        </w:numPr>
        <w:tabs>
          <w:tab w:val="clear" w:pos="708"/>
          <w:tab w:val="left" w:pos="1134" w:leader="none"/>
        </w:tabs>
        <w:ind w:left="0" w:firstLine="709"/>
        <w:jc w:val="both"/>
        <w:rPr/>
      </w:pPr>
      <w:r>
        <w:rPr/>
        <w:t xml:space="preserve">отсутствие у </w:t>
      </w:r>
      <w:r>
        <w:rPr>
          <w:bCs/>
        </w:rPr>
        <w:t xml:space="preserve">Подрядчика </w:t>
      </w:r>
      <w:r>
        <w:rPr/>
        <w:t>(по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10"/>
        </w:numPr>
        <w:tabs>
          <w:tab w:val="clear" w:pos="708"/>
          <w:tab w:val="left" w:pos="1134" w:leader="none"/>
        </w:tabs>
        <w:ind w:left="0" w:firstLine="709"/>
        <w:jc w:val="both"/>
        <w:rPr/>
      </w:pPr>
      <w:r>
        <w:rPr/>
        <w:t xml:space="preserve">прекращение членства </w:t>
      </w:r>
      <w:r>
        <w:rPr>
          <w:bCs/>
        </w:rPr>
        <w:t xml:space="preserve">Подрядчика </w:t>
      </w:r>
      <w:r>
        <w:rPr/>
        <w:t>в СРО, основанной на членстве лиц, осуществляющих строительство, предоставляющего Подрядчику право на производство Работ по Договору;</w:t>
      </w:r>
    </w:p>
    <w:p>
      <w:pPr>
        <w:pStyle w:val="ListParagraph"/>
        <w:numPr>
          <w:ilvl w:val="0"/>
          <w:numId w:val="10"/>
        </w:numPr>
        <w:tabs>
          <w:tab w:val="clear" w:pos="708"/>
          <w:tab w:val="left" w:pos="1134" w:leader="none"/>
        </w:tabs>
        <w:ind w:left="0" w:firstLine="709"/>
        <w:jc w:val="both"/>
        <w:rPr/>
      </w:pPr>
      <w:r>
        <w:rPr/>
        <w:t xml:space="preserve">принятие актов государственных органов или организаций, лишающих </w:t>
      </w:r>
      <w:r>
        <w:rPr>
          <w:bCs/>
        </w:rPr>
        <w:t xml:space="preserve">Подрядчика </w:t>
      </w:r>
      <w:r>
        <w:rPr/>
        <w:t>в установленном порядке права на производство Работ по Договору;</w:t>
      </w:r>
    </w:p>
    <w:p>
      <w:pPr>
        <w:pStyle w:val="ListParagraph"/>
        <w:numPr>
          <w:ilvl w:val="0"/>
          <w:numId w:val="10"/>
        </w:numPr>
        <w:tabs>
          <w:tab w:val="clear" w:pos="708"/>
          <w:tab w:val="left" w:pos="1134" w:leader="none"/>
        </w:tabs>
        <w:ind w:left="0" w:firstLine="709"/>
        <w:jc w:val="both"/>
        <w:rPr/>
      </w:pPr>
      <w:r>
        <w:rPr/>
        <w:t xml:space="preserve">наложение ареста на имущество </w:t>
      </w:r>
      <w:r>
        <w:rPr>
          <w:bCs/>
        </w:rPr>
        <w:t>Подрядчика</w:t>
      </w:r>
      <w:r>
        <w:rPr/>
        <w:t xml:space="preserve"> введение арбитражным судом процедуры несостоятельности (банкротства) в отношении </w:t>
      </w:r>
      <w:r>
        <w:rPr>
          <w:bCs/>
        </w:rPr>
        <w:t>Подрядчика</w:t>
      </w:r>
      <w:r>
        <w:rPr/>
        <w:t>;</w:t>
      </w:r>
    </w:p>
    <w:p>
      <w:pPr>
        <w:pStyle w:val="ListParagraph"/>
        <w:numPr>
          <w:ilvl w:val="0"/>
          <w:numId w:val="10"/>
        </w:numPr>
        <w:tabs>
          <w:tab w:val="clear" w:pos="708"/>
          <w:tab w:val="left" w:pos="1134" w:leader="none"/>
        </w:tabs>
        <w:ind w:left="0" w:firstLine="709"/>
        <w:jc w:val="both"/>
        <w:rPr/>
      </w:pPr>
      <w:r>
        <w:rPr/>
        <w:t>привлечение к выполнению Работ по Договору третьих лиц (Субподрядчиков) с нарушением требований, установленных пунктом 2.4.3 Договора;</w:t>
      </w:r>
    </w:p>
    <w:p>
      <w:pPr>
        <w:pStyle w:val="ListParagraph"/>
        <w:numPr>
          <w:ilvl w:val="0"/>
          <w:numId w:val="10"/>
        </w:numPr>
        <w:tabs>
          <w:tab w:val="clear" w:pos="708"/>
          <w:tab w:val="left" w:pos="1134" w:leader="none"/>
        </w:tabs>
        <w:ind w:left="0" w:firstLine="709"/>
        <w:jc w:val="both"/>
        <w:rPr/>
      </w:pPr>
      <w:r>
        <w:rPr/>
        <w:t>нарушение</w:t>
      </w:r>
      <w:r>
        <w:rPr>
          <w:color w:val="000000" w:themeColor="text1"/>
        </w:rPr>
        <w:t xml:space="preserve"> Подрядчиком</w:t>
      </w:r>
      <w:r>
        <w:rPr/>
        <w:t xml:space="preserve">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10"/>
        </w:numPr>
        <w:tabs>
          <w:tab w:val="clear" w:pos="708"/>
          <w:tab w:val="left" w:pos="1134" w:leader="none"/>
        </w:tabs>
        <w:ind w:left="0" w:firstLine="709"/>
        <w:jc w:val="both"/>
        <w:rPr/>
      </w:pPr>
      <w:r>
        <w:rPr/>
        <w:t xml:space="preserve">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color w:val="000000" w:themeColor="text1"/>
        </w:rPr>
        <w:t>Подрядчика</w:t>
      </w:r>
      <w:r>
        <w:rPr/>
        <w:t xml:space="preserve"> об обстоятельствах, указанных в разделе 15 Договора, и имеющих существенное значение для его заключения и исполнения.</w:t>
      </w:r>
    </w:p>
    <w:p>
      <w:pPr>
        <w:pStyle w:val="ListParagraph"/>
        <w:numPr>
          <w:ilvl w:val="1"/>
          <w:numId w:val="23"/>
        </w:numPr>
        <w:shd w:val="clear" w:color="auto" w:fill="FFFFFF"/>
        <w:tabs>
          <w:tab w:val="clear" w:pos="708"/>
          <w:tab w:val="left" w:pos="1134" w:leader="none"/>
        </w:tabs>
        <w:ind w:left="0" w:firstLine="709"/>
        <w:jc w:val="both"/>
        <w:rPr/>
      </w:pPr>
      <w:r>
        <w:rPr/>
        <w:t xml:space="preserve">В случае отказа Заказчика от Договора в случаях, предусмотренных пунктами 16.2, 16.3, 16.4 Договора, последний считается прекращенным (расторгнутым) со дня, следующего за днем получения </w:t>
      </w:r>
      <w:r>
        <w:rPr>
          <w:color w:val="000000" w:themeColor="text1"/>
        </w:rPr>
        <w:t>Подрядчиком</w:t>
      </w:r>
      <w:r>
        <w:rPr/>
        <w:t xml:space="preserve"> уведомления Заказчика об отказе от Договора (исполнения Договора). </w:t>
      </w:r>
    </w:p>
    <w:p>
      <w:pPr>
        <w:pStyle w:val="ListParagraph"/>
        <w:numPr>
          <w:ilvl w:val="1"/>
          <w:numId w:val="23"/>
        </w:numPr>
        <w:shd w:val="clear" w:color="auto" w:fill="FFFFFF"/>
        <w:tabs>
          <w:tab w:val="clear" w:pos="708"/>
          <w:tab w:val="left" w:pos="1134" w:leader="none"/>
        </w:tabs>
        <w:ind w:left="0" w:firstLine="709"/>
        <w:jc w:val="both"/>
        <w:rPr/>
      </w:pPr>
      <w: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pPr>
        <w:pStyle w:val="ListParagraph"/>
        <w:numPr>
          <w:ilvl w:val="0"/>
          <w:numId w:val="21"/>
        </w:numPr>
        <w:shd w:val="clear" w:color="auto" w:fill="FFFFFF"/>
        <w:tabs>
          <w:tab w:val="clear" w:pos="708"/>
          <w:tab w:val="left" w:pos="1418" w:leader="none"/>
        </w:tabs>
        <w:ind w:left="0" w:firstLine="709"/>
        <w:jc w:val="both"/>
        <w:rPr/>
      </w:pPr>
      <w:r>
        <w:rPr/>
        <w:t>передать Заказчику результаты фактически выполненных Работ, техническую и иную полученную документацию, закупленные Материально-технические ресурсы;</w:t>
      </w:r>
    </w:p>
    <w:p>
      <w:pPr>
        <w:pStyle w:val="ListParagraph"/>
        <w:numPr>
          <w:ilvl w:val="0"/>
          <w:numId w:val="21"/>
        </w:numPr>
        <w:shd w:val="clear" w:color="auto" w:fill="FFFFFF"/>
        <w:tabs>
          <w:tab w:val="clear" w:pos="708"/>
          <w:tab w:val="left" w:pos="1418" w:leader="none"/>
        </w:tabs>
        <w:ind w:left="0" w:firstLine="709"/>
        <w:jc w:val="both"/>
        <w:rPr>
          <w:rFonts w:cs="Verdana"/>
        </w:rPr>
      </w:pPr>
      <w:r>
        <w:rPr/>
        <w:t>вывезти с места производства Работ собственную строительную технику</w:t>
      </w:r>
      <w:r>
        <w:rPr>
          <w:rFonts w:cs="Verdana"/>
        </w:rPr>
        <w:t xml:space="preserve"> и персонал Подрядчика; </w:t>
      </w:r>
    </w:p>
    <w:p>
      <w:pPr>
        <w:pStyle w:val="ListParagraph"/>
        <w:numPr>
          <w:ilvl w:val="0"/>
          <w:numId w:val="21"/>
        </w:numPr>
        <w:shd w:val="clear" w:color="auto" w:fill="FFFFFF"/>
        <w:tabs>
          <w:tab w:val="clear" w:pos="708"/>
          <w:tab w:val="left" w:pos="1418" w:leader="none"/>
        </w:tabs>
        <w:ind w:left="0" w:firstLine="709"/>
        <w:jc w:val="both"/>
        <w:rPr>
          <w:rFonts w:cs="Verdana"/>
        </w:rPr>
      </w:pPr>
      <w:r>
        <w:rPr>
          <w:rFonts w:cs="Verdana"/>
        </w:rPr>
        <w:t xml:space="preserve">удалить </w:t>
      </w:r>
      <w:r>
        <w:rP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pPr>
        <w:pStyle w:val="ListParagraph"/>
        <w:numPr>
          <w:ilvl w:val="1"/>
          <w:numId w:val="23"/>
        </w:numPr>
        <w:shd w:val="clear" w:color="auto" w:fill="FFFFFF"/>
        <w:tabs>
          <w:tab w:val="clear" w:pos="708"/>
          <w:tab w:val="left" w:pos="1134" w:leader="none"/>
        </w:tabs>
        <w:ind w:left="0" w:firstLine="709"/>
        <w:jc w:val="both"/>
        <w:rPr/>
      </w:pPr>
      <w:r>
        <w:rPr/>
        <w:t>В случае досрочного прекращения (расторжения) Договора выплата Обеспечительного платежа производится Заказчиком в порядке и сроки, установленном пунктом 3.5.6 Договора.</w:t>
      </w:r>
    </w:p>
    <w:p>
      <w:pPr>
        <w:pStyle w:val="ListParagraph"/>
        <w:numPr>
          <w:ilvl w:val="1"/>
          <w:numId w:val="23"/>
        </w:numPr>
        <w:shd w:val="clear" w:color="auto" w:fill="FFFFFF"/>
        <w:tabs>
          <w:tab w:val="clear" w:pos="708"/>
          <w:tab w:val="left" w:pos="1134" w:leader="none"/>
        </w:tabs>
        <w:ind w:left="0" w:firstLine="709"/>
        <w:jc w:val="both"/>
        <w:rPr/>
      </w:pPr>
      <w:r>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уплате неустойки (пени), штрафов и возмещению убытков в случаях и размерах, предусмотренных Договором.</w:t>
      </w:r>
    </w:p>
    <w:p>
      <w:pPr>
        <w:pStyle w:val="ListParagraph"/>
        <w:shd w:val="clear" w:color="auto" w:fill="FFFFFF"/>
        <w:tabs>
          <w:tab w:val="clear" w:pos="708"/>
          <w:tab w:val="left" w:pos="1134" w:leader="none"/>
        </w:tabs>
        <w:ind w:left="709" w:hanging="0"/>
        <w:jc w:val="both"/>
        <w:rPr/>
      </w:pPr>
      <w:r>
        <w:rPr/>
      </w:r>
    </w:p>
    <w:p>
      <w:pPr>
        <w:pStyle w:val="ListParagraph"/>
        <w:numPr>
          <w:ilvl w:val="0"/>
          <w:numId w:val="23"/>
        </w:numPr>
        <w:shd w:val="clear" w:color="auto" w:fill="FFFFFF"/>
        <w:tabs>
          <w:tab w:val="clear" w:pos="708"/>
          <w:tab w:val="left" w:pos="426" w:leader="none"/>
        </w:tabs>
        <w:ind w:left="0" w:hanging="0"/>
        <w:jc w:val="center"/>
        <w:rPr>
          <w:b/>
          <w:bCs/>
        </w:rPr>
      </w:pPr>
      <w:r>
        <w:rPr>
          <w:b/>
          <w:bCs/>
        </w:rPr>
        <w:t>Заключительные положения</w:t>
      </w:r>
    </w:p>
    <w:p>
      <w:pPr>
        <w:pStyle w:val="ListParagraph"/>
        <w:numPr>
          <w:ilvl w:val="1"/>
          <w:numId w:val="23"/>
        </w:numPr>
        <w:shd w:val="clear" w:color="auto" w:fill="FFFFFF"/>
        <w:tabs>
          <w:tab w:val="clear" w:pos="708"/>
          <w:tab w:val="left" w:pos="1134" w:leader="none"/>
        </w:tabs>
        <w:ind w:left="0" w:firstLine="709"/>
        <w:jc w:val="both"/>
        <w:rPr/>
      </w:pPr>
      <w:r>
        <w:rPr/>
        <w:t xml:space="preserve">Договор вступает в силу с даты его подписания </w:t>
      </w:r>
      <w:r>
        <w:rPr>
          <w:color w:val="000000" w:themeColor="text1"/>
        </w:rPr>
        <w:t>Заказчиком и Подрядчиком</w:t>
      </w:r>
      <w:r>
        <w:rPr/>
        <w:t xml:space="preserve"> и действует до полного исполнения ими принятых на себя обязательств.</w:t>
      </w:r>
    </w:p>
    <w:p>
      <w:pPr>
        <w:pStyle w:val="Normal"/>
        <w:numPr>
          <w:ilvl w:val="1"/>
          <w:numId w:val="23"/>
        </w:numPr>
        <w:snapToGrid w:val="false"/>
        <w:spacing w:lineRule="auto" w:line="240"/>
        <w:ind w:left="0" w:firstLine="567"/>
        <w:rPr>
          <w:color w:val="000000" w:themeColor="text1"/>
          <w:sz w:val="24"/>
          <w:szCs w:val="24"/>
          <w:lang w:eastAsia="en-US"/>
        </w:rPr>
      </w:pPr>
      <w:r>
        <w:rPr>
          <w:color w:val="000000" w:themeColor="text1"/>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w:t>
      </w:r>
      <w:r>
        <w:rPr>
          <w:sz w:val="24"/>
          <w:szCs w:val="24"/>
          <w:lang w:eastAsia="en-US"/>
        </w:rPr>
        <w:t>Сторон</w:t>
      </w:r>
      <w:r>
        <w:rPr>
          <w:color w:val="000000" w:themeColor="text1"/>
          <w:sz w:val="24"/>
          <w:szCs w:val="24"/>
          <w:lang w:eastAsia="en-US"/>
        </w:rPr>
        <w:t>.</w:t>
      </w:r>
    </w:p>
    <w:p>
      <w:pPr>
        <w:pStyle w:val="Normal"/>
        <w:spacing w:lineRule="auto" w:line="240"/>
        <w:ind w:firstLine="709"/>
        <w:rPr>
          <w:color w:val="000000" w:themeColor="text1"/>
          <w:sz w:val="24"/>
          <w:szCs w:val="24"/>
          <w:lang w:eastAsia="en-US"/>
        </w:rPr>
      </w:pPr>
      <w:r>
        <w:rPr>
          <w:color w:val="000000" w:themeColor="text1"/>
          <w:sz w:val="24"/>
          <w:szCs w:val="24"/>
          <w:lang w:eastAsia="en-US"/>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w:t>
      </w:r>
      <w:r>
        <w:rPr>
          <w:sz w:val="24"/>
          <w:szCs w:val="24"/>
          <w:lang w:eastAsia="en-US"/>
        </w:rPr>
        <w:t>Сторон</w:t>
      </w:r>
      <w:r>
        <w:rPr>
          <w:color w:val="000000" w:themeColor="text1"/>
          <w:sz w:val="24"/>
          <w:szCs w:val="24"/>
          <w:lang w:eastAsia="en-US"/>
        </w:rPr>
        <w:t>.</w:t>
      </w:r>
    </w:p>
    <w:p>
      <w:pPr>
        <w:pStyle w:val="ListParagraph"/>
        <w:numPr>
          <w:ilvl w:val="1"/>
          <w:numId w:val="23"/>
        </w:numPr>
        <w:shd w:val="clear" w:color="auto" w:fill="FFFFFF"/>
        <w:tabs>
          <w:tab w:val="clear" w:pos="708"/>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17.6 Договора. </w:t>
      </w:r>
    </w:p>
    <w:p>
      <w:pPr>
        <w:pStyle w:val="ListParagraph"/>
        <w:numPr>
          <w:ilvl w:val="1"/>
          <w:numId w:val="23"/>
        </w:numPr>
        <w:shd w:val="clear" w:color="auto" w:fill="FFFFFF"/>
        <w:tabs>
          <w:tab w:val="clear" w:pos="708"/>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3"/>
        </w:numPr>
        <w:shd w:val="clear" w:color="auto" w:fill="FFFFFF"/>
        <w:tabs>
          <w:tab w:val="clear" w:pos="708"/>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3"/>
        </w:numPr>
        <w:shd w:val="clear" w:color="auto" w:fill="FFFFFF"/>
        <w:tabs>
          <w:tab w:val="clear" w:pos="708"/>
          <w:tab w:val="left" w:pos="1134"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17.8 Договора. </w:t>
      </w:r>
    </w:p>
    <w:p>
      <w:pPr>
        <w:pStyle w:val="ListParagraph"/>
        <w:numPr>
          <w:ilvl w:val="1"/>
          <w:numId w:val="23"/>
        </w:numPr>
        <w:shd w:val="clear" w:color="auto" w:fill="FFFFFF"/>
        <w:tabs>
          <w:tab w:val="clear" w:pos="708"/>
          <w:tab w:val="left" w:pos="1134" w:leader="none"/>
        </w:tabs>
        <w:ind w:left="0" w:firstLine="709"/>
        <w:jc w:val="both"/>
        <w:rPr/>
      </w:pPr>
      <w:bookmarkStart w:id="52" w:name="_Ref361338004"/>
      <w:r>
        <w:rPr>
          <w:lang w:eastAsia="en-US"/>
        </w:rPr>
        <w:t xml:space="preserve">Стороны </w:t>
      </w:r>
      <w:r>
        <w:rPr/>
        <w:t>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52"/>
      <w:r>
        <w:rPr/>
        <w:t xml:space="preserve"> </w:t>
      </w:r>
    </w:p>
    <w:p>
      <w:pPr>
        <w:pStyle w:val="ListParagraph"/>
        <w:numPr>
          <w:ilvl w:val="1"/>
          <w:numId w:val="23"/>
        </w:numPr>
        <w:shd w:val="clear" w:color="auto" w:fill="FFFFFF"/>
        <w:tabs>
          <w:tab w:val="clear" w:pos="708"/>
          <w:tab w:val="left" w:pos="0" w:leader="none"/>
          <w:tab w:val="left" w:pos="1418" w:leader="none"/>
        </w:tabs>
        <w:ind w:left="0" w:firstLine="709"/>
        <w:jc w:val="both"/>
        <w:rPr>
          <w:bCs/>
        </w:rPr>
      </w:pPr>
      <w:r>
        <w:rPr/>
        <w:t>Письма, уведомления и / или сообщения направляются Стороне</w:t>
      </w:r>
      <w:r>
        <w:rPr>
          <w:bCs/>
        </w:rPr>
        <w:t>-</w:t>
      </w:r>
      <w:r>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rPr/>
        <w:t xml:space="preserve">: </w:t>
      </w:r>
    </w:p>
    <w:p>
      <w:pPr>
        <w:pStyle w:val="ListParagraph"/>
        <w:widowControl w:val="false"/>
        <w:numPr>
          <w:ilvl w:val="2"/>
          <w:numId w:val="23"/>
        </w:numPr>
        <w:ind w:left="0" w:firstLine="709"/>
        <w:jc w:val="both"/>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23"/>
        </w:numPr>
        <w:ind w:left="0" w:firstLine="709"/>
        <w:jc w:val="both"/>
        <w:rPr/>
      </w:pPr>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t xml:space="preserve">; </w:t>
      </w:r>
    </w:p>
    <w:p>
      <w:pPr>
        <w:pStyle w:val="ListParagraph"/>
        <w:widowControl w:val="false"/>
        <w:numPr>
          <w:ilvl w:val="2"/>
          <w:numId w:val="23"/>
        </w:numPr>
        <w:ind w:left="0" w:firstLine="709"/>
        <w:jc w:val="both"/>
        <w:rPr>
          <w:bCs/>
        </w:rPr>
      </w:pPr>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rPr>
      </w:pPr>
      <w:bookmarkStart w:id="53" w:name="_Ref361338019"/>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 – 17.8.2 Договора. </w:t>
      </w:r>
      <w:bookmarkEnd w:id="53"/>
    </w:p>
    <w:p>
      <w:pPr>
        <w:pStyle w:val="Normal"/>
        <w:numPr>
          <w:ilvl w:val="1"/>
          <w:numId w:val="23"/>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3"/>
        </w:numPr>
        <w:shd w:val="clear" w:color="auto" w:fill="FFFFFF"/>
        <w:tabs>
          <w:tab w:val="clear" w:pos="708"/>
          <w:tab w:val="left" w:pos="568"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3"/>
        </w:numPr>
        <w:shd w:val="clear" w:color="auto" w:fill="FFFFFF"/>
        <w:tabs>
          <w:tab w:val="clear" w:pos="708"/>
          <w:tab w:val="left" w:pos="1134"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3"/>
        </w:numPr>
        <w:shd w:val="clear" w:color="auto" w:fill="FFFFFF"/>
        <w:tabs>
          <w:tab w:val="clear" w:pos="708"/>
          <w:tab w:val="left" w:pos="1134" w:leader="none"/>
        </w:tabs>
        <w:suppressAutoHyphens w:val="false"/>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8"/>
      </w:r>
      <w:r>
        <w:rPr>
          <w:highlight w:val="lightGray"/>
        </w:rPr>
        <w:t>.</w:t>
      </w:r>
    </w:p>
    <w:p>
      <w:pPr>
        <w:pStyle w:val="Normal"/>
        <w:shd w:val="clear" w:color="auto" w:fill="FFFFFF"/>
        <w:tabs>
          <w:tab w:val="clear" w:pos="708"/>
          <w:tab w:val="left" w:pos="1134" w:leader="none"/>
        </w:tabs>
        <w:ind w:hanging="0"/>
        <w:rPr/>
      </w:pPr>
      <w:r>
        <w:rPr/>
      </w:r>
    </w:p>
    <w:p>
      <w:pPr>
        <w:pStyle w:val="ListParagraph"/>
        <w:shd w:val="clear" w:color="auto" w:fill="FFFFFF"/>
        <w:tabs>
          <w:tab w:val="clear" w:pos="708"/>
          <w:tab w:val="left" w:pos="1134" w:leader="none"/>
        </w:tabs>
        <w:ind w:left="0" w:hanging="0"/>
        <w:jc w:val="both"/>
        <w:rPr/>
      </w:pPr>
      <w:r>
        <w:rPr/>
      </w:r>
    </w:p>
    <w:p>
      <w:pPr>
        <w:pStyle w:val="ListParagraph"/>
        <w:numPr>
          <w:ilvl w:val="0"/>
          <w:numId w:val="23"/>
        </w:numPr>
        <w:shd w:val="clear" w:color="auto" w:fill="FFFFFF"/>
        <w:tabs>
          <w:tab w:val="clear" w:pos="708"/>
          <w:tab w:val="left" w:pos="426" w:leader="none"/>
        </w:tabs>
        <w:ind w:left="0" w:hanging="0"/>
        <w:jc w:val="center"/>
        <w:rPr>
          <w:b/>
          <w:bCs/>
        </w:rPr>
      </w:pPr>
      <w:r>
        <w:rPr>
          <w:b/>
          <w:bCs/>
        </w:rPr>
        <w:t>Список приложений</w:t>
      </w:r>
    </w:p>
    <w:p>
      <w:pPr>
        <w:pStyle w:val="ListParagraph"/>
        <w:shd w:val="clear" w:color="auto" w:fill="FFFFFF"/>
        <w:ind w:left="0" w:hanging="0"/>
        <w:jc w:val="both"/>
        <w:rPr>
          <w:bCs/>
        </w:rPr>
      </w:pPr>
      <w:r>
        <w:rPr/>
        <w:t>Приложение № </w:t>
      </w:r>
      <w:r>
        <w:rPr>
          <w:bCs/>
        </w:rPr>
        <w:t>1 – Техническое задание.</w:t>
      </w:r>
    </w:p>
    <w:p>
      <w:pPr>
        <w:pStyle w:val="ListParagraph"/>
        <w:shd w:val="clear" w:color="auto" w:fill="FFFFFF"/>
        <w:ind w:left="0" w:hanging="0"/>
        <w:jc w:val="both"/>
        <w:rPr>
          <w:bCs/>
        </w:rPr>
      </w:pPr>
      <w:r>
        <w:rPr>
          <w:bCs/>
        </w:rPr>
        <w:t>Приложение № 2 – Календарный график выполнения Работ.</w:t>
      </w:r>
    </w:p>
    <w:p>
      <w:pPr>
        <w:pStyle w:val="ListParagraph"/>
        <w:shd w:val="clear" w:color="auto" w:fill="FFFFFF"/>
        <w:ind w:left="0" w:hanging="0"/>
        <w:jc w:val="both"/>
        <w:rPr>
          <w:bCs/>
        </w:rPr>
      </w:pPr>
      <w:r>
        <w:rPr>
          <w:bCs/>
        </w:rPr>
        <w:t>Приложение № 3 – Сводный сметный расчет.</w:t>
      </w:r>
    </w:p>
    <w:p>
      <w:pPr>
        <w:pStyle w:val="ListParagraph"/>
        <w:shd w:val="clear" w:color="auto" w:fill="FFFFFF"/>
        <w:ind w:left="0" w:hanging="0"/>
        <w:jc w:val="both"/>
        <w:rPr>
          <w:bCs/>
        </w:rPr>
      </w:pPr>
      <w:r>
        <w:rPr>
          <w:bCs/>
        </w:rPr>
        <w:t>Приложение № 4.1 – Форма Акта сдачи-приемки места производства работ и/или места (помещения) для складирования материалов.</w:t>
      </w:r>
    </w:p>
    <w:p>
      <w:pPr>
        <w:pStyle w:val="ListParagraph"/>
        <w:shd w:val="clear" w:color="auto" w:fill="FFFFFF"/>
        <w:ind w:left="0" w:hanging="0"/>
        <w:jc w:val="both"/>
        <w:rPr>
          <w:bCs/>
        </w:rPr>
      </w:pPr>
      <w:r>
        <w:rPr>
          <w:bCs/>
        </w:rPr>
        <w:t>Приложение № 4.2 – Форма Акта сдачи-приемки технической и иной документации.</w:t>
      </w:r>
    </w:p>
    <w:p>
      <w:pPr>
        <w:pStyle w:val="ListParagraph"/>
        <w:shd w:val="clear" w:color="auto" w:fill="FFFFFF"/>
        <w:ind w:left="0" w:hanging="0"/>
        <w:jc w:val="both"/>
        <w:rPr>
          <w:bCs/>
        </w:rPr>
      </w:pPr>
      <w:r>
        <w:rPr>
          <w:bCs/>
        </w:rPr>
        <w:t xml:space="preserve">Приложение № 5 – Перечень допусков, разрешений и лицензий Подрядчика. </w:t>
      </w:r>
    </w:p>
    <w:p>
      <w:pPr>
        <w:pStyle w:val="ListParagraph"/>
        <w:shd w:val="clear" w:color="auto" w:fill="FFFFFF"/>
        <w:ind w:left="0" w:hanging="0"/>
        <w:jc w:val="both"/>
        <w:rPr>
          <w:bCs/>
        </w:rPr>
      </w:pPr>
      <w:r>
        <w:rPr>
          <w:bCs/>
        </w:rPr>
        <w:t>Приложение № 6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bCs/>
        </w:rPr>
      </w:pPr>
      <w:r>
        <w:rPr>
          <w:bCs/>
        </w:rPr>
        <w:t>Приложение № 7 – Форма Акта освидетельствования выполненных работ.</w:t>
      </w:r>
    </w:p>
    <w:p>
      <w:pPr>
        <w:pStyle w:val="ListParagraph"/>
        <w:shd w:val="clear" w:color="auto" w:fill="FFFFFF"/>
        <w:tabs>
          <w:tab w:val="clear" w:pos="708"/>
          <w:tab w:val="left" w:pos="1134" w:leader="none"/>
          <w:tab w:val="left" w:pos="1418" w:leader="none"/>
        </w:tabs>
        <w:ind w:left="0" w:hanging="0"/>
        <w:jc w:val="both"/>
        <w:rPr>
          <w:bCs/>
        </w:rPr>
      </w:pPr>
      <w:r>
        <w:rPr>
          <w:bCs/>
        </w:rPr>
        <w:t>Приложение № 8 – Форма справки</w:t>
      </w:r>
      <w:r>
        <w:rPr>
          <w:b/>
          <w:bCs/>
          <w:color w:val="000000"/>
        </w:rPr>
        <w:t xml:space="preserve"> </w:t>
      </w:r>
      <w:r>
        <w:rPr>
          <w:bCs/>
        </w:rPr>
        <w:t>о заключенных Подрядчиком договорах с Субподрядчиками.</w:t>
      </w:r>
    </w:p>
    <w:p>
      <w:pPr>
        <w:pStyle w:val="ListParagraph"/>
        <w:shd w:val="clear" w:color="auto" w:fill="FFFFFF"/>
        <w:ind w:left="0" w:hanging="0"/>
        <w:jc w:val="both"/>
        <w:rPr>
          <w:bCs/>
        </w:rPr>
      </w:pPr>
      <w:r>
        <w:rPr>
          <w:bCs/>
        </w:rPr>
        <w:t>Приложение № 9 – Критерии отбора Банков-Гарантов.</w:t>
      </w:r>
    </w:p>
    <w:p>
      <w:pPr>
        <w:pStyle w:val="ListParagraph"/>
        <w:shd w:val="clear" w:color="auto" w:fill="FFFFFF"/>
        <w:ind w:left="0" w:hanging="0"/>
        <w:jc w:val="both"/>
        <w:rPr>
          <w:bCs/>
        </w:rPr>
      </w:pPr>
      <w:r>
        <w:rPr>
          <w:bCs/>
        </w:rPr>
        <w:t>Приложение № 10 – 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t>
      </w:r>
    </w:p>
    <w:p>
      <w:pPr>
        <w:sectPr>
          <w:headerReference w:type="default" r:id="rId6"/>
          <w:headerReference w:type="first" r:id="rId7"/>
          <w:footnotePr>
            <w:numFmt w:val="decimal"/>
          </w:footnotePr>
          <w:type w:val="nextPage"/>
          <w:pgSz w:w="11906" w:h="16838"/>
          <w:pgMar w:left="1418" w:right="851" w:gutter="0" w:header="567" w:top="1134" w:footer="0" w:bottom="1701"/>
          <w:pgNumType w:fmt="decimal"/>
          <w:formProt w:val="false"/>
          <w:titlePg/>
          <w:textDirection w:val="lrTb"/>
          <w:docGrid w:type="default" w:linePitch="381" w:charSpace="0"/>
        </w:sectPr>
        <w:pStyle w:val="ListParagraph"/>
        <w:shd w:val="clear" w:color="auto" w:fill="FFFFFF"/>
        <w:ind w:left="0" w:hanging="0"/>
        <w:jc w:val="both"/>
        <w:rPr>
          <w:bCs/>
        </w:rPr>
      </w:pPr>
      <w:r>
        <w:rPr>
          <w:bCs/>
        </w:rPr>
        <w:t>Приложение № 11 – Порядок возврата Подрядчиком Заказчику лома и отходов черных и цветных металлов, образовавшихся при производстве работ.</w:t>
      </w:r>
    </w:p>
    <w:p>
      <w:pPr>
        <w:pStyle w:val="ListParagraph"/>
        <w:numPr>
          <w:ilvl w:val="0"/>
          <w:numId w:val="23"/>
        </w:numPr>
        <w:shd w:val="clear" w:color="auto" w:fill="FFFFFF"/>
        <w:tabs>
          <w:tab w:val="clear" w:pos="708"/>
          <w:tab w:val="left" w:pos="426" w:leader="none"/>
        </w:tabs>
        <w:ind w:left="0" w:hanging="0"/>
        <w:jc w:val="center"/>
        <w:rPr>
          <w:b/>
          <w:bCs/>
        </w:rPr>
      </w:pPr>
      <w:r>
        <w:rPr>
          <w:b/>
          <w:bCs/>
        </w:rPr>
        <w:t>Адреса и платежные реквизиты Сторон</w:t>
      </w:r>
    </w:p>
    <w:p>
      <w:pPr>
        <w:pStyle w:val="ListParagraph"/>
        <w:shd w:val="clear" w:color="auto" w:fill="FFFFFF"/>
        <w:tabs>
          <w:tab w:val="clear" w:pos="708"/>
          <w:tab w:val="left" w:pos="426" w:leader="none"/>
        </w:tabs>
        <w:ind w:left="0" w:hanging="0"/>
        <w:rPr>
          <w:b/>
          <w:bCs/>
        </w:rPr>
      </w:pPr>
      <w:r>
        <w:rPr>
          <w:b/>
          <w:bCs/>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99"/>
        <w:gridCol w:w="133"/>
        <w:gridCol w:w="4566"/>
        <w:gridCol w:w="241"/>
      </w:tblGrid>
      <w:tr>
        <w:trPr/>
        <w:tc>
          <w:tcPr>
            <w:tcW w:w="4832" w:type="dxa"/>
            <w:gridSpan w:val="2"/>
            <w:tcBorders/>
          </w:tcPr>
          <w:p>
            <w:pPr>
              <w:pStyle w:val="Normal"/>
              <w:widowControl w:val="false"/>
              <w:spacing w:lineRule="auto" w:line="240"/>
              <w:ind w:left="720" w:hanging="0"/>
              <w:rPr>
                <w:color w:val="000000" w:themeColor="text1"/>
                <w:sz w:val="24"/>
                <w:szCs w:val="24"/>
              </w:rPr>
            </w:pPr>
            <w:r>
              <w:rPr>
                <w:color w:val="000000" w:themeColor="text1"/>
                <w:sz w:val="24"/>
                <w:szCs w:val="24"/>
              </w:rPr>
              <w:t>ЗАКАЗЧИК:</w:t>
            </w:r>
          </w:p>
        </w:tc>
        <w:tc>
          <w:tcPr>
            <w:tcW w:w="4807" w:type="dxa"/>
            <w:gridSpan w:val="2"/>
            <w:tcBorders/>
          </w:tcPr>
          <w:p>
            <w:pPr>
              <w:pStyle w:val="Normal"/>
              <w:widowControl w:val="false"/>
              <w:spacing w:lineRule="auto" w:line="240"/>
              <w:ind w:left="720" w:hanging="0"/>
              <w:rPr>
                <w:color w:val="000000" w:themeColor="text1"/>
                <w:sz w:val="24"/>
                <w:szCs w:val="24"/>
              </w:rPr>
            </w:pPr>
            <w:r>
              <w:rPr>
                <w:color w:val="000000" w:themeColor="text1"/>
                <w:sz w:val="24"/>
                <w:szCs w:val="24"/>
              </w:rPr>
              <w:t xml:space="preserve"> </w:t>
            </w:r>
            <w:r>
              <w:rPr>
                <w:color w:val="000000" w:themeColor="text1"/>
                <w:sz w:val="24"/>
                <w:szCs w:val="24"/>
              </w:rPr>
              <w:t>ПОДРЯДЧИК:</w:t>
            </w:r>
          </w:p>
        </w:tc>
      </w:tr>
      <w:tr>
        <w:trPr/>
        <w:tc>
          <w:tcPr>
            <w:tcW w:w="4832" w:type="dxa"/>
            <w:gridSpan w:val="2"/>
            <w:tcBorders/>
            <w:shd w:color="auto" w:fill="auto" w:val="clear"/>
          </w:tcPr>
          <w:p>
            <w:pPr>
              <w:pStyle w:val="Normal"/>
              <w:widowControl w:val="false"/>
              <w:spacing w:lineRule="auto" w:line="240"/>
              <w:ind w:left="720" w:hanging="0"/>
              <w:jc w:val="left"/>
              <w:rPr>
                <w:b/>
                <w:color w:val="000000" w:themeColor="text1"/>
                <w:sz w:val="24"/>
                <w:szCs w:val="24"/>
              </w:rPr>
            </w:pPr>
            <w:r>
              <w:rPr>
                <w:b/>
                <w:color w:val="000000" w:themeColor="text1"/>
                <w:sz w:val="24"/>
                <w:szCs w:val="24"/>
              </w:rPr>
              <w:t>Публичное акционерное общество</w:t>
            </w:r>
          </w:p>
          <w:p>
            <w:pPr>
              <w:pStyle w:val="Normal"/>
              <w:widowControl w:val="false"/>
              <w:spacing w:lineRule="auto" w:line="240"/>
              <w:ind w:left="720" w:hanging="0"/>
              <w:jc w:val="left"/>
              <w:rPr>
                <w:b/>
                <w:color w:val="000000" w:themeColor="text1"/>
                <w:sz w:val="24"/>
                <w:szCs w:val="24"/>
              </w:rPr>
            </w:pPr>
            <w:r>
              <w:rPr>
                <w:b/>
                <w:color w:val="000000" w:themeColor="text1"/>
                <w:sz w:val="24"/>
                <w:szCs w:val="24"/>
              </w:rPr>
              <w:t>«Федеральная гидрогенерирующая компания - РусГидро» (ПАО «РусГидро»)</w:t>
            </w:r>
          </w:p>
          <w:p>
            <w:pPr>
              <w:pStyle w:val="Normal"/>
              <w:widowControl w:val="false"/>
              <w:spacing w:lineRule="auto" w:line="240"/>
              <w:ind w:left="720" w:hanging="0"/>
              <w:jc w:val="left"/>
              <w:rPr>
                <w:color w:val="000000" w:themeColor="text1"/>
                <w:sz w:val="24"/>
                <w:szCs w:val="24"/>
              </w:rPr>
            </w:pPr>
            <w:r>
              <w:rPr>
                <w:color w:val="000000" w:themeColor="text1"/>
                <w:sz w:val="24"/>
                <w:szCs w:val="24"/>
              </w:rPr>
            </w:r>
          </w:p>
          <w:p>
            <w:pPr>
              <w:pStyle w:val="Normal"/>
              <w:widowControl w:val="false"/>
              <w:spacing w:lineRule="auto" w:line="240"/>
              <w:ind w:left="720" w:hanging="0"/>
              <w:jc w:val="left"/>
              <w:rPr>
                <w:color w:val="000000" w:themeColor="text1"/>
                <w:sz w:val="24"/>
                <w:szCs w:val="24"/>
              </w:rPr>
            </w:pPr>
            <w:r>
              <w:rPr>
                <w:color w:val="000000" w:themeColor="text1"/>
                <w:sz w:val="24"/>
                <w:szCs w:val="24"/>
              </w:rPr>
              <w:t xml:space="preserve">Адрес юридического лица: </w:t>
            </w:r>
          </w:p>
          <w:p>
            <w:pPr>
              <w:pStyle w:val="Normal"/>
              <w:widowControl w:val="false"/>
              <w:spacing w:lineRule="auto" w:line="240"/>
              <w:ind w:left="720" w:hanging="0"/>
              <w:jc w:val="left"/>
              <w:rPr>
                <w:color w:val="000000" w:themeColor="text1"/>
                <w:sz w:val="24"/>
                <w:szCs w:val="24"/>
              </w:rPr>
            </w:pPr>
            <w:r>
              <w:rPr>
                <w:color w:val="000000" w:themeColor="text1"/>
                <w:sz w:val="24"/>
                <w:szCs w:val="24"/>
              </w:rPr>
              <w:t xml:space="preserve">Красноярский край, г. Красноярск </w:t>
            </w:r>
          </w:p>
          <w:p>
            <w:pPr>
              <w:pStyle w:val="Normal"/>
              <w:widowControl w:val="false"/>
              <w:spacing w:lineRule="auto" w:line="240"/>
              <w:ind w:left="720" w:hanging="0"/>
              <w:jc w:val="left"/>
              <w:rPr>
                <w:color w:val="000000" w:themeColor="text1"/>
                <w:sz w:val="24"/>
                <w:szCs w:val="24"/>
              </w:rPr>
            </w:pPr>
            <w:r>
              <w:rPr>
                <w:color w:val="000000" w:themeColor="text1"/>
                <w:sz w:val="24"/>
                <w:szCs w:val="24"/>
              </w:rPr>
              <w:t xml:space="preserve">Адрес: 660049, Красноярский край, </w:t>
            </w:r>
          </w:p>
          <w:p>
            <w:pPr>
              <w:pStyle w:val="Normal"/>
              <w:widowControl w:val="false"/>
              <w:spacing w:lineRule="auto" w:line="240"/>
              <w:ind w:left="720" w:hanging="0"/>
              <w:jc w:val="left"/>
              <w:rPr>
                <w:color w:val="000000" w:themeColor="text1"/>
                <w:sz w:val="24"/>
                <w:szCs w:val="24"/>
              </w:rPr>
            </w:pPr>
            <w:r>
              <w:rPr>
                <w:color w:val="000000" w:themeColor="text1"/>
                <w:sz w:val="24"/>
                <w:szCs w:val="24"/>
              </w:rPr>
              <w:t xml:space="preserve">г.о. город Красноярск, г. Красноярск, ул. Перенсона, </w:t>
            </w:r>
          </w:p>
          <w:p>
            <w:pPr>
              <w:pStyle w:val="Normal"/>
              <w:widowControl w:val="false"/>
              <w:spacing w:lineRule="auto" w:line="240"/>
              <w:ind w:left="720" w:hanging="0"/>
              <w:jc w:val="left"/>
              <w:rPr>
                <w:color w:val="000000" w:themeColor="text1"/>
                <w:sz w:val="24"/>
                <w:szCs w:val="24"/>
              </w:rPr>
            </w:pPr>
            <w:r>
              <w:rPr>
                <w:color w:val="000000" w:themeColor="text1"/>
                <w:sz w:val="24"/>
                <w:szCs w:val="24"/>
              </w:rPr>
              <w:t>зд. 2а, помещ. 1</w:t>
            </w:r>
          </w:p>
          <w:p>
            <w:pPr>
              <w:pStyle w:val="Normal"/>
              <w:widowControl w:val="false"/>
              <w:spacing w:lineRule="auto" w:line="240"/>
              <w:ind w:left="720" w:hanging="0"/>
              <w:jc w:val="left"/>
              <w:rPr>
                <w:color w:val="000000" w:themeColor="text1"/>
                <w:sz w:val="24"/>
                <w:szCs w:val="24"/>
              </w:rPr>
            </w:pPr>
            <w:r>
              <w:rPr>
                <w:color w:val="000000" w:themeColor="text1"/>
                <w:sz w:val="24"/>
                <w:szCs w:val="24"/>
              </w:rPr>
              <w:t xml:space="preserve">Почтовый адрес: </w:t>
            </w:r>
          </w:p>
          <w:p>
            <w:pPr>
              <w:pStyle w:val="Normal"/>
              <w:widowControl w:val="false"/>
              <w:spacing w:lineRule="auto" w:line="240"/>
              <w:ind w:left="720" w:hanging="0"/>
              <w:jc w:val="left"/>
              <w:rPr>
                <w:color w:val="000000" w:themeColor="text1"/>
                <w:sz w:val="24"/>
                <w:szCs w:val="24"/>
              </w:rPr>
            </w:pPr>
            <w:r>
              <w:rPr>
                <w:color w:val="000000" w:themeColor="text1"/>
                <w:sz w:val="24"/>
                <w:szCs w:val="24"/>
              </w:rPr>
              <w:t>660049, Красноярский край, г.о. город Красноярск, г. Красноярск, ул. Перенсона, зд. 2а, помещ. 1.</w:t>
            </w:r>
          </w:p>
          <w:p>
            <w:pPr>
              <w:pStyle w:val="Normal"/>
              <w:widowControl w:val="false"/>
              <w:spacing w:lineRule="auto" w:line="240"/>
              <w:ind w:left="720" w:hanging="0"/>
              <w:jc w:val="left"/>
              <w:rPr>
                <w:color w:val="000000" w:themeColor="text1"/>
                <w:sz w:val="24"/>
                <w:szCs w:val="24"/>
              </w:rPr>
            </w:pPr>
            <w:r>
              <w:rPr>
                <w:color w:val="000000" w:themeColor="text1"/>
                <w:sz w:val="24"/>
                <w:szCs w:val="24"/>
              </w:rPr>
              <w:t xml:space="preserve">ОГРН 1042401810494, </w:t>
            </w:r>
          </w:p>
          <w:p>
            <w:pPr>
              <w:pStyle w:val="Normal"/>
              <w:widowControl w:val="false"/>
              <w:spacing w:lineRule="auto" w:line="240"/>
              <w:ind w:left="720" w:hanging="0"/>
              <w:jc w:val="left"/>
              <w:rPr>
                <w:color w:val="000000" w:themeColor="text1"/>
                <w:sz w:val="24"/>
                <w:szCs w:val="24"/>
              </w:rPr>
            </w:pPr>
            <w:r>
              <w:rPr>
                <w:color w:val="000000" w:themeColor="text1"/>
                <w:sz w:val="24"/>
                <w:szCs w:val="24"/>
              </w:rPr>
              <w:t>ИНН 2460066195 / КПП 246601001</w:t>
            </w:r>
          </w:p>
          <w:p>
            <w:pPr>
              <w:pStyle w:val="Normal"/>
              <w:widowControl w:val="false"/>
              <w:spacing w:lineRule="auto" w:line="240"/>
              <w:ind w:left="720" w:hanging="0"/>
              <w:jc w:val="left"/>
              <w:rPr>
                <w:color w:val="000000" w:themeColor="text1"/>
                <w:sz w:val="24"/>
                <w:szCs w:val="24"/>
              </w:rPr>
            </w:pPr>
            <w:r>
              <w:rPr>
                <w:color w:val="000000" w:themeColor="text1"/>
                <w:sz w:val="24"/>
                <w:szCs w:val="24"/>
              </w:rPr>
              <w:t>ОКАТО 04401377000</w:t>
            </w:r>
          </w:p>
          <w:p>
            <w:pPr>
              <w:pStyle w:val="Normal"/>
              <w:widowControl w:val="false"/>
              <w:spacing w:lineRule="auto" w:line="240"/>
              <w:ind w:left="720" w:hanging="0"/>
              <w:jc w:val="left"/>
              <w:rPr>
                <w:color w:val="000000" w:themeColor="text1"/>
                <w:sz w:val="24"/>
                <w:szCs w:val="24"/>
              </w:rPr>
            </w:pPr>
            <w:r>
              <w:rPr>
                <w:color w:val="000000" w:themeColor="text1"/>
                <w:sz w:val="24"/>
                <w:szCs w:val="24"/>
              </w:rPr>
            </w:r>
          </w:p>
          <w:p>
            <w:pPr>
              <w:pStyle w:val="Normal"/>
              <w:widowControl w:val="false"/>
              <w:spacing w:lineRule="auto" w:line="240"/>
              <w:ind w:left="720" w:hanging="0"/>
              <w:jc w:val="left"/>
              <w:rPr>
                <w:b/>
                <w:bCs/>
                <w:iCs/>
                <w:sz w:val="24"/>
                <w:szCs w:val="24"/>
              </w:rPr>
            </w:pPr>
            <w:r>
              <w:rPr>
                <w:b/>
                <w:bCs/>
                <w:iCs/>
                <w:sz w:val="24"/>
                <w:szCs w:val="24"/>
              </w:rPr>
              <w:t xml:space="preserve">Филиал ПАО «РусГидро» - </w:t>
            </w:r>
          </w:p>
          <w:p>
            <w:pPr>
              <w:pStyle w:val="Normal"/>
              <w:widowControl w:val="false"/>
              <w:spacing w:lineRule="auto" w:line="240"/>
              <w:ind w:left="720" w:hanging="0"/>
              <w:jc w:val="left"/>
              <w:rPr>
                <w:b/>
                <w:bCs/>
                <w:iCs/>
                <w:sz w:val="24"/>
                <w:szCs w:val="24"/>
              </w:rPr>
            </w:pPr>
            <w:r>
              <w:rPr>
                <w:b/>
                <w:bCs/>
                <w:iCs/>
                <w:sz w:val="24"/>
                <w:szCs w:val="24"/>
              </w:rPr>
              <w:t>«Хабаровский»</w:t>
            </w:r>
          </w:p>
          <w:p>
            <w:pPr>
              <w:pStyle w:val="Normal"/>
              <w:widowControl w:val="false"/>
              <w:spacing w:lineRule="auto" w:line="240"/>
              <w:ind w:left="720" w:hanging="0"/>
              <w:jc w:val="left"/>
              <w:rPr>
                <w:sz w:val="24"/>
                <w:szCs w:val="24"/>
              </w:rPr>
            </w:pPr>
            <w:r>
              <w:rPr>
                <w:sz w:val="24"/>
                <w:szCs w:val="24"/>
              </w:rPr>
              <w:t>Адрес места нахождения филиала:</w:t>
            </w:r>
          </w:p>
          <w:p>
            <w:pPr>
              <w:pStyle w:val="Normal"/>
              <w:widowControl w:val="false"/>
              <w:spacing w:lineRule="auto" w:line="240"/>
              <w:ind w:left="720" w:hanging="0"/>
              <w:jc w:val="left"/>
              <w:rPr>
                <w:sz w:val="24"/>
                <w:szCs w:val="24"/>
              </w:rPr>
            </w:pPr>
            <w:r>
              <w:rPr>
                <w:sz w:val="24"/>
                <w:szCs w:val="24"/>
              </w:rPr>
              <w:t>Хабаровский край, г. Хабаровск, ул.</w:t>
            </w:r>
          </w:p>
          <w:p>
            <w:pPr>
              <w:pStyle w:val="Normal"/>
              <w:widowControl w:val="false"/>
              <w:spacing w:lineRule="auto" w:line="240"/>
              <w:ind w:left="720" w:hanging="0"/>
              <w:jc w:val="left"/>
              <w:rPr>
                <w:sz w:val="24"/>
                <w:szCs w:val="24"/>
              </w:rPr>
            </w:pPr>
            <w:r>
              <w:rPr>
                <w:sz w:val="24"/>
                <w:szCs w:val="24"/>
              </w:rPr>
              <w:t>Фрунзе, д. 49.</w:t>
            </w:r>
          </w:p>
          <w:p>
            <w:pPr>
              <w:pStyle w:val="Normal"/>
              <w:widowControl w:val="false"/>
              <w:spacing w:lineRule="auto" w:line="240"/>
              <w:ind w:left="720" w:hanging="0"/>
              <w:jc w:val="left"/>
              <w:rPr>
                <w:sz w:val="24"/>
                <w:szCs w:val="24"/>
              </w:rPr>
            </w:pPr>
            <w:r>
              <w:rPr>
                <w:sz w:val="24"/>
                <w:szCs w:val="24"/>
              </w:rPr>
              <w:t>КПП 272143001</w:t>
            </w:r>
          </w:p>
          <w:p>
            <w:pPr>
              <w:pStyle w:val="Normal"/>
              <w:widowControl w:val="false"/>
              <w:spacing w:lineRule="auto" w:line="240"/>
              <w:ind w:left="720" w:hanging="0"/>
              <w:jc w:val="left"/>
              <w:rPr>
                <w:sz w:val="24"/>
                <w:szCs w:val="24"/>
              </w:rPr>
            </w:pPr>
            <w:r>
              <w:rPr>
                <w:sz w:val="24"/>
                <w:szCs w:val="24"/>
              </w:rPr>
              <w:t>Банк ВТБ (ПАО) в г. Москве</w:t>
            </w:r>
          </w:p>
          <w:p>
            <w:pPr>
              <w:pStyle w:val="Normal"/>
              <w:widowControl w:val="false"/>
              <w:spacing w:lineRule="auto" w:line="240"/>
              <w:ind w:left="720" w:hanging="0"/>
              <w:jc w:val="left"/>
              <w:rPr>
                <w:sz w:val="24"/>
                <w:szCs w:val="24"/>
              </w:rPr>
            </w:pPr>
            <w:r>
              <w:rPr>
                <w:sz w:val="24"/>
                <w:szCs w:val="24"/>
              </w:rPr>
              <w:t>р/с 40502810903800000114</w:t>
            </w:r>
          </w:p>
          <w:p>
            <w:pPr>
              <w:pStyle w:val="Normal"/>
              <w:widowControl w:val="false"/>
              <w:spacing w:lineRule="auto" w:line="240"/>
              <w:ind w:left="720" w:hanging="0"/>
              <w:jc w:val="left"/>
              <w:rPr>
                <w:sz w:val="24"/>
                <w:szCs w:val="24"/>
              </w:rPr>
            </w:pPr>
            <w:r>
              <w:rPr>
                <w:sz w:val="24"/>
                <w:szCs w:val="24"/>
              </w:rPr>
              <w:t>к/с 30101810700000000187</w:t>
            </w:r>
          </w:p>
          <w:p>
            <w:pPr>
              <w:pStyle w:val="Normal"/>
              <w:widowControl w:val="false"/>
              <w:spacing w:lineRule="auto" w:line="240"/>
              <w:ind w:left="720" w:hanging="0"/>
              <w:jc w:val="left"/>
              <w:rPr>
                <w:color w:val="000000" w:themeColor="text1"/>
                <w:sz w:val="24"/>
                <w:szCs w:val="24"/>
              </w:rPr>
            </w:pPr>
            <w:r>
              <w:rPr>
                <w:sz w:val="24"/>
                <w:szCs w:val="24"/>
              </w:rPr>
              <w:t>БИК 044525187</w:t>
            </w:r>
          </w:p>
        </w:tc>
        <w:tc>
          <w:tcPr>
            <w:tcW w:w="4807" w:type="dxa"/>
            <w:gridSpan w:val="2"/>
            <w:tcBorders/>
            <w:shd w:color="auto" w:fill="auto" w:val="clear"/>
          </w:tcPr>
          <w:p>
            <w:pPr>
              <w:pStyle w:val="Normal"/>
              <w:widowControl w:val="false"/>
              <w:spacing w:lineRule="auto" w:line="240"/>
              <w:ind w:left="720" w:hanging="0"/>
              <w:rPr>
                <w:b/>
                <w:bCs/>
                <w:color w:val="000000" w:themeColor="text1"/>
                <w:sz w:val="24"/>
                <w:szCs w:val="24"/>
              </w:rPr>
            </w:pPr>
            <w:r>
              <w:rPr>
                <w:b/>
                <w:bCs/>
                <w:color w:val="000000" w:themeColor="text1"/>
                <w:sz w:val="24"/>
                <w:szCs w:val="24"/>
              </w:rPr>
            </w:r>
          </w:p>
          <w:p>
            <w:pPr>
              <w:pStyle w:val="Normal"/>
              <w:widowControl w:val="false"/>
              <w:spacing w:lineRule="auto" w:line="240"/>
              <w:ind w:left="720" w:hanging="0"/>
              <w:rPr>
                <w:b/>
                <w:bCs/>
                <w:color w:val="000000" w:themeColor="text1"/>
                <w:sz w:val="24"/>
                <w:szCs w:val="24"/>
              </w:rPr>
            </w:pPr>
            <w:r>
              <w:rPr>
                <w:b/>
                <w:bCs/>
                <w:color w:val="000000" w:themeColor="text1"/>
                <w:sz w:val="24"/>
                <w:szCs w:val="24"/>
              </w:rPr>
            </w:r>
          </w:p>
          <w:p>
            <w:pPr>
              <w:pStyle w:val="Normal"/>
              <w:widowControl w:val="false"/>
              <w:spacing w:lineRule="auto" w:line="240"/>
              <w:ind w:left="720" w:hanging="0"/>
              <w:rPr>
                <w:b/>
                <w:color w:val="000000" w:themeColor="text1"/>
                <w:sz w:val="24"/>
                <w:szCs w:val="24"/>
              </w:rPr>
            </w:pPr>
            <w:r>
              <w:rPr>
                <w:b/>
                <w:color w:val="000000" w:themeColor="text1"/>
                <w:sz w:val="24"/>
                <w:szCs w:val="24"/>
              </w:rPr>
            </w:r>
          </w:p>
          <w:p>
            <w:pPr>
              <w:pStyle w:val="Normal"/>
              <w:widowControl w:val="false"/>
              <w:spacing w:lineRule="auto" w:line="240"/>
              <w:ind w:left="720" w:hanging="0"/>
              <w:rPr>
                <w:color w:val="000000" w:themeColor="text1"/>
                <w:sz w:val="24"/>
                <w:szCs w:val="24"/>
              </w:rPr>
            </w:pPr>
            <w:r>
              <w:rPr>
                <w:color w:val="000000" w:themeColor="text1"/>
                <w:sz w:val="24"/>
                <w:szCs w:val="24"/>
              </w:rPr>
            </w:r>
          </w:p>
          <w:p>
            <w:pPr>
              <w:pStyle w:val="Normal"/>
              <w:widowControl w:val="false"/>
              <w:spacing w:lineRule="auto" w:line="240"/>
              <w:ind w:left="720" w:hanging="0"/>
              <w:rPr>
                <w:color w:val="000000" w:themeColor="text1"/>
                <w:sz w:val="24"/>
                <w:szCs w:val="24"/>
              </w:rPr>
            </w:pPr>
            <w:r>
              <w:rPr>
                <w:color w:val="000000" w:themeColor="text1"/>
                <w:sz w:val="24"/>
                <w:szCs w:val="24"/>
              </w:rPr>
            </w:r>
          </w:p>
          <w:p>
            <w:pPr>
              <w:pStyle w:val="Normal"/>
              <w:widowControl w:val="false"/>
              <w:spacing w:lineRule="auto" w:line="240"/>
              <w:ind w:left="720" w:hanging="0"/>
              <w:rPr>
                <w:color w:val="000000" w:themeColor="text1"/>
                <w:sz w:val="24"/>
                <w:szCs w:val="24"/>
              </w:rPr>
            </w:pPr>
            <w:r>
              <w:rPr>
                <w:color w:val="000000" w:themeColor="text1"/>
                <w:sz w:val="24"/>
                <w:szCs w:val="24"/>
              </w:rPr>
            </w:r>
          </w:p>
          <w:p>
            <w:pPr>
              <w:pStyle w:val="Normal"/>
              <w:widowControl w:val="false"/>
              <w:spacing w:lineRule="auto" w:line="240"/>
              <w:ind w:left="720" w:hanging="0"/>
              <w:rPr>
                <w:color w:val="000000" w:themeColor="text1"/>
                <w:sz w:val="24"/>
                <w:szCs w:val="24"/>
              </w:rPr>
            </w:pPr>
            <w:r>
              <w:rPr>
                <w:color w:val="000000" w:themeColor="text1"/>
                <w:sz w:val="24"/>
                <w:szCs w:val="24"/>
              </w:rPr>
            </w:r>
          </w:p>
        </w:tc>
      </w:tr>
      <w:tr>
        <w:trPr/>
        <w:tc>
          <w:tcPr>
            <w:tcW w:w="4699" w:type="dxa"/>
            <w:tcBorders/>
          </w:tcPr>
          <w:p>
            <w:pPr>
              <w:pStyle w:val="Normal"/>
              <w:widowControl w:val="false"/>
              <w:spacing w:lineRule="auto" w:line="240"/>
              <w:ind w:left="720" w:hanging="0"/>
              <w:jc w:val="left"/>
              <w:rPr>
                <w:b/>
                <w:sz w:val="24"/>
              </w:rPr>
            </w:pPr>
            <w:r>
              <w:rPr>
                <w:b/>
                <w:sz w:val="24"/>
              </w:rPr>
            </w:r>
          </w:p>
          <w:p>
            <w:pPr>
              <w:pStyle w:val="Normal"/>
              <w:widowControl w:val="false"/>
              <w:spacing w:lineRule="auto" w:line="240"/>
              <w:ind w:left="720" w:hanging="0"/>
              <w:jc w:val="left"/>
              <w:rPr>
                <w:color w:val="000000" w:themeColor="text1"/>
                <w:sz w:val="24"/>
                <w:szCs w:val="24"/>
              </w:rPr>
            </w:pPr>
            <w:r>
              <w:rPr>
                <w:b/>
                <w:sz w:val="24"/>
              </w:rPr>
              <w:t>Заказчик:</w:t>
            </w:r>
          </w:p>
        </w:tc>
        <w:tc>
          <w:tcPr>
            <w:tcW w:w="4699" w:type="dxa"/>
            <w:gridSpan w:val="2"/>
            <w:tcBorders/>
          </w:tcPr>
          <w:p>
            <w:pPr>
              <w:pStyle w:val="Normal"/>
              <w:widowControl w:val="false"/>
              <w:spacing w:lineRule="auto" w:line="240"/>
              <w:ind w:left="720" w:hanging="0"/>
              <w:jc w:val="left"/>
              <w:rPr>
                <w:b/>
                <w:sz w:val="24"/>
                <w:szCs w:val="24"/>
              </w:rPr>
            </w:pPr>
            <w:r>
              <w:rPr>
                <w:b/>
                <w:sz w:val="24"/>
                <w:szCs w:val="24"/>
              </w:rPr>
            </w:r>
          </w:p>
          <w:p>
            <w:pPr>
              <w:pStyle w:val="Normal"/>
              <w:widowControl w:val="false"/>
              <w:spacing w:lineRule="auto" w:line="240"/>
              <w:ind w:left="720" w:firstLine="98"/>
              <w:jc w:val="left"/>
              <w:rPr>
                <w:color w:val="000000" w:themeColor="text1"/>
                <w:sz w:val="24"/>
                <w:szCs w:val="24"/>
              </w:rPr>
            </w:pPr>
            <w:r>
              <w:rPr>
                <w:b/>
                <w:sz w:val="24"/>
                <w:szCs w:val="24"/>
              </w:rPr>
              <w:t>Подрядчик:</w:t>
            </w:r>
          </w:p>
        </w:tc>
        <w:tc>
          <w:tcPr>
            <w:tcW w:w="241" w:type="dxa"/>
            <w:tcBorders/>
          </w:tcPr>
          <w:p>
            <w:pPr>
              <w:pStyle w:val="Normal"/>
              <w:widowControl w:val="false"/>
              <w:rPr/>
            </w:pPr>
            <w:r>
              <w:rPr/>
            </w:r>
          </w:p>
        </w:tc>
      </w:tr>
      <w:tr>
        <w:trPr/>
        <w:tc>
          <w:tcPr>
            <w:tcW w:w="4832" w:type="dxa"/>
            <w:gridSpan w:val="2"/>
            <w:tcBorders/>
          </w:tcPr>
          <w:p>
            <w:pPr>
              <w:pStyle w:val="Normal"/>
              <w:widowControl w:val="false"/>
              <w:spacing w:lineRule="auto" w:line="240"/>
              <w:ind w:left="746" w:hanging="0"/>
              <w:rPr>
                <w:color w:val="000000"/>
                <w:sz w:val="24"/>
                <w:szCs w:val="24"/>
              </w:rPr>
            </w:pPr>
            <w:r>
              <w:rPr>
                <w:color w:val="000000"/>
                <w:sz w:val="24"/>
                <w:szCs w:val="24"/>
              </w:rPr>
            </w:r>
          </w:p>
          <w:p>
            <w:pPr>
              <w:pStyle w:val="Normal"/>
              <w:widowControl w:val="false"/>
              <w:spacing w:lineRule="auto" w:line="240"/>
              <w:ind w:left="746" w:hanging="0"/>
              <w:rPr>
                <w:color w:val="000000"/>
                <w:sz w:val="24"/>
                <w:szCs w:val="24"/>
              </w:rPr>
            </w:pPr>
            <w:r>
              <w:rPr>
                <w:color w:val="000000"/>
                <w:sz w:val="24"/>
                <w:szCs w:val="24"/>
              </w:rPr>
            </w:r>
          </w:p>
          <w:p>
            <w:pPr>
              <w:pStyle w:val="Normal"/>
              <w:widowControl w:val="false"/>
              <w:spacing w:lineRule="auto" w:line="240"/>
              <w:ind w:left="746" w:hanging="0"/>
              <w:rPr>
                <w:color w:val="000000"/>
                <w:sz w:val="24"/>
                <w:szCs w:val="24"/>
              </w:rPr>
            </w:pPr>
            <w:r>
              <w:rPr>
                <w:color w:val="000000"/>
                <w:sz w:val="24"/>
                <w:szCs w:val="24"/>
              </w:rPr>
              <w:t xml:space="preserve">______________ / </w:t>
            </w:r>
          </w:p>
        </w:tc>
        <w:tc>
          <w:tcPr>
            <w:tcW w:w="4807" w:type="dxa"/>
            <w:gridSpan w:val="2"/>
            <w:tcBorders/>
          </w:tcPr>
          <w:p>
            <w:pPr>
              <w:pStyle w:val="Normal"/>
              <w:widowControl w:val="false"/>
              <w:rPr>
                <w:color w:val="000000"/>
                <w:sz w:val="24"/>
                <w:szCs w:val="24"/>
              </w:rPr>
            </w:pPr>
            <w:r>
              <w:rPr>
                <w:color w:val="000000"/>
                <w:sz w:val="24"/>
                <w:szCs w:val="24"/>
              </w:rPr>
            </w:r>
          </w:p>
        </w:tc>
      </w:tr>
      <w:tr>
        <w:trPr/>
        <w:tc>
          <w:tcPr>
            <w:tcW w:w="4832" w:type="dxa"/>
            <w:gridSpan w:val="2"/>
            <w:tcBorders/>
          </w:tcPr>
          <w:p>
            <w:pPr>
              <w:pStyle w:val="Normal"/>
              <w:widowControl w:val="false"/>
              <w:spacing w:lineRule="auto" w:line="240"/>
              <w:ind w:left="720" w:hanging="0"/>
              <w:jc w:val="left"/>
              <w:rPr>
                <w:b/>
                <w:sz w:val="24"/>
              </w:rPr>
            </w:pPr>
            <w:r>
              <w:rPr>
                <w:b/>
                <w:sz w:val="24"/>
              </w:rPr>
            </w:r>
          </w:p>
        </w:tc>
        <w:tc>
          <w:tcPr>
            <w:tcW w:w="4807" w:type="dxa"/>
            <w:gridSpan w:val="2"/>
            <w:tcBorders/>
          </w:tcPr>
          <w:p>
            <w:pPr>
              <w:pStyle w:val="Normal"/>
              <w:widowControl w:val="false"/>
              <w:spacing w:lineRule="auto" w:line="240"/>
              <w:ind w:left="720" w:hanging="0"/>
              <w:jc w:val="left"/>
              <w:rPr>
                <w:b/>
                <w:sz w:val="24"/>
                <w:szCs w:val="24"/>
              </w:rPr>
            </w:pPr>
            <w:r>
              <w:rPr>
                <w:b/>
                <w:sz w:val="24"/>
                <w:szCs w:val="24"/>
              </w:rPr>
            </w:r>
          </w:p>
        </w:tc>
      </w:tr>
    </w:tbl>
    <w:p>
      <w:pPr>
        <w:sectPr>
          <w:headerReference w:type="default" r:id="rId8"/>
          <w:headerReference w:type="first" r:id="rId9"/>
          <w:footnotePr>
            <w:numFmt w:val="decimal"/>
          </w:footnotePr>
          <w:type w:val="nextPage"/>
          <w:pgSz w:w="11906" w:h="16838"/>
          <w:pgMar w:left="1134" w:right="851" w:gutter="0" w:header="567" w:top="1134" w:footer="0" w:bottom="2268"/>
          <w:pgNumType w:fmt="decimal"/>
          <w:formProt w:val="false"/>
          <w:textDirection w:val="lrTb"/>
          <w:docGrid w:type="default" w:linePitch="381" w:charSpace="0"/>
        </w:sectPr>
      </w:pPr>
    </w:p>
    <w:p>
      <w:pPr>
        <w:pStyle w:val="Normal"/>
        <w:spacing w:lineRule="auto" w:line="240"/>
        <w:ind w:hanging="0"/>
        <w:jc w:val="right"/>
        <w:rPr>
          <w:sz w:val="22"/>
          <w:szCs w:val="22"/>
        </w:rPr>
      </w:pPr>
      <w:r>
        <w:rPr>
          <w:sz w:val="22"/>
          <w:szCs w:val="22"/>
        </w:rPr>
        <w:t>Приложение № 1</w:t>
      </w:r>
    </w:p>
    <w:p>
      <w:pPr>
        <w:pStyle w:val="Normal"/>
        <w:spacing w:lineRule="auto" w:line="240"/>
        <w:ind w:left="720" w:firstLine="4820"/>
        <w:jc w:val="right"/>
        <w:rPr>
          <w:sz w:val="22"/>
          <w:szCs w:val="22"/>
        </w:rPr>
      </w:pPr>
      <w:r>
        <w:rPr>
          <w:sz w:val="22"/>
          <w:szCs w:val="22"/>
        </w:rPr>
        <w:t>к Договору подряда</w:t>
      </w:r>
    </w:p>
    <w:p>
      <w:pPr>
        <w:pStyle w:val="Normal"/>
        <w:spacing w:lineRule="auto" w:line="240"/>
        <w:ind w:left="720" w:firstLine="4820"/>
        <w:jc w:val="right"/>
        <w:rPr>
          <w:sz w:val="22"/>
          <w:szCs w:val="22"/>
        </w:rPr>
      </w:pPr>
      <w:r>
        <w:rPr>
          <w:bCs/>
          <w:color w:val="000000"/>
          <w:sz w:val="22"/>
          <w:szCs w:val="22"/>
        </w:rPr>
        <w:t>от «____» __________ 2026 г. №  __________</w:t>
      </w:r>
    </w:p>
    <w:p>
      <w:pPr>
        <w:pStyle w:val="Normal"/>
        <w:spacing w:lineRule="auto" w:line="240"/>
        <w:ind w:hanging="0"/>
        <w:jc w:val="right"/>
        <w:rPr>
          <w:sz w:val="22"/>
          <w:szCs w:val="22"/>
        </w:rPr>
      </w:pPr>
      <w:r>
        <w:rPr>
          <w:sz w:val="22"/>
          <w:szCs w:val="22"/>
        </w:rPr>
      </w:r>
    </w:p>
    <w:p>
      <w:pPr>
        <w:pStyle w:val="Normal"/>
        <w:spacing w:lineRule="auto" w:line="240"/>
        <w:ind w:hanging="0"/>
        <w:jc w:val="right"/>
        <w:rPr>
          <w:sz w:val="22"/>
          <w:szCs w:val="22"/>
        </w:rPr>
      </w:pPr>
      <w:r>
        <w:rPr>
          <w:sz w:val="22"/>
          <w:szCs w:val="22"/>
        </w:rPr>
      </w:r>
    </w:p>
    <w:p>
      <w:pPr>
        <w:pStyle w:val="Normal"/>
        <w:spacing w:lineRule="auto" w:line="240"/>
        <w:ind w:hanging="0"/>
        <w:jc w:val="center"/>
        <w:rPr>
          <w:b/>
          <w:bCs/>
        </w:rPr>
      </w:pPr>
      <w:r>
        <w:rPr>
          <w:b/>
          <w:bCs/>
        </w:rPr>
        <w:t>ТЕХНИЧЕСКОЕ ЗАДАНИЕ</w:t>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bCs/>
        </w:rPr>
      </w:pPr>
      <w:r>
        <w:rPr>
          <w:b/>
          <w:bCs/>
        </w:rPr>
      </w:r>
    </w:p>
    <w:p>
      <w:pPr>
        <w:pStyle w:val="Normal"/>
        <w:spacing w:lineRule="auto" w:line="240"/>
        <w:ind w:hanging="0"/>
        <w:jc w:val="center"/>
        <w:rPr>
          <w:b/>
          <w:sz w:val="22"/>
          <w:szCs w:val="22"/>
        </w:rPr>
      </w:pPr>
      <w:r>
        <w:rPr>
          <w:b/>
          <w:sz w:val="22"/>
          <w:szCs w:val="22"/>
        </w:rPr>
      </w:r>
    </w:p>
    <w:tbl>
      <w:tblPr>
        <w:tblW w:w="992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533"/>
        <w:gridCol w:w="4389"/>
      </w:tblGrid>
      <w:tr>
        <w:trPr>
          <w:trHeight w:val="1380" w:hRule="atLeast"/>
        </w:trPr>
        <w:tc>
          <w:tcPr>
            <w:tcW w:w="5533" w:type="dxa"/>
            <w:tcBorders/>
            <w:shd w:color="auto" w:fill="auto" w:val="clear"/>
          </w:tcPr>
          <w:p>
            <w:pPr>
              <w:pStyle w:val="Normal"/>
              <w:widowControl w:val="false"/>
              <w:spacing w:lineRule="auto" w:line="240"/>
              <w:ind w:hanging="0"/>
              <w:rPr>
                <w:b/>
                <w:sz w:val="24"/>
              </w:rPr>
            </w:pPr>
            <w:r>
              <w:rPr>
                <w:b/>
                <w:sz w:val="24"/>
              </w:rPr>
              <w:t xml:space="preserve">         </w:t>
            </w:r>
            <w:r>
              <w:rPr>
                <w:b/>
                <w:sz w:val="24"/>
              </w:rPr>
              <w:t>От Заказчика:</w:t>
            </w:r>
          </w:p>
          <w:p>
            <w:pPr>
              <w:pStyle w:val="Normal"/>
              <w:widowControl w:val="false"/>
              <w:spacing w:lineRule="auto" w:line="240"/>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tc>
        <w:tc>
          <w:tcPr>
            <w:tcW w:w="4389" w:type="dxa"/>
            <w:tcBorders/>
            <w:shd w:color="auto" w:fill="auto" w:val="clear"/>
          </w:tcPr>
          <w:p>
            <w:pPr>
              <w:pStyle w:val="Normal"/>
              <w:widowControl w:val="false"/>
              <w:spacing w:lineRule="auto" w:line="240"/>
              <w:ind w:hanging="0"/>
              <w:rPr>
                <w:b/>
                <w:sz w:val="24"/>
                <w:szCs w:val="24"/>
              </w:rPr>
            </w:pPr>
            <w:r>
              <w:rPr>
                <w:b/>
                <w:sz w:val="24"/>
                <w:szCs w:val="24"/>
              </w:rPr>
              <w:t xml:space="preserve">         </w:t>
            </w:r>
            <w:r>
              <w:rPr>
                <w:b/>
                <w:sz w:val="24"/>
                <w:szCs w:val="24"/>
              </w:rPr>
              <w:t>От Подрядчика:</w:t>
            </w:r>
          </w:p>
          <w:p>
            <w:pPr>
              <w:pStyle w:val="Normal"/>
              <w:widowControl w:val="false"/>
              <w:rPr>
                <w:color w:val="000000"/>
                <w:sz w:val="24"/>
                <w:szCs w:val="24"/>
              </w:rPr>
            </w:pPr>
            <w:r>
              <w:rPr>
                <w:color w:val="000000"/>
                <w:sz w:val="24"/>
                <w:szCs w:val="24"/>
              </w:rPr>
            </w:r>
          </w:p>
        </w:tc>
      </w:tr>
    </w:tbl>
    <w:p>
      <w:pPr>
        <w:sectPr>
          <w:headerReference w:type="default" r:id="rId10"/>
          <w:headerReference w:type="first" r:id="rId11"/>
          <w:footnotePr>
            <w:numFmt w:val="decimal"/>
          </w:footnotePr>
          <w:type w:val="nextPage"/>
          <w:pgSz w:w="11906" w:h="16838"/>
          <w:pgMar w:left="1134" w:right="851" w:gutter="0" w:header="567" w:top="709" w:footer="0" w:bottom="992"/>
          <w:pgNumType w:start="96" w:fmt="decimal"/>
          <w:formProt w:val="false"/>
          <w:textDirection w:val="lrTb"/>
          <w:docGrid w:type="default" w:linePitch="381" w:charSpace="0"/>
        </w:sectPr>
      </w:pPr>
    </w:p>
    <w:p>
      <w:pPr>
        <w:pStyle w:val="Normal"/>
        <w:spacing w:lineRule="auto" w:line="240"/>
        <w:ind w:hanging="0"/>
        <w:jc w:val="right"/>
        <w:rPr>
          <w:sz w:val="22"/>
          <w:szCs w:val="22"/>
        </w:rPr>
      </w:pPr>
      <w:r>
        <w:rPr>
          <w:sz w:val="22"/>
          <w:szCs w:val="22"/>
        </w:rPr>
        <w:t>Приложение № 2</w:t>
      </w:r>
    </w:p>
    <w:p>
      <w:pPr>
        <w:pStyle w:val="Normal"/>
        <w:spacing w:lineRule="auto" w:line="240"/>
        <w:ind w:left="720" w:firstLine="4820"/>
        <w:jc w:val="right"/>
        <w:rPr>
          <w:sz w:val="22"/>
          <w:szCs w:val="22"/>
        </w:rPr>
      </w:pPr>
      <w:r>
        <w:rPr>
          <w:sz w:val="22"/>
          <w:szCs w:val="22"/>
        </w:rPr>
        <w:t>к Договору подряда</w:t>
      </w:r>
    </w:p>
    <w:p>
      <w:pPr>
        <w:pStyle w:val="Normal"/>
        <w:spacing w:lineRule="auto" w:line="240"/>
        <w:ind w:left="720" w:firstLine="4820"/>
        <w:jc w:val="right"/>
        <w:rPr>
          <w:sz w:val="22"/>
          <w:szCs w:val="22"/>
        </w:rPr>
      </w:pPr>
      <w:r>
        <w:rPr>
          <w:bCs/>
          <w:color w:val="000000"/>
          <w:sz w:val="22"/>
          <w:szCs w:val="22"/>
        </w:rPr>
        <w:t>от «____» __________ 2026 г. №  __________</w:t>
      </w:r>
    </w:p>
    <w:p>
      <w:pPr>
        <w:pStyle w:val="Normal"/>
        <w:spacing w:lineRule="auto" w:line="240"/>
        <w:jc w:val="right"/>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КАЛЕНДАРНЫЙ ГРАФИК ВЫПОЛНЕНИЯ РАБОТ</w:t>
      </w:r>
    </w:p>
    <w:p>
      <w:pPr>
        <w:pStyle w:val="Normal"/>
        <w:spacing w:lineRule="auto" w:line="240"/>
        <w:jc w:val="left"/>
        <w:rPr>
          <w:sz w:val="24"/>
          <w:szCs w:val="24"/>
        </w:rPr>
      </w:pPr>
      <w:r>
        <w:rPr>
          <w:sz w:val="24"/>
          <w:szCs w:val="24"/>
        </w:rPr>
      </w:r>
    </w:p>
    <w:p>
      <w:pPr>
        <w:pStyle w:val="Normal"/>
        <w:spacing w:lineRule="auto" w:line="240"/>
        <w:ind w:hanging="0"/>
        <w:jc w:val="left"/>
        <w:rPr>
          <w:sz w:val="24"/>
          <w:szCs w:val="24"/>
        </w:rPr>
      </w:pPr>
      <w:r>
        <w:rPr>
          <w:sz w:val="24"/>
          <w:szCs w:val="24"/>
        </w:rPr>
        <w:t>Таблица 1. Календарный график выполнения Работ*</w:t>
      </w:r>
    </w:p>
    <w:p>
      <w:pPr>
        <w:pStyle w:val="Normal"/>
        <w:spacing w:lineRule="auto" w:line="240"/>
        <w:ind w:hanging="0"/>
        <w:jc w:val="left"/>
        <w:rPr>
          <w:sz w:val="24"/>
          <w:szCs w:val="24"/>
        </w:rPr>
      </w:pPr>
      <w:r>
        <w:rPr>
          <w:sz w:val="24"/>
          <w:szCs w:val="24"/>
        </w:rPr>
      </w:r>
    </w:p>
    <w:tbl>
      <w:tblPr>
        <w:tblW w:w="14997"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850"/>
        <w:gridCol w:w="6210"/>
        <w:gridCol w:w="1870"/>
        <w:gridCol w:w="1812"/>
        <w:gridCol w:w="1561"/>
        <w:gridCol w:w="2693"/>
      </w:tblGrid>
      <w:tr>
        <w:trPr>
          <w:trHeight w:val="555" w:hRule="atLeast"/>
        </w:trPr>
        <w:tc>
          <w:tcPr>
            <w:tcW w:w="85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eastAsia="en-US"/>
              </w:rPr>
            </w:pPr>
            <w:bookmarkStart w:id="54" w:name="RANGE!B7%2525252525252525252525252525252"/>
            <w:r>
              <w:rPr>
                <w:rFonts w:eastAsia="Calibri"/>
                <w:kern w:val="2"/>
                <w:sz w:val="24"/>
                <w:szCs w:val="24"/>
                <w:lang w:eastAsia="en-US"/>
              </w:rPr>
              <w:t xml:space="preserve">№ </w:t>
            </w:r>
            <w:r>
              <w:rPr>
                <w:rFonts w:eastAsia="Calibri"/>
                <w:kern w:val="2"/>
                <w:sz w:val="24"/>
                <w:szCs w:val="24"/>
                <w:lang w:eastAsia="en-US"/>
              </w:rPr>
              <w:t>п.п.</w:t>
            </w:r>
            <w:bookmarkEnd w:id="54"/>
          </w:p>
        </w:tc>
        <w:tc>
          <w:tcPr>
            <w:tcW w:w="62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val="en-US" w:eastAsia="en-US"/>
              </w:rPr>
            </w:pPr>
            <w:r>
              <w:rPr>
                <w:rFonts w:eastAsia="Calibri"/>
                <w:kern w:val="2"/>
                <w:sz w:val="24"/>
                <w:szCs w:val="24"/>
                <w:lang w:eastAsia="en-US"/>
              </w:rPr>
              <w:t>Наименование</w:t>
            </w:r>
            <w:r>
              <w:rPr>
                <w:rFonts w:eastAsia="Calibri"/>
                <w:kern w:val="2"/>
                <w:sz w:val="24"/>
                <w:szCs w:val="24"/>
                <w:lang w:val="en-US" w:eastAsia="en-US"/>
              </w:rPr>
              <w:t xml:space="preserve"> </w:t>
            </w:r>
          </w:p>
          <w:p>
            <w:pPr>
              <w:pStyle w:val="Normal"/>
              <w:widowControl w:val="false"/>
              <w:suppressAutoHyphens w:val="false"/>
              <w:spacing w:lineRule="auto" w:line="240"/>
              <w:ind w:hanging="0"/>
              <w:jc w:val="center"/>
              <w:textAlignment w:val="baseline"/>
              <w:rPr>
                <w:rFonts w:eastAsia="Calibri"/>
                <w:kern w:val="2"/>
                <w:sz w:val="24"/>
                <w:szCs w:val="24"/>
                <w:lang w:eastAsia="en-US"/>
              </w:rPr>
            </w:pPr>
            <w:r>
              <w:rPr>
                <w:rFonts w:eastAsia="Calibri"/>
                <w:kern w:val="2"/>
                <w:sz w:val="24"/>
                <w:szCs w:val="24"/>
                <w:lang w:val="en-US" w:eastAsia="x-none"/>
              </w:rPr>
              <w:t>Э</w:t>
            </w:r>
            <w:r>
              <w:rPr>
                <w:rFonts w:eastAsia="Calibri"/>
                <w:kern w:val="2"/>
                <w:sz w:val="24"/>
                <w:szCs w:val="24"/>
                <w:lang w:eastAsia="en-US"/>
              </w:rPr>
              <w:t>тап</w:t>
            </w:r>
            <w:r>
              <w:rPr>
                <w:rFonts w:eastAsia="Calibri"/>
                <w:kern w:val="2"/>
                <w:sz w:val="24"/>
                <w:szCs w:val="24"/>
                <w:lang w:val="en-US" w:eastAsia="en-US"/>
              </w:rPr>
              <w:t>а</w:t>
            </w:r>
            <w:r>
              <w:rPr>
                <w:rFonts w:eastAsia="Calibri"/>
                <w:kern w:val="2"/>
                <w:sz w:val="24"/>
                <w:szCs w:val="24"/>
                <w:lang w:eastAsia="en-US"/>
              </w:rPr>
              <w:t xml:space="preserve"> </w:t>
            </w:r>
            <w:r>
              <w:rPr>
                <w:rFonts w:eastAsia="Calibri"/>
                <w:kern w:val="2"/>
                <w:sz w:val="24"/>
                <w:szCs w:val="24"/>
                <w:lang w:val="en-US" w:eastAsia="en-US"/>
              </w:rPr>
              <w:t>Работ</w:t>
            </w:r>
          </w:p>
        </w:tc>
        <w:tc>
          <w:tcPr>
            <w:tcW w:w="187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val="en-US" w:eastAsia="en-US"/>
              </w:rPr>
            </w:pPr>
            <w:r>
              <w:rPr>
                <w:rFonts w:eastAsia="Calibri"/>
                <w:kern w:val="2"/>
                <w:sz w:val="24"/>
                <w:szCs w:val="24"/>
                <w:lang w:val="en-US" w:eastAsia="en-US"/>
              </w:rPr>
              <w:t>Обоснование стоимости Этапа Работ</w:t>
            </w:r>
          </w:p>
        </w:tc>
        <w:tc>
          <w:tcPr>
            <w:tcW w:w="337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val="en-US" w:eastAsia="en-US"/>
              </w:rPr>
            </w:pPr>
            <w:r>
              <w:rPr>
                <w:rFonts w:eastAsia="Calibri"/>
                <w:kern w:val="2"/>
                <w:sz w:val="24"/>
                <w:szCs w:val="24"/>
                <w:lang w:val="en-US" w:eastAsia="en-US"/>
              </w:rPr>
              <w:t>Сроки выполнения Этапа Работ</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eastAsia="en-US"/>
              </w:rPr>
            </w:pPr>
            <w:r>
              <w:rPr>
                <w:rFonts w:eastAsia="Calibri"/>
                <w:kern w:val="2"/>
                <w:sz w:val="24"/>
                <w:szCs w:val="24"/>
                <w:lang w:eastAsia="en-US"/>
              </w:rPr>
              <w:t>Цена Этапа Работ, руб. без НДС**</w:t>
            </w:r>
          </w:p>
        </w:tc>
      </w:tr>
      <w:tr>
        <w:trPr>
          <w:trHeight w:val="555" w:hRule="atLeast"/>
        </w:trPr>
        <w:tc>
          <w:tcPr>
            <w:tcW w:w="850"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eastAsia="en-US"/>
              </w:rPr>
            </w:pPr>
            <w:r>
              <w:rPr>
                <w:rFonts w:eastAsia="Calibri"/>
                <w:kern w:val="2"/>
                <w:sz w:val="24"/>
                <w:szCs w:val="24"/>
                <w:lang w:eastAsia="en-US"/>
              </w:rPr>
            </w:r>
          </w:p>
        </w:tc>
        <w:tc>
          <w:tcPr>
            <w:tcW w:w="6210"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eastAsia="en-US"/>
              </w:rPr>
            </w:pPr>
            <w:r>
              <w:rPr>
                <w:rFonts w:eastAsia="Calibri"/>
                <w:kern w:val="2"/>
                <w:sz w:val="24"/>
                <w:szCs w:val="24"/>
                <w:lang w:eastAsia="en-US"/>
              </w:rPr>
            </w:r>
          </w:p>
        </w:tc>
        <w:tc>
          <w:tcPr>
            <w:tcW w:w="187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eastAsia="Calibri"/>
                <w:kern w:val="2"/>
                <w:sz w:val="24"/>
                <w:szCs w:val="24"/>
                <w:lang w:eastAsia="en-US"/>
              </w:rPr>
            </w:pPr>
            <w:r>
              <w:rPr>
                <w:rFonts w:eastAsia="Calibri"/>
                <w:kern w:val="2"/>
                <w:sz w:val="24"/>
                <w:szCs w:val="24"/>
                <w:lang w:eastAsia="en-US"/>
              </w:rPr>
            </w:r>
          </w:p>
        </w:tc>
        <w:tc>
          <w:tcPr>
            <w:tcW w:w="18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val="en-US" w:eastAsia="en-US"/>
              </w:rPr>
            </w:pPr>
            <w:r>
              <w:rPr>
                <w:rFonts w:eastAsia="Calibri"/>
                <w:kern w:val="2"/>
                <w:sz w:val="24"/>
                <w:szCs w:val="24"/>
                <w:lang w:val="en-US" w:eastAsia="en-US"/>
              </w:rPr>
              <w:t>Начало</w:t>
            </w:r>
          </w:p>
        </w:tc>
        <w:tc>
          <w:tcPr>
            <w:tcW w:w="1561" w:type="dxa"/>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val="en-US" w:eastAsia="en-US"/>
              </w:rPr>
            </w:pPr>
            <w:r>
              <w:rPr>
                <w:rFonts w:eastAsia="Calibri"/>
                <w:kern w:val="2"/>
                <w:sz w:val="24"/>
                <w:szCs w:val="24"/>
                <w:lang w:val="en-US" w:eastAsia="en-US"/>
              </w:rPr>
              <w:t>Окончание</w:t>
            </w:r>
          </w:p>
        </w:tc>
        <w:tc>
          <w:tcPr>
            <w:tcW w:w="2693"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eastAsia="en-US"/>
              </w:rPr>
            </w:pPr>
            <w:r>
              <w:rPr>
                <w:rFonts w:eastAsia="Calibri"/>
                <w:kern w:val="2"/>
                <w:sz w:val="24"/>
                <w:szCs w:val="24"/>
                <w:lang w:eastAsia="en-US"/>
              </w:rPr>
            </w:r>
          </w:p>
        </w:tc>
      </w:tr>
      <w:tr>
        <w:trPr>
          <w:trHeight w:val="967" w:hRule="atLeast"/>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bCs/>
                <w:kern w:val="2"/>
                <w:sz w:val="24"/>
                <w:szCs w:val="24"/>
                <w:lang w:eastAsia="en-US"/>
              </w:rPr>
            </w:pPr>
            <w:r>
              <w:rPr>
                <w:rFonts w:eastAsia="Calibri"/>
                <w:bCs/>
                <w:kern w:val="2"/>
                <w:sz w:val="24"/>
                <w:szCs w:val="24"/>
                <w:lang w:eastAsia="en-US"/>
              </w:rPr>
            </w:r>
          </w:p>
        </w:tc>
        <w:tc>
          <w:tcPr>
            <w:tcW w:w="6210" w:type="dxa"/>
            <w:tcBorders>
              <w:top w:val="single" w:sz="4" w:space="0" w:color="000000"/>
              <w:left w:val="single" w:sz="4" w:space="0" w:color="000000"/>
              <w:bottom w:val="single" w:sz="4" w:space="0" w:color="000000"/>
            </w:tcBorders>
            <w:vAlign w:val="center"/>
          </w:tcPr>
          <w:p>
            <w:pPr>
              <w:pStyle w:val="Normal"/>
              <w:widowControl w:val="false"/>
              <w:suppressAutoHyphens w:val="false"/>
              <w:spacing w:lineRule="auto" w:line="240"/>
              <w:ind w:hanging="0"/>
              <w:jc w:val="left"/>
              <w:textAlignment w:val="baseline"/>
              <w:rPr>
                <w:rFonts w:eastAsia="Calibri"/>
                <w:kern w:val="2"/>
                <w:sz w:val="24"/>
                <w:szCs w:val="24"/>
                <w:lang w:eastAsia="en-US"/>
              </w:rPr>
            </w:pPr>
            <w:r>
              <w:rPr>
                <w:rFonts w:eastAsia="Calibri"/>
                <w:kern w:val="2"/>
                <w:sz w:val="24"/>
                <w:szCs w:val="24"/>
                <w:lang w:eastAsia="en-US"/>
              </w:rPr>
            </w:r>
          </w:p>
        </w:tc>
        <w:tc>
          <w:tcPr>
            <w:tcW w:w="18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eastAsia="Calibri"/>
                <w:kern w:val="2"/>
                <w:sz w:val="24"/>
                <w:szCs w:val="24"/>
                <w:lang w:eastAsia="en-US"/>
              </w:rPr>
            </w:pPr>
            <w:r>
              <w:rPr>
                <w:rFonts w:eastAsia="Calibri"/>
                <w:kern w:val="2"/>
                <w:sz w:val="24"/>
                <w:szCs w:val="24"/>
                <w:lang w:eastAsia="en-US"/>
              </w:rPr>
            </w:r>
          </w:p>
        </w:tc>
        <w:tc>
          <w:tcPr>
            <w:tcW w:w="1812" w:type="dxa"/>
            <w:tcBorders>
              <w:top w:val="single" w:sz="4" w:space="0" w:color="000000"/>
              <w:bottom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eastAsia="en-US"/>
              </w:rPr>
            </w:pPr>
            <w:r>
              <w:rPr>
                <w:rFonts w:eastAsia="Calibri"/>
                <w:kern w:val="2"/>
                <w:sz w:val="24"/>
                <w:szCs w:val="24"/>
                <w:lang w:eastAsia="en-US"/>
              </w:rPr>
            </w:r>
          </w:p>
        </w:tc>
        <w:tc>
          <w:tcPr>
            <w:tcW w:w="1561" w:type="dxa"/>
            <w:tcBorders>
              <w:top w:val="single" w:sz="4" w:space="0" w:color="000000"/>
              <w:left w:val="single" w:sz="4" w:space="0" w:color="000000"/>
              <w:bottom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eastAsia="en-US"/>
              </w:rPr>
            </w:pPr>
            <w:r>
              <w:rPr>
                <w:rFonts w:eastAsia="Calibri"/>
                <w:kern w:val="2"/>
                <w:sz w:val="24"/>
                <w:szCs w:val="24"/>
                <w:lang w:eastAsia="en-US"/>
              </w:rPr>
            </w:r>
          </w:p>
        </w:tc>
        <w:tc>
          <w:tcPr>
            <w:tcW w:w="2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kern w:val="2"/>
                <w:sz w:val="24"/>
                <w:szCs w:val="24"/>
                <w:lang w:eastAsia="en-US"/>
              </w:rPr>
            </w:pPr>
            <w:r>
              <w:rPr>
                <w:rFonts w:eastAsia="Calibri"/>
                <w:kern w:val="2"/>
                <w:sz w:val="24"/>
                <w:szCs w:val="24"/>
                <w:lang w:eastAsia="en-US"/>
              </w:rPr>
            </w:r>
          </w:p>
        </w:tc>
      </w:tr>
      <w:tr>
        <w:trPr>
          <w:trHeight w:val="341" w:hRule="atLeast"/>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b/>
                <w:bCs/>
                <w:kern w:val="2"/>
                <w:sz w:val="24"/>
                <w:szCs w:val="24"/>
                <w:lang w:eastAsia="en-US"/>
              </w:rPr>
            </w:pPr>
            <w:r>
              <w:rPr>
                <w:rFonts w:eastAsia="Calibri"/>
                <w:b/>
                <w:bCs/>
                <w:kern w:val="2"/>
                <w:sz w:val="24"/>
                <w:szCs w:val="24"/>
                <w:lang w:eastAsia="en-US"/>
              </w:rPr>
              <w:t>-</w:t>
            </w:r>
          </w:p>
        </w:tc>
        <w:tc>
          <w:tcPr>
            <w:tcW w:w="11453" w:type="dxa"/>
            <w:gridSpan w:val="4"/>
            <w:tcBorders>
              <w:left w:val="single" w:sz="4" w:space="0" w:color="000000"/>
              <w:bottom w:val="single" w:sz="4" w:space="0" w:color="000000"/>
            </w:tcBorders>
            <w:vAlign w:val="center"/>
          </w:tcPr>
          <w:p>
            <w:pPr>
              <w:pStyle w:val="Normal"/>
              <w:widowControl w:val="false"/>
              <w:suppressAutoHyphens w:val="false"/>
              <w:spacing w:lineRule="auto" w:line="240"/>
              <w:ind w:hanging="0"/>
              <w:jc w:val="left"/>
              <w:textAlignment w:val="baseline"/>
              <w:rPr>
                <w:rFonts w:eastAsia="Calibri"/>
                <w:b/>
                <w:kern w:val="2"/>
                <w:sz w:val="24"/>
                <w:szCs w:val="24"/>
                <w:lang w:eastAsia="en-US"/>
              </w:rPr>
            </w:pPr>
            <w:r>
              <w:rPr>
                <w:rFonts w:eastAsia="Calibri"/>
                <w:b/>
                <w:kern w:val="2"/>
                <w:sz w:val="24"/>
                <w:szCs w:val="24"/>
                <w:lang w:eastAsia="en-US"/>
              </w:rPr>
              <w:t>Прочие работы и затраты (лимит)</w:t>
            </w:r>
          </w:p>
        </w:tc>
        <w:tc>
          <w:tcPr>
            <w:tcW w:w="2693" w:type="dxa"/>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bCs/>
                <w:kern w:val="2"/>
                <w:sz w:val="24"/>
                <w:szCs w:val="24"/>
                <w:lang w:eastAsia="en-US"/>
              </w:rPr>
            </w:pPr>
            <w:r>
              <w:rPr>
                <w:rFonts w:eastAsia="Calibri"/>
                <w:bCs/>
                <w:kern w:val="2"/>
                <w:sz w:val="24"/>
                <w:szCs w:val="24"/>
                <w:lang w:eastAsia="en-US"/>
              </w:rPr>
            </w:r>
          </w:p>
        </w:tc>
      </w:tr>
      <w:tr>
        <w:trPr>
          <w:trHeight w:val="275" w:hRule="atLeast"/>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b/>
                <w:bCs/>
                <w:kern w:val="2"/>
                <w:sz w:val="24"/>
                <w:szCs w:val="24"/>
                <w:lang w:eastAsia="en-US"/>
              </w:rPr>
            </w:pPr>
            <w:r>
              <w:rPr>
                <w:rFonts w:eastAsia="Calibri"/>
                <w:b/>
                <w:bCs/>
                <w:kern w:val="2"/>
                <w:sz w:val="24"/>
                <w:szCs w:val="24"/>
                <w:lang w:eastAsia="en-US"/>
              </w:rPr>
              <w:t>-</w:t>
            </w:r>
          </w:p>
        </w:tc>
        <w:tc>
          <w:tcPr>
            <w:tcW w:w="11453" w:type="dxa"/>
            <w:gridSpan w:val="4"/>
            <w:tcBorders>
              <w:left w:val="single" w:sz="4" w:space="0" w:color="000000"/>
              <w:bottom w:val="single" w:sz="4" w:space="0" w:color="000000"/>
            </w:tcBorders>
            <w:vAlign w:val="center"/>
          </w:tcPr>
          <w:p>
            <w:pPr>
              <w:pStyle w:val="Normal"/>
              <w:widowControl w:val="false"/>
              <w:suppressAutoHyphens w:val="false"/>
              <w:spacing w:lineRule="auto" w:line="240"/>
              <w:ind w:hanging="0"/>
              <w:jc w:val="left"/>
              <w:textAlignment w:val="baseline"/>
              <w:rPr>
                <w:rFonts w:eastAsia="Calibri"/>
                <w:b/>
                <w:kern w:val="2"/>
                <w:sz w:val="24"/>
                <w:szCs w:val="24"/>
                <w:lang w:eastAsia="en-US"/>
              </w:rPr>
            </w:pPr>
            <w:r>
              <w:rPr>
                <w:rFonts w:eastAsia="Calibri"/>
                <w:b/>
                <w:kern w:val="2"/>
                <w:sz w:val="24"/>
                <w:szCs w:val="24"/>
                <w:lang w:eastAsia="en-US"/>
              </w:rPr>
              <w:t>Непредвиденные работы и затраты (лимит)</w:t>
            </w:r>
          </w:p>
        </w:tc>
        <w:tc>
          <w:tcPr>
            <w:tcW w:w="2693" w:type="dxa"/>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bCs/>
                <w:kern w:val="2"/>
                <w:sz w:val="24"/>
                <w:szCs w:val="24"/>
                <w:lang w:eastAsia="en-US"/>
              </w:rPr>
            </w:pPr>
            <w:r>
              <w:rPr>
                <w:rFonts w:eastAsia="Calibri"/>
                <w:bCs/>
                <w:kern w:val="2"/>
                <w:sz w:val="24"/>
                <w:szCs w:val="24"/>
                <w:lang w:eastAsia="en-US"/>
              </w:rPr>
            </w:r>
          </w:p>
        </w:tc>
      </w:tr>
      <w:tr>
        <w:trPr>
          <w:trHeight w:val="279" w:hRule="atLeast"/>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b/>
                <w:bCs/>
                <w:kern w:val="2"/>
                <w:sz w:val="24"/>
                <w:szCs w:val="24"/>
                <w:lang w:eastAsia="en-US"/>
              </w:rPr>
            </w:pPr>
            <w:r>
              <w:rPr>
                <w:rFonts w:eastAsia="Calibri"/>
                <w:b/>
                <w:bCs/>
                <w:kern w:val="2"/>
                <w:sz w:val="24"/>
                <w:szCs w:val="24"/>
                <w:lang w:eastAsia="en-US"/>
              </w:rPr>
              <w:t>-</w:t>
            </w:r>
          </w:p>
        </w:tc>
        <w:tc>
          <w:tcPr>
            <w:tcW w:w="11453" w:type="dxa"/>
            <w:gridSpan w:val="4"/>
            <w:tcBorders>
              <w:left w:val="single" w:sz="4" w:space="0" w:color="000000"/>
              <w:bottom w:val="single" w:sz="4" w:space="0" w:color="000000"/>
            </w:tcBorders>
            <w:vAlign w:val="center"/>
          </w:tcPr>
          <w:p>
            <w:pPr>
              <w:pStyle w:val="Normal"/>
              <w:widowControl w:val="false"/>
              <w:suppressAutoHyphens w:val="false"/>
              <w:spacing w:lineRule="auto" w:line="240"/>
              <w:ind w:hanging="0"/>
              <w:jc w:val="left"/>
              <w:textAlignment w:val="baseline"/>
              <w:rPr>
                <w:rFonts w:eastAsia="Calibri"/>
                <w:b/>
                <w:kern w:val="2"/>
                <w:sz w:val="24"/>
                <w:szCs w:val="24"/>
                <w:lang w:eastAsia="en-US"/>
              </w:rPr>
            </w:pPr>
            <w:r>
              <w:rPr>
                <w:rFonts w:eastAsia="Calibri"/>
                <w:b/>
                <w:kern w:val="2"/>
                <w:sz w:val="24"/>
                <w:szCs w:val="24"/>
                <w:lang w:eastAsia="en-US"/>
              </w:rPr>
              <w:t>Лимит затрат, связанных с получением/обслуживанием Банковских гарантий</w:t>
            </w:r>
          </w:p>
        </w:tc>
        <w:tc>
          <w:tcPr>
            <w:tcW w:w="2693" w:type="dxa"/>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bCs/>
                <w:kern w:val="2"/>
                <w:sz w:val="24"/>
                <w:szCs w:val="24"/>
                <w:lang w:eastAsia="en-US"/>
              </w:rPr>
            </w:pPr>
            <w:r>
              <w:rPr>
                <w:rFonts w:eastAsia="Calibri"/>
                <w:bCs/>
                <w:kern w:val="2"/>
                <w:sz w:val="24"/>
                <w:szCs w:val="24"/>
                <w:lang w:eastAsia="en-US"/>
              </w:rPr>
            </w:r>
          </w:p>
        </w:tc>
      </w:tr>
      <w:tr>
        <w:trPr>
          <w:trHeight w:val="477" w:hRule="atLeast"/>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b/>
                <w:bCs/>
                <w:kern w:val="2"/>
                <w:sz w:val="24"/>
                <w:szCs w:val="24"/>
                <w:lang w:eastAsia="en-US"/>
              </w:rPr>
            </w:pPr>
            <w:r>
              <w:rPr>
                <w:rFonts w:eastAsia="Calibri"/>
                <w:b/>
                <w:bCs/>
                <w:kern w:val="2"/>
                <w:sz w:val="24"/>
                <w:szCs w:val="24"/>
                <w:lang w:eastAsia="en-US"/>
              </w:rPr>
              <w:t> </w:t>
            </w:r>
          </w:p>
        </w:tc>
        <w:tc>
          <w:tcPr>
            <w:tcW w:w="11453" w:type="dxa"/>
            <w:gridSpan w:val="4"/>
            <w:tcBorders>
              <w:left w:val="single" w:sz="4" w:space="0" w:color="000000"/>
              <w:bottom w:val="single" w:sz="4" w:space="0" w:color="000000"/>
            </w:tcBorders>
            <w:vAlign w:val="center"/>
          </w:tcPr>
          <w:p>
            <w:pPr>
              <w:pStyle w:val="Normal"/>
              <w:widowControl w:val="false"/>
              <w:suppressAutoHyphens w:val="false"/>
              <w:spacing w:lineRule="auto" w:line="240"/>
              <w:ind w:hanging="0"/>
              <w:jc w:val="right"/>
              <w:textAlignment w:val="baseline"/>
              <w:rPr>
                <w:rFonts w:eastAsia="Calibri"/>
                <w:b/>
                <w:kern w:val="2"/>
                <w:sz w:val="24"/>
                <w:szCs w:val="24"/>
                <w:lang w:eastAsia="en-US"/>
              </w:rPr>
            </w:pPr>
            <w:r>
              <w:rPr>
                <w:rFonts w:eastAsia="Calibri"/>
                <w:b/>
                <w:kern w:val="2"/>
                <w:sz w:val="24"/>
                <w:szCs w:val="24"/>
                <w:lang w:eastAsia="en-US"/>
              </w:rPr>
              <w:t>Итого руб. без НДС</w:t>
            </w:r>
          </w:p>
        </w:tc>
        <w:tc>
          <w:tcPr>
            <w:tcW w:w="2693" w:type="dxa"/>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textAlignment w:val="baseline"/>
              <w:rPr>
                <w:rFonts w:eastAsia="Calibri"/>
                <w:b/>
                <w:kern w:val="2"/>
                <w:sz w:val="24"/>
                <w:szCs w:val="24"/>
                <w:lang w:eastAsia="en-US"/>
              </w:rPr>
            </w:pPr>
            <w:r>
              <w:rPr>
                <w:rFonts w:eastAsia="Calibri"/>
                <w:b/>
                <w:kern w:val="2"/>
                <w:sz w:val="24"/>
                <w:szCs w:val="24"/>
                <w:lang w:eastAsia="en-US"/>
              </w:rPr>
            </w:r>
          </w:p>
        </w:tc>
      </w:tr>
    </w:tbl>
    <w:p>
      <w:pPr>
        <w:pStyle w:val="Normal"/>
        <w:spacing w:lineRule="auto" w:line="240"/>
        <w:rPr>
          <w:sz w:val="20"/>
          <w:szCs w:val="20"/>
        </w:rPr>
      </w:pPr>
      <w:r>
        <w:rPr>
          <w:sz w:val="20"/>
          <w:szCs w:val="20"/>
        </w:rPr>
        <w:t>*Локальные сметные расчеты на Этапы Работ согласовываются Сторонами в порядке, установленном пунктом 3.2 Договора.</w:t>
      </w:r>
    </w:p>
    <w:p>
      <w:pPr>
        <w:pStyle w:val="Normal"/>
        <w:spacing w:lineRule="auto" w:line="240"/>
        <w:rPr>
          <w:sz w:val="24"/>
          <w:szCs w:val="24"/>
        </w:rPr>
      </w:pPr>
      <w:r>
        <w:rPr>
          <w:sz w:val="20"/>
          <w:szCs w:val="20"/>
        </w:rPr>
        <w:t>**</w:t>
      </w:r>
      <w:r>
        <w:rPr/>
        <w:t xml:space="preserve"> </w:t>
      </w:r>
      <w:r>
        <w:rPr>
          <w:sz w:val="20"/>
          <w:szCs w:val="20"/>
        </w:rPr>
        <w:t>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13605"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7485"/>
        <w:gridCol w:w="6119"/>
      </w:tblGrid>
      <w:tr>
        <w:trPr>
          <w:trHeight w:val="1380" w:hRule="atLeast"/>
        </w:trPr>
        <w:tc>
          <w:tcPr>
            <w:tcW w:w="7485" w:type="dxa"/>
            <w:tcBorders/>
            <w:shd w:color="auto" w:fill="auto" w:val="clear"/>
          </w:tcPr>
          <w:p>
            <w:pPr>
              <w:pStyle w:val="Normal"/>
              <w:widowControl w:val="false"/>
              <w:spacing w:lineRule="auto" w:line="240"/>
              <w:ind w:hanging="0"/>
              <w:rPr>
                <w:b/>
                <w:sz w:val="24"/>
              </w:rPr>
            </w:pPr>
            <w:r>
              <w:rPr>
                <w:b/>
                <w:sz w:val="24"/>
              </w:rPr>
              <w:t xml:space="preserve">         </w:t>
            </w:r>
            <w:r>
              <w:rPr>
                <w:b/>
                <w:sz w:val="24"/>
              </w:rPr>
              <w:t>От Заказчика:</w:t>
            </w:r>
          </w:p>
          <w:p>
            <w:pPr>
              <w:pStyle w:val="Normal"/>
              <w:widowControl w:val="false"/>
              <w:rPr>
                <w:color w:val="000000"/>
                <w:sz w:val="24"/>
                <w:szCs w:val="24"/>
              </w:rPr>
            </w:pPr>
            <w:r>
              <w:rPr>
                <w:color w:val="000000"/>
                <w:sz w:val="24"/>
                <w:szCs w:val="24"/>
              </w:rPr>
            </w:r>
          </w:p>
        </w:tc>
        <w:tc>
          <w:tcPr>
            <w:tcW w:w="6119" w:type="dxa"/>
            <w:tcBorders/>
            <w:shd w:color="auto" w:fill="auto" w:val="clear"/>
          </w:tcPr>
          <w:p>
            <w:pPr>
              <w:pStyle w:val="Normal"/>
              <w:widowControl w:val="false"/>
              <w:spacing w:lineRule="auto" w:line="240"/>
              <w:ind w:hanging="0"/>
              <w:rPr>
                <w:b/>
                <w:sz w:val="24"/>
                <w:szCs w:val="24"/>
              </w:rPr>
            </w:pPr>
            <w:r>
              <w:rPr>
                <w:b/>
                <w:sz w:val="24"/>
                <w:szCs w:val="24"/>
              </w:rPr>
              <w:t xml:space="preserve">         </w:t>
            </w:r>
            <w:r>
              <w:rPr>
                <w:b/>
                <w:sz w:val="24"/>
                <w:szCs w:val="24"/>
              </w:rPr>
              <w:t>От Подрядчика:</w:t>
            </w:r>
          </w:p>
          <w:p>
            <w:pPr>
              <w:pStyle w:val="Normal"/>
              <w:widowControl w:val="false"/>
              <w:rPr>
                <w:color w:val="000000"/>
                <w:sz w:val="24"/>
                <w:szCs w:val="24"/>
              </w:rPr>
            </w:pPr>
            <w:r>
              <w:rPr>
                <w:color w:val="000000"/>
                <w:sz w:val="24"/>
                <w:szCs w:val="24"/>
              </w:rPr>
            </w:r>
          </w:p>
        </w:tc>
      </w:tr>
    </w:tbl>
    <w:p>
      <w:pPr>
        <w:sectPr>
          <w:headerReference w:type="default" r:id="rId12"/>
          <w:headerReference w:type="first" r:id="rId13"/>
          <w:footnotePr>
            <w:numFmt w:val="decimal"/>
          </w:footnotePr>
          <w:type w:val="nextPage"/>
          <w:pgSz w:orient="landscape" w:w="16838" w:h="11906"/>
          <w:pgMar w:left="993" w:right="709" w:gutter="0" w:header="567" w:top="1134" w:footer="0" w:bottom="851"/>
          <w:pgNumType w:start="96" w:fmt="decimal"/>
          <w:formProt w:val="false"/>
          <w:textDirection w:val="lrTb"/>
          <w:docGrid w:type="default" w:linePitch="381" w:charSpace="0"/>
        </w:sectPr>
      </w:pPr>
    </w:p>
    <w:p>
      <w:pPr>
        <w:pStyle w:val="Normal"/>
        <w:spacing w:lineRule="auto" w:line="240"/>
        <w:ind w:firstLine="4820"/>
        <w:jc w:val="right"/>
        <w:rPr>
          <w:sz w:val="22"/>
          <w:szCs w:val="22"/>
        </w:rPr>
      </w:pPr>
      <w:r>
        <w:rPr>
          <w:sz w:val="22"/>
          <w:szCs w:val="22"/>
        </w:rPr>
        <w:t>Приложение № 3</w:t>
      </w:r>
    </w:p>
    <w:p>
      <w:pPr>
        <w:pStyle w:val="Normal"/>
        <w:spacing w:lineRule="auto" w:line="240"/>
        <w:ind w:left="720" w:firstLine="4820"/>
        <w:jc w:val="right"/>
        <w:rPr>
          <w:sz w:val="22"/>
          <w:szCs w:val="22"/>
        </w:rPr>
      </w:pPr>
      <w:r>
        <w:rPr>
          <w:sz w:val="22"/>
          <w:szCs w:val="22"/>
        </w:rPr>
        <w:t>к Договору подряда</w:t>
      </w:r>
    </w:p>
    <w:p>
      <w:pPr>
        <w:pStyle w:val="Normal"/>
        <w:spacing w:lineRule="auto" w:line="240"/>
        <w:ind w:left="720" w:firstLine="4820"/>
        <w:jc w:val="right"/>
        <w:rPr>
          <w:sz w:val="22"/>
          <w:szCs w:val="22"/>
        </w:rPr>
      </w:pPr>
      <w:r>
        <w:rPr>
          <w:bCs/>
          <w:color w:val="000000"/>
          <w:sz w:val="22"/>
          <w:szCs w:val="22"/>
        </w:rPr>
        <w:t>от «____» __________ 2026 г. №  __________</w:t>
      </w:r>
    </w:p>
    <w:p>
      <w:pPr>
        <w:pStyle w:val="Normal"/>
        <w:spacing w:lineRule="auto" w:line="240"/>
        <w:rPr>
          <w:sz w:val="22"/>
          <w:szCs w:val="22"/>
        </w:rPr>
      </w:pPr>
      <w:r>
        <w:rPr>
          <w:sz w:val="22"/>
          <w:szCs w:val="22"/>
        </w:rPr>
      </w:r>
    </w:p>
    <w:p>
      <w:pPr>
        <w:pStyle w:val="Normal"/>
        <w:spacing w:lineRule="auto" w:line="240"/>
        <w:ind w:hanging="0"/>
        <w:jc w:val="center"/>
        <w:rPr>
          <w:b/>
          <w:sz w:val="24"/>
          <w:szCs w:val="24"/>
        </w:rPr>
      </w:pPr>
      <w:r>
        <w:rPr>
          <w:b/>
          <w:sz w:val="24"/>
          <w:szCs w:val="24"/>
        </w:rPr>
      </w:r>
    </w:p>
    <w:p>
      <w:pPr>
        <w:pStyle w:val="Normal"/>
        <w:spacing w:lineRule="auto" w:line="240"/>
        <w:ind w:hanging="0"/>
        <w:jc w:val="center"/>
        <w:rPr>
          <w:b/>
          <w:sz w:val="24"/>
          <w:szCs w:val="24"/>
        </w:rPr>
      </w:pPr>
      <w:r>
        <w:rPr>
          <w:b/>
          <w:sz w:val="24"/>
          <w:szCs w:val="24"/>
        </w:rPr>
        <w:t>Сводный сметный расчет</w:t>
      </w:r>
    </w:p>
    <w:p>
      <w:pPr>
        <w:pStyle w:val="Normal"/>
        <w:spacing w:lineRule="auto" w:line="240"/>
        <w:ind w:hanging="0"/>
        <w:jc w:val="center"/>
        <w:rPr>
          <w:b/>
          <w:sz w:val="24"/>
          <w:szCs w:val="24"/>
        </w:rPr>
      </w:pPr>
      <w:r>
        <w:rPr>
          <w:b/>
          <w:sz w:val="24"/>
          <w:szCs w:val="24"/>
        </w:rPr>
      </w:r>
    </w:p>
    <w:p>
      <w:pPr>
        <w:pStyle w:val="Normal"/>
        <w:rPr/>
      </w:pPr>
      <w:r>
        <w:rPr/>
      </w:r>
    </w:p>
    <w:tbl>
      <w:tblPr>
        <w:tblW w:w="1365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7141"/>
        <w:gridCol w:w="6508"/>
      </w:tblGrid>
      <w:tr>
        <w:trPr>
          <w:trHeight w:val="1380" w:hRule="atLeast"/>
        </w:trPr>
        <w:tc>
          <w:tcPr>
            <w:tcW w:w="7141" w:type="dxa"/>
            <w:tcBorders/>
            <w:shd w:color="auto" w:fill="auto" w:val="clear"/>
          </w:tcPr>
          <w:p>
            <w:pPr>
              <w:pStyle w:val="Normal"/>
              <w:widowControl w:val="false"/>
              <w:spacing w:lineRule="auto" w:line="240"/>
              <w:ind w:hanging="0"/>
              <w:rPr>
                <w:b/>
                <w:sz w:val="24"/>
              </w:rPr>
            </w:pPr>
            <w:r>
              <w:rPr>
                <w:b/>
                <w:sz w:val="24"/>
              </w:rPr>
              <w:t xml:space="preserve">         </w:t>
            </w:r>
            <w:r>
              <w:rPr>
                <w:b/>
                <w:sz w:val="24"/>
              </w:rPr>
              <w:t>От Заказчика:</w:t>
            </w:r>
          </w:p>
          <w:p>
            <w:pPr>
              <w:pStyle w:val="Normal"/>
              <w:widowControl w:val="false"/>
              <w:rPr>
                <w:color w:val="000000"/>
                <w:sz w:val="24"/>
                <w:szCs w:val="24"/>
              </w:rPr>
            </w:pPr>
            <w:r>
              <w:rPr>
                <w:color w:val="000000"/>
                <w:sz w:val="24"/>
                <w:szCs w:val="24"/>
              </w:rPr>
            </w:r>
          </w:p>
        </w:tc>
        <w:tc>
          <w:tcPr>
            <w:tcW w:w="6508" w:type="dxa"/>
            <w:tcBorders/>
            <w:shd w:color="auto" w:fill="auto" w:val="clear"/>
          </w:tcPr>
          <w:p>
            <w:pPr>
              <w:pStyle w:val="Normal"/>
              <w:widowControl w:val="false"/>
              <w:spacing w:lineRule="auto" w:line="240"/>
              <w:ind w:hanging="0"/>
              <w:rPr>
                <w:b/>
                <w:sz w:val="24"/>
                <w:szCs w:val="24"/>
              </w:rPr>
            </w:pPr>
            <w:r>
              <w:rPr>
                <w:b/>
                <w:sz w:val="24"/>
                <w:szCs w:val="24"/>
              </w:rPr>
              <w:t xml:space="preserve">         </w:t>
            </w:r>
            <w:r>
              <w:rPr>
                <w:b/>
                <w:sz w:val="24"/>
                <w:szCs w:val="24"/>
              </w:rPr>
              <w:t>От Подрядчика:</w:t>
            </w:r>
          </w:p>
          <w:p>
            <w:pPr>
              <w:pStyle w:val="Normal"/>
              <w:widowControl w:val="false"/>
              <w:rPr>
                <w:color w:val="000000"/>
                <w:sz w:val="24"/>
                <w:szCs w:val="24"/>
              </w:rPr>
            </w:pPr>
            <w:r>
              <w:rPr>
                <w:color w:val="000000"/>
                <w:sz w:val="24"/>
                <w:szCs w:val="24"/>
              </w:rPr>
            </w:r>
          </w:p>
        </w:tc>
      </w:tr>
    </w:tbl>
    <w:p>
      <w:pPr>
        <w:sectPr>
          <w:headerReference w:type="default" r:id="rId14"/>
          <w:headerReference w:type="first" r:id="rId15"/>
          <w:footnotePr>
            <w:numFmt w:val="decimal"/>
          </w:footnotePr>
          <w:type w:val="nextPage"/>
          <w:pgSz w:w="11906" w:h="16838"/>
          <w:pgMar w:left="1134" w:right="567" w:gutter="0" w:header="567" w:top="851" w:footer="0" w:bottom="1134"/>
          <w:pgNumType w:fmt="decimal"/>
          <w:formProt w:val="false"/>
          <w:textDirection w:val="lrTb"/>
          <w:docGrid w:type="default" w:linePitch="360" w:charSpace="0"/>
        </w:sectPr>
      </w:pPr>
    </w:p>
    <w:p>
      <w:pPr>
        <w:pStyle w:val="Normal"/>
        <w:spacing w:lineRule="auto" w:line="240"/>
        <w:ind w:firstLine="4820"/>
        <w:jc w:val="right"/>
        <w:rPr>
          <w:sz w:val="22"/>
          <w:szCs w:val="22"/>
        </w:rPr>
      </w:pPr>
      <w:r>
        <w:rPr>
          <w:sz w:val="22"/>
          <w:szCs w:val="22"/>
        </w:rPr>
        <w:t>Приложение № 4.1</w:t>
      </w:r>
    </w:p>
    <w:p>
      <w:pPr>
        <w:pStyle w:val="Normal"/>
        <w:spacing w:lineRule="auto" w:line="240"/>
        <w:ind w:left="720" w:firstLine="4820"/>
        <w:jc w:val="right"/>
        <w:rPr>
          <w:sz w:val="22"/>
          <w:szCs w:val="22"/>
        </w:rPr>
      </w:pPr>
      <w:r>
        <w:rPr>
          <w:sz w:val="22"/>
          <w:szCs w:val="22"/>
        </w:rPr>
        <w:t>к Договору подряда</w:t>
      </w:r>
    </w:p>
    <w:p>
      <w:pPr>
        <w:pStyle w:val="Normal"/>
        <w:spacing w:lineRule="auto" w:line="240"/>
        <w:ind w:left="720" w:firstLine="4820"/>
        <w:jc w:val="right"/>
        <w:rPr>
          <w:sz w:val="22"/>
          <w:szCs w:val="22"/>
        </w:rPr>
      </w:pPr>
      <w:r>
        <w:rPr>
          <w:bCs/>
          <w:color w:val="000000"/>
          <w:sz w:val="22"/>
          <w:szCs w:val="22"/>
        </w:rPr>
        <w:t>от «____» __________ 2026 г. №  __________</w:t>
      </w:r>
    </w:p>
    <w:p>
      <w:pPr>
        <w:pStyle w:val="13"/>
        <w:jc w:val="left"/>
        <w:rPr>
          <w:i/>
          <w:i/>
        </w:rPr>
      </w:pPr>
      <w:r>
        <w:rPr>
          <w:i/>
        </w:rPr>
      </w:r>
    </w:p>
    <w:p>
      <w:pPr>
        <w:pStyle w:val="13"/>
        <w:rPr>
          <w:sz w:val="24"/>
          <w:szCs w:val="24"/>
        </w:rPr>
      </w:pPr>
      <w:r>
        <w:rPr>
          <w:iCs/>
          <w:sz w:val="24"/>
          <w:szCs w:val="24"/>
        </w:rPr>
        <w:t>ФОРМА</w:t>
      </w:r>
    </w:p>
    <w:p>
      <w:pPr>
        <w:pStyle w:val="13"/>
        <w:rPr>
          <w:i/>
          <w:i/>
          <w:iCs/>
          <w:sz w:val="24"/>
          <w:szCs w:val="24"/>
        </w:rPr>
      </w:pPr>
      <w:r>
        <w:rPr>
          <w:sz w:val="24"/>
          <w:szCs w:val="24"/>
        </w:rPr>
        <w:t>Акта сдачи-приемки места производства Работ и/или места (помещения) для складирования материалов</w:t>
      </w:r>
    </w:p>
    <w:tbl>
      <w:tblPr>
        <w:tblW w:w="48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9524"/>
      </w:tblGrid>
      <w:tr>
        <w:trPr/>
        <w:tc>
          <w:tcPr>
            <w:tcW w:w="9524"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b w:val="false"/>
              </w:rPr>
            </w:pPr>
            <w:r>
              <w:rPr>
                <w:b w:val="false"/>
              </w:rPr>
              <w:t xml:space="preserve">Акт </w:t>
            </w:r>
          </w:p>
          <w:p>
            <w:pPr>
              <w:pStyle w:val="13"/>
              <w:widowControl w:val="false"/>
              <w:rPr>
                <w:b w:val="false"/>
                <w:i/>
                <w:i/>
                <w:iCs/>
              </w:rPr>
            </w:pPr>
            <w:r>
              <w:rPr>
                <w:b w:val="false"/>
              </w:rPr>
              <w:t>сдачи-приемки места производства Работ</w:t>
            </w:r>
            <w:r>
              <w:rPr/>
              <w:t xml:space="preserve"> </w:t>
            </w:r>
            <w:r>
              <w:rPr>
                <w:b w:val="false"/>
              </w:rPr>
              <w:t>и / или места (помещения) для складирования материалов</w:t>
            </w:r>
          </w:p>
          <w:p>
            <w:pPr>
              <w:pStyle w:val="Normal"/>
              <w:widowControl w:val="false"/>
              <w:spacing w:lineRule="auto" w:line="240"/>
              <w:rPr>
                <w:sz w:val="22"/>
              </w:rPr>
            </w:pPr>
            <w:r>
              <w:rPr>
                <w:sz w:val="22"/>
              </w:rPr>
            </w:r>
          </w:p>
          <w:p>
            <w:pPr>
              <w:pStyle w:val="Normal"/>
              <w:widowControl w:val="false"/>
              <w:spacing w:lineRule="auto" w:line="240"/>
              <w:ind w:hanging="0"/>
              <w:rPr>
                <w:sz w:val="22"/>
                <w:szCs w:val="22"/>
              </w:rPr>
            </w:pPr>
            <w:r>
              <w:rPr>
                <w:sz w:val="22"/>
                <w:szCs w:val="22"/>
              </w:rPr>
              <w:t>г.___________                                                                                                     «_____» _________20_г.</w:t>
            </w:r>
          </w:p>
          <w:p>
            <w:pPr>
              <w:pStyle w:val="Normal"/>
              <w:widowControl w:val="false"/>
              <w:spacing w:lineRule="auto" w:line="24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и / или </w:t>
            </w:r>
            <w:r>
              <w:rPr>
                <w:sz w:val="22"/>
                <w:szCs w:val="22"/>
              </w:rPr>
              <w:t xml:space="preserve">место (помещение) для складирования материалов  _____________________________ </w:t>
            </w:r>
            <w:r>
              <w:rPr>
                <w:bCs/>
                <w:sz w:val="22"/>
                <w:szCs w:val="22"/>
              </w:rPr>
              <w:t xml:space="preserve">(указываются идентифицирующие признаки) </w:t>
            </w:r>
            <w:r>
              <w:rPr>
                <w:sz w:val="22"/>
                <w:szCs w:val="22"/>
              </w:rPr>
              <w:t>по Договору по</w:t>
            </w:r>
            <w:r>
              <w:rPr>
                <w:bCs/>
                <w:sz w:val="22"/>
                <w:szCs w:val="22"/>
              </w:rPr>
              <w:t>дряда № ______ от _____________.</w:t>
            </w:r>
          </w:p>
          <w:p>
            <w:pPr>
              <w:pStyle w:val="Normal"/>
              <w:widowControl w:val="false"/>
              <w:spacing w:lineRule="auto" w:line="240"/>
              <w:ind w:hanging="0"/>
              <w:rPr>
                <w:bCs/>
                <w:sz w:val="22"/>
                <w:szCs w:val="22"/>
              </w:rPr>
            </w:pPr>
            <w:r>
              <w:rPr>
                <w:bCs/>
                <w:sz w:val="22"/>
                <w:szCs w:val="22"/>
              </w:rPr>
              <w:t>Претензии Подрядчик</w:t>
            </w:r>
            <w:r>
              <w:rPr>
                <w:sz w:val="22"/>
                <w:szCs w:val="22"/>
              </w:rPr>
              <w:t>а</w:t>
            </w:r>
            <w:r>
              <w:rPr>
                <w:bCs/>
                <w:sz w:val="22"/>
                <w:szCs w:val="22"/>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2"/>
              </w:rPr>
            </w:pPr>
            <w:r>
              <w:rPr>
                <w:i/>
                <w:sz w:val="22"/>
              </w:rPr>
              <w:t>(указать конкретные претензии или указать «не имеются»)</w:t>
            </w:r>
            <w:r>
              <w:rPr>
                <w:sz w:val="22"/>
              </w:rPr>
              <w:t>.</w:t>
            </w:r>
          </w:p>
          <w:p>
            <w:pPr>
              <w:pStyle w:val="Normal"/>
              <w:widowControl w:val="false"/>
              <w:spacing w:lineRule="auto" w:line="240"/>
              <w:ind w:hanging="0"/>
              <w:rPr>
                <w:bCs/>
                <w:sz w:val="22"/>
                <w:szCs w:val="22"/>
              </w:rPr>
            </w:pPr>
            <w:r>
              <w:rPr>
                <w:bCs/>
                <w:sz w:val="22"/>
                <w:szCs w:val="22"/>
              </w:rPr>
              <w:t>Претензии Подрядчик</w:t>
            </w:r>
            <w:r>
              <w:rPr>
                <w:sz w:val="22"/>
                <w:szCs w:val="22"/>
              </w:rPr>
              <w:t>а</w:t>
            </w:r>
            <w:r>
              <w:rPr>
                <w:bCs/>
                <w:sz w:val="22"/>
                <w:szCs w:val="22"/>
              </w:rPr>
              <w:t xml:space="preserve"> (замечания и недостатки) к месту</w:t>
            </w:r>
            <w:r>
              <w:rPr>
                <w:sz w:val="22"/>
                <w:szCs w:val="22"/>
              </w:rPr>
              <w:t xml:space="preserve"> складирования материалов</w:t>
            </w:r>
            <w:r>
              <w:rPr>
                <w:bCs/>
                <w:sz w:val="22"/>
                <w:szCs w:val="22"/>
              </w:rPr>
              <w:t xml:space="preserve">: </w:t>
              <w:br/>
              <w:t>____________________________________________________________________________</w:t>
            </w:r>
          </w:p>
          <w:p>
            <w:pPr>
              <w:pStyle w:val="Normal"/>
              <w:widowControl w:val="false"/>
              <w:spacing w:lineRule="auto" w:line="240"/>
              <w:ind w:hanging="0"/>
              <w:rPr>
                <w:sz w:val="22"/>
                <w:szCs w:val="22"/>
              </w:rPr>
            </w:pPr>
            <w:r>
              <w:rPr>
                <w:sz w:val="22"/>
                <w:szCs w:val="22"/>
              </w:rPr>
              <w:t xml:space="preserve"> </w:t>
            </w:r>
            <w:r>
              <w:rPr>
                <w:sz w:val="22"/>
                <w:szCs w:val="22"/>
              </w:rPr>
              <w:t>(</w:t>
            </w:r>
            <w:r>
              <w:rPr>
                <w:i/>
                <w:sz w:val="22"/>
              </w:rPr>
              <w:t>указать конкретные претензии или указать «не имеются»)</w:t>
            </w:r>
            <w:r>
              <w:rPr>
                <w:sz w:val="22"/>
              </w:rPr>
              <w:t>.</w:t>
            </w:r>
          </w:p>
          <w:p>
            <w:pPr>
              <w:pStyle w:val="Normal"/>
              <w:widowControl w:val="false"/>
              <w:spacing w:lineRule="auto" w:line="240"/>
              <w:rPr>
                <w:sz w:val="22"/>
                <w:szCs w:val="22"/>
              </w:rPr>
            </w:pPr>
            <w:r>
              <w:rPr>
                <w:sz w:val="22"/>
                <w:szCs w:val="22"/>
              </w:rPr>
            </w:r>
          </w:p>
          <w:tbl>
            <w:tblPr>
              <w:tblW w:w="931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27"/>
              <w:gridCol w:w="4686"/>
            </w:tblGrid>
            <w:tr>
              <w:trPr/>
              <w:tc>
                <w:tcPr>
                  <w:tcW w:w="4627" w:type="dxa"/>
                  <w:tcBorders/>
                </w:tcPr>
                <w:p>
                  <w:pPr>
                    <w:pStyle w:val="Normal"/>
                    <w:widowControl w:val="false"/>
                    <w:spacing w:lineRule="auto" w:line="240"/>
                    <w:ind w:hanging="0"/>
                    <w:rPr>
                      <w:sz w:val="22"/>
                    </w:rPr>
                  </w:pPr>
                  <w:r>
                    <w:rPr>
                      <w:sz w:val="22"/>
                    </w:rPr>
                    <w:t>Заказчик:</w:t>
                  </w:r>
                </w:p>
              </w:tc>
              <w:tc>
                <w:tcPr>
                  <w:tcW w:w="4686" w:type="dxa"/>
                  <w:tcBorders/>
                </w:tcPr>
                <w:p>
                  <w:pPr>
                    <w:pStyle w:val="Normal"/>
                    <w:widowControl w:val="false"/>
                    <w:spacing w:lineRule="auto" w:line="240"/>
                    <w:ind w:hanging="0"/>
                    <w:rPr>
                      <w:sz w:val="22"/>
                    </w:rPr>
                  </w:pPr>
                  <w:r>
                    <w:rPr>
                      <w:sz w:val="22"/>
                    </w:rPr>
                    <w:t>Подрядчик:</w:t>
                  </w:r>
                </w:p>
              </w:tc>
            </w:tr>
            <w:tr>
              <w:trPr>
                <w:trHeight w:val="1292" w:hRule="atLeast"/>
              </w:trPr>
              <w:tc>
                <w:tcPr>
                  <w:tcW w:w="4627"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4"/>
                      <w:szCs w:val="24"/>
                    </w:rPr>
                    <w:t>____________________/________</w:t>
                  </w:r>
                </w:p>
              </w:tc>
              <w:tc>
                <w:tcPr>
                  <w:tcW w:w="4686"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4"/>
                      <w:szCs w:val="24"/>
                    </w:rPr>
                    <w:t>____________________/___________/</w:t>
                  </w:r>
                </w:p>
              </w:tc>
            </w:tr>
          </w:tbl>
          <w:p>
            <w:pPr>
              <w:pStyle w:val="13"/>
              <w:widowControl w:val="false"/>
              <w:spacing w:before="0" w:after="120"/>
              <w:jc w:val="left"/>
              <w:rPr>
                <w:i/>
                <w:i/>
                <w:iCs/>
              </w:rPr>
            </w:pPr>
            <w:r>
              <w:rPr>
                <w:i/>
                <w:iCs/>
              </w:rPr>
            </w:r>
          </w:p>
        </w:tc>
      </w:tr>
    </w:tbl>
    <w:p>
      <w:pPr>
        <w:pStyle w:val="13"/>
        <w:jc w:val="left"/>
        <w:rPr>
          <w:i/>
          <w:i/>
          <w:iCs/>
        </w:rPr>
      </w:pPr>
      <w:r>
        <w:rPr>
          <w:i/>
          <w:iCs/>
        </w:rPr>
      </w:r>
    </w:p>
    <w:tbl>
      <w:tblPr>
        <w:tblW w:w="992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533"/>
        <w:gridCol w:w="4389"/>
      </w:tblGrid>
      <w:tr>
        <w:trPr>
          <w:trHeight w:val="1380" w:hRule="atLeast"/>
        </w:trPr>
        <w:tc>
          <w:tcPr>
            <w:tcW w:w="5533" w:type="dxa"/>
            <w:tcBorders/>
            <w:shd w:color="auto" w:fill="auto" w:val="clear"/>
          </w:tcPr>
          <w:p>
            <w:pPr>
              <w:pStyle w:val="Normal"/>
              <w:widowControl w:val="false"/>
              <w:spacing w:lineRule="auto" w:line="240"/>
              <w:ind w:hanging="0"/>
              <w:rPr>
                <w:b/>
                <w:sz w:val="24"/>
              </w:rPr>
            </w:pPr>
            <w:r>
              <w:rPr>
                <w:b/>
                <w:sz w:val="24"/>
              </w:rPr>
              <w:t xml:space="preserve">         </w:t>
            </w:r>
            <w:r>
              <w:rPr>
                <w:b/>
                <w:sz w:val="24"/>
              </w:rPr>
              <w:t>От Заказчика:</w:t>
            </w:r>
          </w:p>
          <w:p>
            <w:pPr>
              <w:pStyle w:val="Normal"/>
              <w:widowControl w:val="false"/>
              <w:rPr>
                <w:color w:val="000000"/>
                <w:sz w:val="24"/>
                <w:szCs w:val="24"/>
              </w:rPr>
            </w:pPr>
            <w:r>
              <w:rPr>
                <w:color w:val="000000"/>
                <w:sz w:val="24"/>
                <w:szCs w:val="24"/>
              </w:rPr>
            </w:r>
          </w:p>
        </w:tc>
        <w:tc>
          <w:tcPr>
            <w:tcW w:w="4389" w:type="dxa"/>
            <w:tcBorders/>
            <w:shd w:color="auto" w:fill="auto" w:val="clear"/>
          </w:tcPr>
          <w:p>
            <w:pPr>
              <w:pStyle w:val="Normal"/>
              <w:widowControl w:val="false"/>
              <w:spacing w:lineRule="auto" w:line="240"/>
              <w:ind w:hanging="0"/>
              <w:rPr>
                <w:b/>
                <w:sz w:val="24"/>
                <w:szCs w:val="24"/>
              </w:rPr>
            </w:pPr>
            <w:r>
              <w:rPr>
                <w:b/>
                <w:sz w:val="24"/>
                <w:szCs w:val="24"/>
              </w:rPr>
              <w:t xml:space="preserve">         </w:t>
            </w:r>
            <w:r>
              <w:rPr>
                <w:b/>
                <w:sz w:val="24"/>
                <w:szCs w:val="24"/>
              </w:rPr>
              <w:t>От Подрядчика:</w:t>
            </w:r>
          </w:p>
          <w:p>
            <w:pPr>
              <w:pStyle w:val="Normal"/>
              <w:widowControl w:val="false"/>
              <w:rPr>
                <w:color w:val="000000"/>
                <w:sz w:val="24"/>
                <w:szCs w:val="24"/>
              </w:rPr>
            </w:pPr>
            <w:r>
              <w:rPr>
                <w:color w:val="000000"/>
                <w:sz w:val="24"/>
                <w:szCs w:val="24"/>
              </w:rPr>
            </w:r>
          </w:p>
        </w:tc>
      </w:tr>
    </w:tbl>
    <w:p>
      <w:pPr>
        <w:sectPr>
          <w:headerReference w:type="default" r:id="rId16"/>
          <w:headerReference w:type="first" r:id="rId17"/>
          <w:footnotePr>
            <w:numFmt w:val="decimal"/>
          </w:footnotePr>
          <w:type w:val="nextPage"/>
          <w:pgSz w:w="11906" w:h="16838"/>
          <w:pgMar w:left="1134" w:right="851" w:gutter="0" w:header="567" w:top="1276" w:footer="0" w:bottom="1752"/>
          <w:pgNumType w:fmt="decimal"/>
          <w:formProt w:val="false"/>
          <w:textDirection w:val="lrTb"/>
          <w:docGrid w:type="default" w:linePitch="360" w:charSpace="0"/>
        </w:sectPr>
      </w:pPr>
      <w:r>
        <w:br w:type="page"/>
      </w:r>
    </w:p>
    <w:p>
      <w:pPr>
        <w:pStyle w:val="Normal"/>
        <w:spacing w:lineRule="auto" w:line="240"/>
        <w:ind w:firstLine="4820"/>
        <w:jc w:val="right"/>
        <w:rPr>
          <w:sz w:val="22"/>
          <w:szCs w:val="22"/>
        </w:rPr>
      </w:pPr>
      <w:r>
        <w:rPr>
          <w:sz w:val="22"/>
          <w:szCs w:val="22"/>
        </w:rPr>
        <w:t>Приложение № 4.2</w:t>
      </w:r>
    </w:p>
    <w:p>
      <w:pPr>
        <w:pStyle w:val="Normal"/>
        <w:spacing w:lineRule="auto" w:line="240"/>
        <w:ind w:left="720" w:firstLine="4820"/>
        <w:jc w:val="right"/>
        <w:rPr>
          <w:sz w:val="22"/>
          <w:szCs w:val="22"/>
        </w:rPr>
      </w:pPr>
      <w:r>
        <w:rPr>
          <w:sz w:val="22"/>
          <w:szCs w:val="22"/>
        </w:rPr>
        <w:t>к Договору подряда</w:t>
      </w:r>
    </w:p>
    <w:p>
      <w:pPr>
        <w:pStyle w:val="Normal"/>
        <w:spacing w:lineRule="auto" w:line="240"/>
        <w:ind w:left="720" w:firstLine="4820"/>
        <w:jc w:val="right"/>
        <w:rPr>
          <w:sz w:val="22"/>
          <w:szCs w:val="22"/>
        </w:rPr>
      </w:pPr>
      <w:r>
        <w:rPr>
          <w:bCs/>
          <w:color w:val="000000"/>
          <w:sz w:val="22"/>
          <w:szCs w:val="22"/>
        </w:rPr>
        <w:t>от «____» __________ 2026 г. №  __________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13"/>
        <w:rPr>
          <w:b w:val="false"/>
          <w:sz w:val="24"/>
        </w:rPr>
      </w:pPr>
      <w:r>
        <w:rPr>
          <w:sz w:val="24"/>
        </w:rPr>
        <w:t>ФОРМА</w:t>
      </w:r>
    </w:p>
    <w:p>
      <w:pPr>
        <w:pStyle w:val="13"/>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9524"/>
      </w:tblGrid>
      <w:tr>
        <w:trPr/>
        <w:tc>
          <w:tcPr>
            <w:tcW w:w="9524"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b w:val="false"/>
              </w:rPr>
            </w:pPr>
            <w:r>
              <w:rPr>
                <w:b w:val="false"/>
              </w:rPr>
              <w:t xml:space="preserve">Акт </w:t>
            </w:r>
          </w:p>
          <w:p>
            <w:pPr>
              <w:pStyle w:val="13"/>
              <w:widowControl w:val="false"/>
              <w:rPr>
                <w:i/>
                <w:i/>
                <w:iCs/>
              </w:rPr>
            </w:pPr>
            <w:r>
              <w:rPr>
                <w:b w:val="false"/>
              </w:rPr>
              <w:t>сдачи-приемки технической и иной документации</w:t>
            </w:r>
          </w:p>
          <w:p>
            <w:pPr>
              <w:pStyle w:val="Normal"/>
              <w:widowControl w:val="false"/>
              <w:spacing w:lineRule="auto" w:line="240"/>
              <w:rPr/>
            </w:pPr>
            <w:r>
              <w:rPr/>
            </w:r>
          </w:p>
          <w:p>
            <w:pPr>
              <w:pStyle w:val="Normal"/>
              <w:widowControl w:val="false"/>
              <w:spacing w:lineRule="auto" w:line="240"/>
              <w:ind w:hanging="0"/>
              <w:rPr>
                <w:sz w:val="22"/>
                <w:szCs w:val="22"/>
              </w:rPr>
            </w:pPr>
            <w:r>
              <w:rPr>
                <w:sz w:val="22"/>
                <w:szCs w:val="22"/>
              </w:rPr>
              <w:t>г.___________                                                                                               «_____» _________20_г.</w:t>
            </w:r>
          </w:p>
          <w:p>
            <w:pPr>
              <w:pStyle w:val="Normal"/>
              <w:widowControl w:val="false"/>
              <w:spacing w:lineRule="auto" w:line="24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 ______ от _____________:</w:t>
            </w:r>
          </w:p>
          <w:p>
            <w:pPr>
              <w:pStyle w:val="Normal"/>
              <w:widowControl w:val="false"/>
              <w:spacing w:lineRule="auto" w:line="240"/>
              <w:ind w:hanging="0"/>
              <w:rPr>
                <w:bCs/>
                <w:sz w:val="22"/>
                <w:szCs w:val="22"/>
              </w:rPr>
            </w:pPr>
            <w:r>
              <w:rPr>
                <w:bCs/>
                <w:sz w:val="22"/>
                <w:szCs w:val="22"/>
              </w:rPr>
              <w:t xml:space="preserve">__________________________________________________________________________ </w:t>
            </w:r>
          </w:p>
          <w:p>
            <w:pPr>
              <w:pStyle w:val="Normal"/>
              <w:widowControl w:val="false"/>
              <w:spacing w:lineRule="auto" w:line="240"/>
              <w:ind w:hanging="0"/>
              <w:rPr>
                <w:bCs/>
                <w:sz w:val="22"/>
                <w:szCs w:val="22"/>
              </w:rPr>
            </w:pPr>
            <w:r>
              <w:rPr>
                <w:bCs/>
                <w:sz w:val="22"/>
                <w:szCs w:val="22"/>
              </w:rPr>
              <w:t>__________________________________________________________________________</w:t>
            </w:r>
          </w:p>
          <w:p>
            <w:pPr>
              <w:pStyle w:val="Normal"/>
              <w:widowControl w:val="false"/>
              <w:spacing w:lineRule="auto" w:line="240"/>
              <w:ind w:hanging="0"/>
              <w:rPr>
                <w:bCs/>
                <w:sz w:val="22"/>
                <w:szCs w:val="22"/>
              </w:rPr>
            </w:pPr>
            <w:r>
              <w:rPr>
                <w:bCs/>
                <w:sz w:val="22"/>
                <w:szCs w:val="22"/>
              </w:rPr>
              <w:t>__________________________________________________________________________</w:t>
            </w:r>
          </w:p>
          <w:p>
            <w:pPr>
              <w:pStyle w:val="Normal"/>
              <w:widowControl w:val="false"/>
              <w:spacing w:lineRule="auto" w:line="240"/>
              <w:ind w:hanging="0"/>
              <w:rPr>
                <w:sz w:val="20"/>
                <w:szCs w:val="20"/>
              </w:rPr>
            </w:pPr>
            <w:r>
              <w:rPr>
                <w:sz w:val="20"/>
                <w:szCs w:val="20"/>
              </w:rPr>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2"/>
                <w:szCs w:val="22"/>
              </w:rPr>
            </w:pPr>
            <w:r>
              <w:rPr>
                <w:sz w:val="22"/>
                <w:szCs w:val="22"/>
              </w:rPr>
            </w:r>
          </w:p>
          <w:tbl>
            <w:tblPr>
              <w:tblW w:w="931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4"/>
              <w:gridCol w:w="4669"/>
            </w:tblGrid>
            <w:tr>
              <w:trPr/>
              <w:tc>
                <w:tcPr>
                  <w:tcW w:w="4644" w:type="dxa"/>
                  <w:tcBorders/>
                </w:tcPr>
                <w:p>
                  <w:pPr>
                    <w:pStyle w:val="Normal"/>
                    <w:widowControl w:val="false"/>
                    <w:spacing w:lineRule="auto" w:line="240"/>
                    <w:ind w:hanging="0"/>
                    <w:rPr>
                      <w:bCs/>
                      <w:sz w:val="24"/>
                      <w:szCs w:val="24"/>
                    </w:rPr>
                  </w:pPr>
                  <w:r>
                    <w:rPr>
                      <w:bCs/>
                      <w:sz w:val="24"/>
                      <w:szCs w:val="24"/>
                    </w:rPr>
                    <w:t>Заказчик:</w:t>
                  </w:r>
                </w:p>
              </w:tc>
              <w:tc>
                <w:tcPr>
                  <w:tcW w:w="4669" w:type="dxa"/>
                  <w:tcBorders/>
                </w:tcPr>
                <w:p>
                  <w:pPr>
                    <w:pStyle w:val="Normal"/>
                    <w:widowControl w:val="false"/>
                    <w:spacing w:lineRule="auto" w:line="240"/>
                    <w:ind w:hanging="0"/>
                    <w:rPr>
                      <w:bCs/>
                      <w:sz w:val="24"/>
                      <w:szCs w:val="24"/>
                    </w:rPr>
                  </w:pPr>
                  <w:r>
                    <w:rPr>
                      <w:bCs/>
                      <w:sz w:val="24"/>
                      <w:szCs w:val="24"/>
                    </w:rPr>
                    <w:t>Подрядчик:</w:t>
                  </w:r>
                </w:p>
              </w:tc>
            </w:tr>
            <w:tr>
              <w:trPr/>
              <w:tc>
                <w:tcPr>
                  <w:tcW w:w="4644"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4"/>
                      <w:szCs w:val="24"/>
                    </w:rPr>
                  </w:pPr>
                  <w:r>
                    <w:rPr>
                      <w:sz w:val="24"/>
                      <w:szCs w:val="24"/>
                    </w:rPr>
                    <w:t>____________________/________/</w:t>
                  </w:r>
                </w:p>
                <w:p>
                  <w:pPr>
                    <w:pStyle w:val="Normal"/>
                    <w:widowControl w:val="false"/>
                    <w:spacing w:lineRule="auto" w:line="240"/>
                    <w:ind w:hanging="0"/>
                    <w:rPr>
                      <w:sz w:val="22"/>
                      <w:szCs w:val="22"/>
                    </w:rPr>
                  </w:pPr>
                  <w:r>
                    <w:rPr>
                      <w:sz w:val="22"/>
                      <w:szCs w:val="22"/>
                    </w:rPr>
                  </w:r>
                </w:p>
              </w:tc>
              <w:tc>
                <w:tcPr>
                  <w:tcW w:w="4669"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4"/>
                      <w:szCs w:val="24"/>
                    </w:rPr>
                    <w:t>____________________/_________/</w:t>
                  </w:r>
                </w:p>
              </w:tc>
            </w:tr>
          </w:tbl>
          <w:p>
            <w:pPr>
              <w:pStyle w:val="13"/>
              <w:widowControl w:val="false"/>
              <w:jc w:val="left"/>
              <w:rPr>
                <w:i/>
                <w:i/>
                <w:iCs/>
              </w:rPr>
            </w:pPr>
            <w:r>
              <w:rPr>
                <w:i/>
                <w:iCs/>
              </w:rPr>
            </w:r>
          </w:p>
          <w:p>
            <w:pPr>
              <w:pStyle w:val="13"/>
              <w:widowControl w:val="false"/>
              <w:spacing w:before="0" w:after="120"/>
              <w:jc w:val="left"/>
              <w:rPr>
                <w:i/>
                <w:i/>
                <w:iCs/>
              </w:rPr>
            </w:pPr>
            <w:r>
              <w:rPr>
                <w:i/>
                <w:iCs/>
              </w:rPr>
            </w:r>
          </w:p>
        </w:tc>
      </w:tr>
    </w:tbl>
    <w:p>
      <w:pPr>
        <w:pStyle w:val="13"/>
        <w:jc w:val="left"/>
        <w:rPr>
          <w:i/>
          <w:i/>
          <w:iCs/>
        </w:rPr>
      </w:pPr>
      <w:r>
        <w:rPr>
          <w:i/>
          <w:iCs/>
        </w:rPr>
      </w:r>
    </w:p>
    <w:p>
      <w:pPr>
        <w:pStyle w:val="13"/>
        <w:jc w:val="left"/>
        <w:rPr>
          <w:i/>
          <w:i/>
          <w:iCs/>
        </w:rPr>
      </w:pPr>
      <w:r>
        <w:rPr>
          <w:i/>
          <w:iCs/>
        </w:rPr>
      </w:r>
    </w:p>
    <w:tbl>
      <w:tblPr>
        <w:tblW w:w="992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533"/>
        <w:gridCol w:w="4389"/>
      </w:tblGrid>
      <w:tr>
        <w:trPr>
          <w:trHeight w:val="1380" w:hRule="atLeast"/>
        </w:trPr>
        <w:tc>
          <w:tcPr>
            <w:tcW w:w="5533" w:type="dxa"/>
            <w:tcBorders/>
            <w:shd w:color="auto" w:fill="auto" w:val="clear"/>
          </w:tcPr>
          <w:p>
            <w:pPr>
              <w:pStyle w:val="Normal"/>
              <w:widowControl w:val="false"/>
              <w:spacing w:lineRule="auto" w:line="240"/>
              <w:ind w:hanging="0"/>
              <w:rPr>
                <w:b/>
                <w:sz w:val="24"/>
              </w:rPr>
            </w:pPr>
            <w:r>
              <w:rPr>
                <w:b/>
                <w:sz w:val="24"/>
              </w:rPr>
              <w:t xml:space="preserve">         </w:t>
            </w:r>
            <w:r>
              <w:rPr>
                <w:b/>
                <w:sz w:val="24"/>
              </w:rPr>
              <w:t>От Заказчика:</w:t>
            </w:r>
          </w:p>
          <w:p>
            <w:pPr>
              <w:pStyle w:val="Normal"/>
              <w:widowControl w:val="false"/>
              <w:rPr>
                <w:color w:val="000000"/>
                <w:sz w:val="24"/>
                <w:szCs w:val="24"/>
              </w:rPr>
            </w:pPr>
            <w:r>
              <w:rPr>
                <w:color w:val="000000"/>
                <w:sz w:val="24"/>
                <w:szCs w:val="24"/>
              </w:rPr>
            </w:r>
          </w:p>
        </w:tc>
        <w:tc>
          <w:tcPr>
            <w:tcW w:w="4389" w:type="dxa"/>
            <w:tcBorders/>
            <w:shd w:color="auto" w:fill="auto" w:val="clear"/>
          </w:tcPr>
          <w:p>
            <w:pPr>
              <w:pStyle w:val="Normal"/>
              <w:widowControl w:val="false"/>
              <w:spacing w:lineRule="auto" w:line="240"/>
              <w:ind w:hanging="0"/>
              <w:rPr>
                <w:b/>
                <w:sz w:val="24"/>
                <w:szCs w:val="24"/>
              </w:rPr>
            </w:pPr>
            <w:r>
              <w:rPr>
                <w:b/>
                <w:sz w:val="24"/>
                <w:szCs w:val="24"/>
              </w:rPr>
              <w:t xml:space="preserve">         </w:t>
            </w:r>
            <w:r>
              <w:rPr>
                <w:b/>
                <w:sz w:val="24"/>
                <w:szCs w:val="24"/>
              </w:rPr>
              <w:t>От Подрядчика:</w:t>
            </w:r>
          </w:p>
          <w:p>
            <w:pPr>
              <w:pStyle w:val="Normal"/>
              <w:widowControl w:val="false"/>
              <w:rPr>
                <w:color w:val="000000"/>
                <w:sz w:val="24"/>
                <w:szCs w:val="24"/>
              </w:rPr>
            </w:pPr>
            <w:r>
              <w:rPr>
                <w:color w:val="000000"/>
                <w:sz w:val="24"/>
                <w:szCs w:val="24"/>
              </w:rPr>
            </w:r>
          </w:p>
        </w:tc>
      </w:tr>
    </w:tbl>
    <w:p>
      <w:pPr>
        <w:pStyle w:val="Normal"/>
        <w:spacing w:lineRule="auto" w:line="240"/>
        <w:ind w:hanging="0"/>
        <w:rPr>
          <w:sz w:val="22"/>
          <w:szCs w:val="22"/>
        </w:rPr>
      </w:pPr>
      <w:r>
        <w:rPr>
          <w:sz w:val="22"/>
          <w:szCs w:val="22"/>
          <w:highlight w:val="lightGray"/>
        </w:rPr>
        <w:t xml:space="preserve"> </w:t>
      </w:r>
      <w:r>
        <w:br w:type="page"/>
      </w:r>
    </w:p>
    <w:p>
      <w:pPr>
        <w:pStyle w:val="Normal"/>
        <w:spacing w:lineRule="auto" w:line="240"/>
        <w:ind w:left="4820" w:hanging="0"/>
        <w:jc w:val="right"/>
        <w:rPr>
          <w:sz w:val="22"/>
          <w:szCs w:val="22"/>
        </w:rPr>
      </w:pPr>
      <w:r>
        <w:rPr>
          <w:sz w:val="22"/>
          <w:szCs w:val="22"/>
        </w:rPr>
        <w:t>Приложение № 5</w:t>
      </w:r>
    </w:p>
    <w:p>
      <w:pPr>
        <w:pStyle w:val="Normal"/>
        <w:spacing w:lineRule="auto" w:line="240"/>
        <w:ind w:left="720" w:firstLine="4820"/>
        <w:jc w:val="right"/>
        <w:rPr>
          <w:sz w:val="22"/>
          <w:szCs w:val="22"/>
        </w:rPr>
      </w:pPr>
      <w:r>
        <w:rPr>
          <w:sz w:val="22"/>
          <w:szCs w:val="22"/>
        </w:rPr>
        <w:t>к Договору подряда</w:t>
      </w:r>
    </w:p>
    <w:p>
      <w:pPr>
        <w:pStyle w:val="Normal"/>
        <w:spacing w:lineRule="auto" w:line="240"/>
        <w:ind w:left="720" w:firstLine="4820"/>
        <w:jc w:val="right"/>
        <w:rPr>
          <w:sz w:val="22"/>
          <w:szCs w:val="22"/>
        </w:rPr>
      </w:pPr>
      <w:r>
        <w:rPr>
          <w:sz w:val="22"/>
          <w:szCs w:val="22"/>
        </w:rPr>
        <w:t>от «____» __________ 2026 г. № </w:t>
      </w:r>
      <w:r>
        <w:rPr>
          <w:color w:val="000000"/>
          <w:sz w:val="22"/>
          <w:szCs w:val="22"/>
        </w:rPr>
        <w:t xml:space="preserve"> __________</w:t>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tbl>
      <w:tblPr>
        <w:tblW w:w="5000" w:type="pct"/>
        <w:jc w:val="left"/>
        <w:tblInd w:w="-289" w:type="dxa"/>
        <w:tblLayout w:type="fixed"/>
        <w:tblCellMar>
          <w:top w:w="0" w:type="dxa"/>
          <w:left w:w="108" w:type="dxa"/>
          <w:bottom w:w="0" w:type="dxa"/>
          <w:right w:w="108" w:type="dxa"/>
        </w:tblCellMar>
        <w:tblLook w:val="04a0" w:noHBand="0" w:noVBand="1" w:firstColumn="1" w:lastRow="0" w:lastColumn="0" w:firstRow="1"/>
      </w:tblPr>
      <w:tblGrid>
        <w:gridCol w:w="398"/>
        <w:gridCol w:w="1652"/>
        <w:gridCol w:w="1509"/>
        <w:gridCol w:w="1931"/>
        <w:gridCol w:w="1140"/>
        <w:gridCol w:w="1020"/>
        <w:gridCol w:w="2270"/>
      </w:tblGrid>
      <w:tr>
        <w:trPr>
          <w:trHeight w:val="2142" w:hRule="atLeast"/>
        </w:trPr>
        <w:tc>
          <w:tcPr>
            <w:tcW w:w="3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5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9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22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1108" w:hRule="atLeast"/>
        </w:trPr>
        <w:tc>
          <w:tcPr>
            <w:tcW w:w="3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left"/>
              <w:rPr>
                <w:b/>
                <w:sz w:val="24"/>
              </w:rPr>
            </w:pPr>
            <w:r>
              <w:rPr>
                <w:b/>
                <w:sz w:val="24"/>
              </w:rPr>
            </w:r>
          </w:p>
        </w:tc>
        <w:tc>
          <w:tcPr>
            <w:tcW w:w="15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left"/>
              <w:rPr>
                <w:b/>
                <w:sz w:val="24"/>
              </w:rPr>
            </w:pPr>
            <w:r>
              <w:rPr>
                <w:b/>
                <w:sz w:val="24"/>
              </w:rPr>
            </w:r>
          </w:p>
        </w:tc>
        <w:tc>
          <w:tcPr>
            <w:tcW w:w="19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left"/>
              <w:rPr>
                <w:b/>
                <w:sz w:val="24"/>
              </w:rPr>
            </w:pPr>
            <w:r>
              <w:rPr>
                <w:b/>
                <w:sz w:val="24"/>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left"/>
              <w:rPr>
                <w:b/>
                <w:sz w:val="24"/>
              </w:rPr>
            </w:pPr>
            <w:r>
              <w:rPr>
                <w:b/>
                <w:sz w:val="24"/>
              </w:rPr>
            </w:r>
          </w:p>
        </w:tc>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left"/>
              <w:rPr>
                <w:b/>
                <w:sz w:val="24"/>
              </w:rPr>
            </w:pPr>
            <w:r>
              <w:rPr>
                <w:b/>
                <w:sz w:val="24"/>
              </w:rPr>
            </w:r>
          </w:p>
        </w:tc>
        <w:tc>
          <w:tcPr>
            <w:tcW w:w="22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left"/>
              <w:rPr>
                <w:b/>
                <w:sz w:val="24"/>
              </w:rPr>
            </w:pPr>
            <w:r>
              <w:rPr>
                <w:b/>
                <w:sz w:val="24"/>
              </w:rPr>
            </w:r>
          </w:p>
        </w:tc>
      </w:tr>
      <w:tr>
        <w:trPr>
          <w:trHeight w:val="1584" w:hRule="atLeast"/>
        </w:trPr>
        <w:tc>
          <w:tcPr>
            <w:tcW w:w="398" w:type="dxa"/>
            <w:tcBorders>
              <w:left w:val="single" w:sz="4" w:space="0" w:color="000000"/>
              <w:bottom w:val="single" w:sz="4" w:space="0" w:color="000000"/>
              <w:right w:val="single" w:sz="4" w:space="0" w:color="000000"/>
            </w:tcBorders>
          </w:tcPr>
          <w:p>
            <w:pPr>
              <w:pStyle w:val="Normal"/>
              <w:widowControl w:val="false"/>
              <w:spacing w:lineRule="auto" w:line="240"/>
              <w:ind w:hanging="0"/>
              <w:jc w:val="center"/>
              <w:rPr>
                <w:b/>
                <w:sz w:val="24"/>
              </w:rPr>
            </w:pPr>
            <w:r>
              <w:rPr>
                <w:b/>
                <w:sz w:val="24"/>
              </w:rPr>
            </w:r>
          </w:p>
        </w:tc>
        <w:tc>
          <w:tcPr>
            <w:tcW w:w="1652" w:type="dxa"/>
            <w:tcBorders>
              <w:left w:val="single" w:sz="4" w:space="0" w:color="000000"/>
              <w:bottom w:val="single" w:sz="4" w:space="0" w:color="000000"/>
              <w:right w:val="single" w:sz="4" w:space="0" w:color="000000"/>
            </w:tcBorders>
          </w:tcPr>
          <w:p>
            <w:pPr>
              <w:pStyle w:val="Normal"/>
              <w:widowControl w:val="false"/>
              <w:spacing w:lineRule="auto" w:line="240"/>
              <w:ind w:hanging="0"/>
              <w:jc w:val="left"/>
              <w:rPr>
                <w:b/>
                <w:sz w:val="24"/>
              </w:rPr>
            </w:pPr>
            <w:r>
              <w:rPr>
                <w:b/>
                <w:sz w:val="24"/>
              </w:rPr>
            </w:r>
          </w:p>
        </w:tc>
        <w:tc>
          <w:tcPr>
            <w:tcW w:w="1509" w:type="dxa"/>
            <w:tcBorders>
              <w:left w:val="single" w:sz="4" w:space="0" w:color="000000"/>
              <w:bottom w:val="single" w:sz="4" w:space="0" w:color="000000"/>
              <w:right w:val="single" w:sz="4" w:space="0" w:color="000000"/>
            </w:tcBorders>
          </w:tcPr>
          <w:p>
            <w:pPr>
              <w:pStyle w:val="Normal"/>
              <w:widowControl w:val="false"/>
              <w:spacing w:lineRule="auto" w:line="240"/>
              <w:ind w:hanging="0"/>
              <w:jc w:val="left"/>
              <w:rPr>
                <w:b/>
                <w:sz w:val="24"/>
              </w:rPr>
            </w:pPr>
            <w:r>
              <w:rPr>
                <w:b/>
                <w:sz w:val="24"/>
              </w:rPr>
            </w:r>
          </w:p>
        </w:tc>
        <w:tc>
          <w:tcPr>
            <w:tcW w:w="1931" w:type="dxa"/>
            <w:tcBorders>
              <w:left w:val="single" w:sz="4" w:space="0" w:color="000000"/>
              <w:bottom w:val="single" w:sz="4" w:space="0" w:color="000000"/>
              <w:right w:val="single" w:sz="4" w:space="0" w:color="000000"/>
            </w:tcBorders>
          </w:tcPr>
          <w:p>
            <w:pPr>
              <w:pStyle w:val="Normal"/>
              <w:widowControl w:val="false"/>
              <w:spacing w:lineRule="auto" w:line="240"/>
              <w:ind w:hanging="0"/>
              <w:jc w:val="left"/>
              <w:rPr>
                <w:b/>
                <w:sz w:val="24"/>
              </w:rPr>
            </w:pPr>
            <w:r>
              <w:rPr>
                <w:b/>
                <w:sz w:val="24"/>
              </w:rPr>
            </w:r>
          </w:p>
        </w:tc>
        <w:tc>
          <w:tcPr>
            <w:tcW w:w="1140" w:type="dxa"/>
            <w:tcBorders>
              <w:left w:val="single" w:sz="4" w:space="0" w:color="000000"/>
              <w:bottom w:val="single" w:sz="4" w:space="0" w:color="000000"/>
              <w:right w:val="single" w:sz="4" w:space="0" w:color="000000"/>
            </w:tcBorders>
          </w:tcPr>
          <w:p>
            <w:pPr>
              <w:pStyle w:val="Normal"/>
              <w:widowControl w:val="false"/>
              <w:spacing w:lineRule="auto" w:line="240"/>
              <w:ind w:hanging="0"/>
              <w:jc w:val="left"/>
              <w:rPr>
                <w:b/>
                <w:sz w:val="24"/>
              </w:rPr>
            </w:pPr>
            <w:r>
              <w:rPr>
                <w:b/>
                <w:sz w:val="24"/>
              </w:rPr>
            </w:r>
          </w:p>
        </w:tc>
        <w:tc>
          <w:tcPr>
            <w:tcW w:w="1020" w:type="dxa"/>
            <w:tcBorders>
              <w:left w:val="single" w:sz="4" w:space="0" w:color="000000"/>
              <w:bottom w:val="single" w:sz="4" w:space="0" w:color="000000"/>
              <w:right w:val="single" w:sz="4" w:space="0" w:color="000000"/>
            </w:tcBorders>
          </w:tcPr>
          <w:p>
            <w:pPr>
              <w:pStyle w:val="Normal"/>
              <w:widowControl w:val="false"/>
              <w:spacing w:lineRule="auto" w:line="240"/>
              <w:ind w:hanging="0"/>
              <w:jc w:val="left"/>
              <w:rPr>
                <w:b/>
                <w:sz w:val="24"/>
              </w:rPr>
            </w:pPr>
            <w:r>
              <w:rPr>
                <w:b/>
                <w:sz w:val="24"/>
              </w:rPr>
            </w:r>
          </w:p>
        </w:tc>
        <w:tc>
          <w:tcPr>
            <w:tcW w:w="2270" w:type="dxa"/>
            <w:tcBorders>
              <w:left w:val="single" w:sz="4" w:space="0" w:color="000000"/>
              <w:bottom w:val="single" w:sz="4" w:space="0" w:color="000000"/>
              <w:right w:val="single" w:sz="4" w:space="0" w:color="000000"/>
            </w:tcBorders>
          </w:tcPr>
          <w:p>
            <w:pPr>
              <w:pStyle w:val="Normal"/>
              <w:widowControl w:val="false"/>
              <w:spacing w:lineRule="auto" w:line="240"/>
              <w:ind w:hanging="0"/>
              <w:jc w:val="center"/>
              <w:rPr>
                <w:b/>
                <w:sz w:val="24"/>
              </w:rPr>
            </w:pPr>
            <w:r>
              <w:rPr>
                <w:b/>
                <w:sz w:val="24"/>
              </w:rPr>
            </w:r>
          </w:p>
        </w:tc>
      </w:tr>
    </w:tbl>
    <w:p>
      <w:pPr>
        <w:pStyle w:val="Normal"/>
        <w:spacing w:lineRule="auto" w:line="240"/>
        <w:jc w:val="center"/>
        <w:rPr>
          <w:b/>
          <w:bCs/>
        </w:rPr>
      </w:pPr>
      <w:r>
        <w:rPr>
          <w:b/>
          <w:bCs/>
        </w:rPr>
      </w:r>
    </w:p>
    <w:tbl>
      <w:tblPr>
        <w:tblW w:w="992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533"/>
        <w:gridCol w:w="4389"/>
      </w:tblGrid>
      <w:tr>
        <w:trPr>
          <w:trHeight w:val="1380" w:hRule="atLeast"/>
        </w:trPr>
        <w:tc>
          <w:tcPr>
            <w:tcW w:w="5533" w:type="dxa"/>
            <w:tcBorders/>
            <w:shd w:color="auto" w:fill="auto" w:val="clear"/>
          </w:tcPr>
          <w:p>
            <w:pPr>
              <w:pStyle w:val="Normal"/>
              <w:widowControl w:val="false"/>
              <w:spacing w:lineRule="auto" w:line="240"/>
              <w:ind w:hanging="0"/>
              <w:rPr>
                <w:b/>
                <w:sz w:val="24"/>
              </w:rPr>
            </w:pPr>
            <w:r>
              <w:rPr>
                <w:b/>
                <w:sz w:val="24"/>
              </w:rPr>
              <w:t xml:space="preserve">         </w:t>
            </w:r>
            <w:r>
              <w:rPr>
                <w:b/>
                <w:sz w:val="24"/>
              </w:rPr>
              <w:t>От Заказчика:</w:t>
            </w:r>
          </w:p>
          <w:p>
            <w:pPr>
              <w:pStyle w:val="Normal"/>
              <w:widowControl w:val="false"/>
              <w:rPr>
                <w:color w:val="000000"/>
                <w:sz w:val="24"/>
                <w:szCs w:val="24"/>
              </w:rPr>
            </w:pPr>
            <w:r>
              <w:rPr>
                <w:color w:val="000000"/>
                <w:sz w:val="24"/>
                <w:szCs w:val="24"/>
              </w:rPr>
            </w:r>
          </w:p>
        </w:tc>
        <w:tc>
          <w:tcPr>
            <w:tcW w:w="4389" w:type="dxa"/>
            <w:tcBorders/>
            <w:shd w:color="auto" w:fill="auto" w:val="clear"/>
          </w:tcPr>
          <w:p>
            <w:pPr>
              <w:pStyle w:val="Normal"/>
              <w:widowControl w:val="false"/>
              <w:spacing w:lineRule="auto" w:line="240"/>
              <w:ind w:hanging="0"/>
              <w:rPr>
                <w:b/>
                <w:sz w:val="24"/>
                <w:szCs w:val="24"/>
              </w:rPr>
            </w:pPr>
            <w:r>
              <w:rPr>
                <w:b/>
                <w:sz w:val="24"/>
                <w:szCs w:val="24"/>
              </w:rPr>
              <w:t xml:space="preserve">         </w:t>
            </w:r>
            <w:r>
              <w:rPr>
                <w:b/>
                <w:sz w:val="24"/>
                <w:szCs w:val="24"/>
              </w:rPr>
              <w:t>От Подрядчика:</w:t>
            </w:r>
          </w:p>
          <w:p>
            <w:pPr>
              <w:pStyle w:val="Normal"/>
              <w:widowControl w:val="false"/>
              <w:rPr>
                <w:color w:val="000000"/>
                <w:sz w:val="24"/>
                <w:szCs w:val="24"/>
              </w:rPr>
            </w:pPr>
            <w:r>
              <w:rPr>
                <w:color w:val="000000"/>
                <w:sz w:val="24"/>
                <w:szCs w:val="24"/>
              </w:rPr>
            </w:r>
          </w:p>
        </w:tc>
      </w:tr>
    </w:tbl>
    <w:p>
      <w:pPr>
        <w:sectPr>
          <w:headerReference w:type="default" r:id="rId18"/>
          <w:headerReference w:type="first" r:id="rId19"/>
          <w:footnotePr>
            <w:numFmt w:val="decimal"/>
          </w:footnotePr>
          <w:type w:val="nextPage"/>
          <w:pgSz w:w="11906" w:h="16838"/>
          <w:pgMar w:left="1134" w:right="851" w:gutter="0" w:header="567" w:top="1276" w:footer="0" w:bottom="1752"/>
          <w:pgNumType w:fmt="decimal"/>
          <w:formProt w:val="false"/>
          <w:textDirection w:val="lrTb"/>
          <w:docGrid w:type="default" w:linePitch="360" w:charSpace="0"/>
        </w:sectPr>
      </w:pPr>
    </w:p>
    <w:p>
      <w:pPr>
        <w:pStyle w:val="Normal"/>
        <w:spacing w:lineRule="auto" w:line="240"/>
        <w:ind w:firstLine="4820"/>
        <w:jc w:val="right"/>
        <w:rPr>
          <w:sz w:val="22"/>
          <w:szCs w:val="22"/>
        </w:rPr>
      </w:pPr>
      <w:r>
        <w:rPr>
          <w:sz w:val="22"/>
          <w:szCs w:val="22"/>
        </w:rPr>
        <w:t>Приложение № 6</w:t>
      </w:r>
    </w:p>
    <w:p>
      <w:pPr>
        <w:pStyle w:val="Normal"/>
        <w:spacing w:lineRule="auto" w:line="240"/>
        <w:ind w:left="720" w:firstLine="4820"/>
        <w:jc w:val="right"/>
        <w:rPr>
          <w:sz w:val="22"/>
          <w:szCs w:val="22"/>
        </w:rPr>
      </w:pPr>
      <w:r>
        <w:rPr>
          <w:sz w:val="22"/>
          <w:szCs w:val="22"/>
        </w:rPr>
        <w:t>к Договору подряда</w:t>
      </w:r>
    </w:p>
    <w:p>
      <w:pPr>
        <w:pStyle w:val="Normal"/>
        <w:spacing w:lineRule="auto" w:line="240"/>
        <w:ind w:left="720" w:firstLine="4820"/>
        <w:jc w:val="right"/>
        <w:rPr>
          <w:sz w:val="22"/>
          <w:szCs w:val="22"/>
        </w:rPr>
      </w:pPr>
      <w:r>
        <w:rPr>
          <w:bCs/>
          <w:color w:val="000000"/>
          <w:sz w:val="22"/>
          <w:szCs w:val="22"/>
        </w:rPr>
        <w:t>от «____» __________ 2026 г. №  __________</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5000" w:type="pct"/>
        <w:jc w:val="left"/>
        <w:tblInd w:w="-35" w:type="dxa"/>
        <w:tblLayout w:type="fixed"/>
        <w:tblCellMar>
          <w:top w:w="0" w:type="dxa"/>
          <w:left w:w="108" w:type="dxa"/>
          <w:bottom w:w="0" w:type="dxa"/>
          <w:right w:w="108" w:type="dxa"/>
        </w:tblCellMar>
        <w:tblLook w:val="01e0" w:noHBand="0" w:noVBand="0" w:firstColumn="1" w:lastRow="1" w:lastColumn="1" w:firstRow="1"/>
      </w:tblPr>
      <w:tblGrid>
        <w:gridCol w:w="3670"/>
        <w:gridCol w:w="6250"/>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Виды нарушений</w:t>
            </w:r>
          </w:p>
        </w:tc>
        <w:tc>
          <w:tcPr>
            <w:tcW w:w="6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1. Нарушение правил пожарной безопасности (ППБ):</w:t>
            </w:r>
          </w:p>
        </w:tc>
        <w:tc>
          <w:tcPr>
            <w:tcW w:w="6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6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25 000 (двадцать пять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6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6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6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tbl>
      <w:tblPr>
        <w:tblW w:w="963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49"/>
        <w:gridCol w:w="4387"/>
      </w:tblGrid>
      <w:tr>
        <w:trPr>
          <w:trHeight w:val="1380" w:hRule="atLeast"/>
        </w:trPr>
        <w:tc>
          <w:tcPr>
            <w:tcW w:w="5249" w:type="dxa"/>
            <w:tcBorders/>
            <w:shd w:color="auto" w:fill="auto" w:val="clear"/>
          </w:tcPr>
          <w:p>
            <w:pPr>
              <w:pStyle w:val="Normal"/>
              <w:widowControl w:val="false"/>
              <w:spacing w:lineRule="auto" w:line="240"/>
              <w:ind w:hanging="0"/>
              <w:rPr>
                <w:b/>
                <w:sz w:val="24"/>
              </w:rPr>
            </w:pPr>
            <w:r>
              <w:rPr>
                <w:b/>
                <w:sz w:val="24"/>
              </w:rPr>
              <w:t xml:space="preserve">         </w:t>
            </w:r>
            <w:r>
              <w:rPr>
                <w:b/>
                <w:sz w:val="24"/>
              </w:rPr>
              <w:t>От Заказчика:</w:t>
            </w:r>
          </w:p>
          <w:p>
            <w:pPr>
              <w:pStyle w:val="Normal"/>
              <w:widowControl w:val="false"/>
              <w:rPr>
                <w:color w:val="000000"/>
                <w:sz w:val="24"/>
                <w:szCs w:val="24"/>
              </w:rPr>
            </w:pPr>
            <w:r>
              <w:rPr>
                <w:color w:val="000000"/>
                <w:sz w:val="24"/>
                <w:szCs w:val="24"/>
              </w:rPr>
            </w:r>
          </w:p>
        </w:tc>
        <w:tc>
          <w:tcPr>
            <w:tcW w:w="4387" w:type="dxa"/>
            <w:tcBorders/>
            <w:shd w:color="auto" w:fill="auto" w:val="clear"/>
          </w:tcPr>
          <w:p>
            <w:pPr>
              <w:pStyle w:val="Normal"/>
              <w:widowControl w:val="false"/>
              <w:spacing w:lineRule="auto" w:line="240"/>
              <w:ind w:hanging="0"/>
              <w:rPr>
                <w:b/>
                <w:sz w:val="24"/>
                <w:szCs w:val="24"/>
              </w:rPr>
            </w:pPr>
            <w:r>
              <w:rPr>
                <w:b/>
                <w:sz w:val="24"/>
                <w:szCs w:val="24"/>
              </w:rPr>
              <w:t xml:space="preserve">         </w:t>
            </w:r>
            <w:r>
              <w:rPr>
                <w:b/>
                <w:sz w:val="24"/>
                <w:szCs w:val="24"/>
              </w:rPr>
              <w:t>От Подрядчика:</w:t>
            </w:r>
          </w:p>
          <w:p>
            <w:pPr>
              <w:pStyle w:val="Normal"/>
              <w:widowControl w:val="false"/>
              <w:rPr>
                <w:color w:val="000000"/>
                <w:sz w:val="24"/>
                <w:szCs w:val="24"/>
              </w:rPr>
            </w:pPr>
            <w:r>
              <w:rPr>
                <w:color w:val="000000"/>
                <w:sz w:val="24"/>
                <w:szCs w:val="24"/>
              </w:rPr>
            </w:r>
          </w:p>
        </w:tc>
      </w:tr>
    </w:tbl>
    <w:tbl>
      <w:tblPr>
        <w:tblpPr w:bottomFromText="0" w:horzAnchor="margin" w:leftFromText="180" w:rightFromText="180" w:tblpX="0" w:tblpXSpec="center" w:tblpY="-1122" w:topFromText="0" w:vertAnchor="text"/>
        <w:tblW w:w="1571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35"/>
        <w:gridCol w:w="808"/>
        <w:gridCol w:w="237"/>
        <w:gridCol w:w="236"/>
        <w:gridCol w:w="713"/>
        <w:gridCol w:w="483"/>
        <w:gridCol w:w="242"/>
        <w:gridCol w:w="873"/>
        <w:gridCol w:w="981"/>
        <w:gridCol w:w="235"/>
        <w:gridCol w:w="860"/>
        <w:gridCol w:w="801"/>
        <w:gridCol w:w="236"/>
        <w:gridCol w:w="237"/>
        <w:gridCol w:w="545"/>
        <w:gridCol w:w="697"/>
        <w:gridCol w:w="318"/>
        <w:gridCol w:w="235"/>
        <w:gridCol w:w="1205"/>
        <w:gridCol w:w="265"/>
        <w:gridCol w:w="469"/>
        <w:gridCol w:w="264"/>
        <w:gridCol w:w="452"/>
        <w:gridCol w:w="545"/>
        <w:gridCol w:w="236"/>
        <w:gridCol w:w="237"/>
        <w:gridCol w:w="239"/>
        <w:gridCol w:w="237"/>
        <w:gridCol w:w="1169"/>
        <w:gridCol w:w="239"/>
        <w:gridCol w:w="552"/>
        <w:gridCol w:w="404"/>
        <w:gridCol w:w="220"/>
      </w:tblGrid>
      <w:tr>
        <w:trPr>
          <w:trHeight w:val="238"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118" w:type="dxa"/>
            <w:gridSpan w:val="5"/>
            <w:tcBorders/>
            <w:shd w:color="auto" w:fill="auto" w:val="clear"/>
            <w:vAlign w:val="bottom"/>
          </w:tcPr>
          <w:p>
            <w:pPr>
              <w:pStyle w:val="Normal"/>
              <w:widowControl w:val="false"/>
              <w:spacing w:lineRule="auto" w:line="240"/>
              <w:ind w:hanging="0"/>
              <w:jc w:val="right"/>
              <w:rPr>
                <w:sz w:val="18"/>
                <w:szCs w:val="18"/>
              </w:rPr>
            </w:pPr>
            <w:r>
              <w:rPr>
                <w:sz w:val="18"/>
                <w:szCs w:val="18"/>
              </w:rPr>
            </w:r>
          </w:p>
          <w:p>
            <w:pPr>
              <w:pStyle w:val="Normal"/>
              <w:widowControl w:val="false"/>
              <w:spacing w:lineRule="auto" w:line="240"/>
              <w:ind w:hanging="0"/>
              <w:jc w:val="right"/>
              <w:rPr>
                <w:sz w:val="18"/>
                <w:szCs w:val="18"/>
              </w:rPr>
            </w:pPr>
            <w:r>
              <w:rPr>
                <w:sz w:val="18"/>
                <w:szCs w:val="18"/>
              </w:rPr>
              <w:t>Приложение № 7</w:t>
            </w:r>
          </w:p>
        </w:tc>
        <w:tc>
          <w:tcPr>
            <w:tcW w:w="239" w:type="dxa"/>
            <w:tcBorders/>
            <w:shd w:color="auto" w:fill="auto" w:val="clear"/>
            <w:vAlign w:val="bottom"/>
          </w:tcPr>
          <w:p>
            <w:pPr>
              <w:pStyle w:val="Normal"/>
              <w:widowControl w:val="false"/>
              <w:spacing w:lineRule="auto" w:line="240"/>
              <w:ind w:hanging="0"/>
              <w:jc w:val="right"/>
              <w:rPr>
                <w:sz w:val="18"/>
                <w:szCs w:val="18"/>
              </w:rPr>
            </w:pPr>
            <w:r>
              <w:rPr>
                <w:sz w:val="18"/>
                <w:szCs w:val="18"/>
              </w:rPr>
            </w:r>
          </w:p>
        </w:tc>
        <w:tc>
          <w:tcPr>
            <w:tcW w:w="5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0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38"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357" w:type="dxa"/>
            <w:gridSpan w:val="6"/>
            <w:tcBorders/>
            <w:shd w:color="auto" w:fill="auto" w:val="clear"/>
            <w:vAlign w:val="bottom"/>
          </w:tcPr>
          <w:p>
            <w:pPr>
              <w:pStyle w:val="Normal"/>
              <w:widowControl w:val="false"/>
              <w:spacing w:lineRule="auto" w:line="240"/>
              <w:ind w:hanging="0"/>
              <w:jc w:val="right"/>
              <w:rPr>
                <w:sz w:val="18"/>
                <w:szCs w:val="18"/>
              </w:rPr>
            </w:pPr>
            <w:r>
              <w:rPr>
                <w:sz w:val="18"/>
                <w:szCs w:val="18"/>
              </w:rPr>
              <w:t>к Договору подряда</w:t>
            </w:r>
          </w:p>
        </w:tc>
        <w:tc>
          <w:tcPr>
            <w:tcW w:w="552" w:type="dxa"/>
            <w:tcBorders/>
            <w:shd w:color="auto" w:fill="auto" w:val="clear"/>
            <w:vAlign w:val="bottom"/>
          </w:tcPr>
          <w:p>
            <w:pPr>
              <w:pStyle w:val="Normal"/>
              <w:widowControl w:val="false"/>
              <w:spacing w:lineRule="auto" w:line="240"/>
              <w:ind w:hanging="0"/>
              <w:jc w:val="left"/>
              <w:rPr>
                <w:sz w:val="18"/>
                <w:szCs w:val="18"/>
              </w:rPr>
            </w:pPr>
            <w:r>
              <w:rPr>
                <w:sz w:val="18"/>
                <w:szCs w:val="18"/>
              </w:rPr>
            </w:r>
          </w:p>
        </w:tc>
        <w:tc>
          <w:tcPr>
            <w:tcW w:w="40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38"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3313" w:type="dxa"/>
            <w:gridSpan w:val="8"/>
            <w:tcBorders/>
            <w:shd w:color="auto" w:fill="auto" w:val="clear"/>
            <w:vAlign w:val="bottom"/>
          </w:tcPr>
          <w:p>
            <w:pPr>
              <w:pStyle w:val="Normal"/>
              <w:widowControl w:val="false"/>
              <w:spacing w:lineRule="auto" w:line="240"/>
              <w:ind w:hanging="0"/>
              <w:jc w:val="right"/>
              <w:rPr>
                <w:sz w:val="18"/>
                <w:szCs w:val="18"/>
              </w:rPr>
            </w:pPr>
            <w:r>
              <w:rPr>
                <w:sz w:val="18"/>
                <w:szCs w:val="18"/>
              </w:rPr>
              <w:t xml:space="preserve"> № </w:t>
            </w:r>
            <w:r>
              <w:rPr>
                <w:sz w:val="18"/>
                <w:szCs w:val="18"/>
              </w:rPr>
              <w:t>_______от "__"_______20___</w:t>
            </w:r>
          </w:p>
        </w:tc>
        <w:tc>
          <w:tcPr>
            <w:tcW w:w="220" w:type="dxa"/>
            <w:tcBorders/>
            <w:shd w:color="auto" w:fill="auto" w:val="clear"/>
            <w:vAlign w:val="bottom"/>
          </w:tcPr>
          <w:p>
            <w:pPr>
              <w:pStyle w:val="Normal"/>
              <w:widowControl w:val="false"/>
              <w:spacing w:lineRule="auto" w:line="240"/>
              <w:ind w:hanging="0"/>
              <w:jc w:val="left"/>
              <w:rPr>
                <w:sz w:val="18"/>
                <w:szCs w:val="18"/>
              </w:rPr>
            </w:pPr>
            <w:r>
              <w:rPr>
                <w:sz w:val="18"/>
                <w:szCs w:val="18"/>
              </w:rPr>
            </w:r>
          </w:p>
        </w:tc>
      </w:tr>
      <w:tr>
        <w:trPr>
          <w:trHeight w:val="313"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892" w:type="dxa"/>
            <w:gridSpan w:val="21"/>
            <w:tcBorders/>
            <w:shd w:color="auto" w:fill="auto" w:val="clear"/>
            <w:vAlign w:val="bottom"/>
          </w:tcPr>
          <w:p>
            <w:pPr>
              <w:pStyle w:val="Normal"/>
              <w:widowControl w:val="false"/>
              <w:spacing w:lineRule="auto" w:line="240"/>
              <w:ind w:hanging="0"/>
              <w:jc w:val="center"/>
              <w:rPr>
                <w:b/>
                <w:bCs/>
                <w:sz w:val="24"/>
                <w:szCs w:val="24"/>
              </w:rPr>
            </w:pPr>
            <w:r>
              <w:rPr>
                <w:b/>
                <w:bCs/>
                <w:sz w:val="24"/>
                <w:szCs w:val="24"/>
              </w:rPr>
              <w:t>Акт освидетельствования выполненных работ (форма)</w:t>
            </w:r>
          </w:p>
        </w:tc>
        <w:tc>
          <w:tcPr>
            <w:tcW w:w="237" w:type="dxa"/>
            <w:tcBorders/>
            <w:shd w:color="auto" w:fill="auto" w:val="clear"/>
            <w:vAlign w:val="bottom"/>
          </w:tcPr>
          <w:p>
            <w:pPr>
              <w:pStyle w:val="Normal"/>
              <w:widowControl w:val="false"/>
              <w:spacing w:lineRule="auto" w:line="240"/>
              <w:ind w:hanging="0"/>
              <w:jc w:val="center"/>
              <w:rPr>
                <w:b/>
                <w:bCs/>
                <w:sz w:val="24"/>
                <w:szCs w:val="24"/>
              </w:rPr>
            </w:pPr>
            <w:r>
              <w:rPr>
                <w:b/>
                <w:bCs/>
                <w:sz w:val="24"/>
                <w:szCs w:val="24"/>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0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38" w:hRule="exac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0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13"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15" w:type="dxa"/>
            <w:gridSpan w:val="4"/>
            <w:tcBorders>
              <w:top w:val="single" w:sz="4" w:space="0" w:color="000000"/>
              <w:left w:val="single" w:sz="4" w:space="0" w:color="000000"/>
              <w:bottom w:val="single" w:sz="8"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Код</w:t>
            </w:r>
          </w:p>
        </w:tc>
      </w:tr>
      <w:tr>
        <w:trPr>
          <w:trHeight w:val="253" w:hRule="atLeast"/>
        </w:trPr>
        <w:tc>
          <w:tcPr>
            <w:tcW w:w="235"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118" w:type="dxa"/>
            <w:gridSpan w:val="5"/>
            <w:tcBorders>
              <w:right w:val="single" w:sz="8" w:space="0" w:color="000000"/>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1415" w:type="dxa"/>
            <w:gridSpan w:val="4"/>
            <w:tcBorders>
              <w:top w:val="single" w:sz="8" w:space="0" w:color="000000"/>
              <w:bottom w:val="single" w:sz="4"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r>
          </w:p>
        </w:tc>
      </w:tr>
      <w:tr>
        <w:trPr>
          <w:trHeight w:val="238" w:hRule="atLeast"/>
        </w:trPr>
        <w:tc>
          <w:tcPr>
            <w:tcW w:w="235"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15" w:type="dxa"/>
            <w:gridSpan w:val="4"/>
            <w:vMerge w:val="restart"/>
            <w:tcBorders>
              <w:top w:val="single" w:sz="4" w:space="0" w:color="000000"/>
              <w:left w:val="single" w:sz="8"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253" w:hRule="atLeast"/>
        </w:trPr>
        <w:tc>
          <w:tcPr>
            <w:tcW w:w="235"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994"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t xml:space="preserve">Заказчик </w:t>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172" w:type="dxa"/>
            <w:gridSpan w:val="21"/>
            <w:tcBorders>
              <w:bottom w:val="single" w:sz="4"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t xml:space="preserve"> </w:t>
            </w:r>
            <w:r>
              <w:rPr>
                <w:sz w:val="20"/>
                <w:szCs w:val="20"/>
              </w:rPr>
              <w:t xml:space="preserve">ОКПО </w:t>
            </w:r>
          </w:p>
        </w:tc>
        <w:tc>
          <w:tcPr>
            <w:tcW w:w="1415" w:type="dxa"/>
            <w:gridSpan w:val="4"/>
            <w:vMerge w:val="continue"/>
            <w:tcBorders/>
            <w:vAlign w:val="center"/>
          </w:tcPr>
          <w:p>
            <w:pPr>
              <w:pStyle w:val="Normal"/>
              <w:widowControl w:val="false"/>
              <w:spacing w:lineRule="auto" w:line="240"/>
              <w:ind w:hanging="0"/>
              <w:jc w:val="left"/>
              <w:rPr>
                <w:sz w:val="20"/>
                <w:szCs w:val="20"/>
              </w:rPr>
            </w:pPr>
            <w:r>
              <w:rPr>
                <w:sz w:val="20"/>
                <w:szCs w:val="20"/>
              </w:rPr>
            </w:r>
          </w:p>
        </w:tc>
      </w:tr>
      <w:tr>
        <w:trPr>
          <w:trHeight w:val="238" w:hRule="atLeast"/>
        </w:trPr>
        <w:tc>
          <w:tcPr>
            <w:tcW w:w="235"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914" w:type="dxa"/>
            <w:gridSpan w:val="6"/>
            <w:tcBorders/>
            <w:shd w:color="auto" w:fill="auto" w:val="clear"/>
          </w:tcPr>
          <w:p>
            <w:pPr>
              <w:pStyle w:val="Normal"/>
              <w:widowControl w:val="false"/>
              <w:spacing w:lineRule="auto" w:line="240"/>
              <w:ind w:hanging="0"/>
              <w:jc w:val="left"/>
              <w:rPr>
                <w:sz w:val="16"/>
                <w:szCs w:val="16"/>
              </w:rPr>
            </w:pPr>
            <w:r>
              <w:rPr>
                <w:sz w:val="16"/>
                <w:szCs w:val="16"/>
              </w:rPr>
              <w:t>(организация, адрес, телефон, факс)</w:t>
            </w:r>
          </w:p>
        </w:tc>
        <w:tc>
          <w:tcPr>
            <w:tcW w:w="697" w:type="dxa"/>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15" w:type="dxa"/>
            <w:gridSpan w:val="4"/>
            <w:vMerge w:val="restart"/>
            <w:tcBorders>
              <w:top w:val="single" w:sz="4" w:space="0" w:color="000000"/>
              <w:left w:val="single" w:sz="8"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238" w:hRule="atLeast"/>
        </w:trPr>
        <w:tc>
          <w:tcPr>
            <w:tcW w:w="235"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719"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t>Подразделение-получатель</w:t>
            </w:r>
          </w:p>
        </w:tc>
        <w:tc>
          <w:tcPr>
            <w:tcW w:w="9930" w:type="dxa"/>
            <w:gridSpan w:val="20"/>
            <w:tcBorders/>
            <w:shd w:color="auto" w:fill="auto" w:val="clear"/>
            <w:vAlign w:val="bottom"/>
          </w:tcPr>
          <w:p>
            <w:pPr>
              <w:pStyle w:val="Normal"/>
              <w:widowControl w:val="false"/>
              <w:spacing w:lineRule="auto" w:line="240"/>
              <w:ind w:hanging="0"/>
              <w:jc w:val="left"/>
              <w:rPr>
                <w:sz w:val="16"/>
                <w:szCs w:val="16"/>
              </w:rPr>
            </w:pPr>
            <w:r>
              <w:rPr>
                <w:sz w:val="16"/>
                <w:szCs w:val="16"/>
              </w:rPr>
              <w:t>_______________________________________________________________________________________________________</w:t>
            </w:r>
          </w:p>
        </w:tc>
        <w:tc>
          <w:tcPr>
            <w:tcW w:w="237" w:type="dxa"/>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15" w:type="dxa"/>
            <w:gridSpan w:val="4"/>
            <w:vMerge w:val="continue"/>
            <w:tcBorders/>
            <w:vAlign w:val="center"/>
          </w:tcPr>
          <w:p>
            <w:pPr>
              <w:pStyle w:val="Normal"/>
              <w:widowControl w:val="false"/>
              <w:spacing w:lineRule="auto" w:line="240"/>
              <w:ind w:hanging="0"/>
              <w:jc w:val="left"/>
              <w:rPr>
                <w:sz w:val="20"/>
                <w:szCs w:val="20"/>
              </w:rPr>
            </w:pPr>
            <w:r>
              <w:rPr>
                <w:sz w:val="20"/>
                <w:szCs w:val="20"/>
              </w:rPr>
            </w:r>
          </w:p>
        </w:tc>
      </w:tr>
      <w:tr>
        <w:trPr>
          <w:trHeight w:val="238"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914" w:type="dxa"/>
            <w:gridSpan w:val="6"/>
            <w:tcBorders/>
            <w:shd w:color="auto" w:fill="auto" w:val="clear"/>
          </w:tcPr>
          <w:p>
            <w:pPr>
              <w:pStyle w:val="Normal"/>
              <w:widowControl w:val="false"/>
              <w:spacing w:lineRule="auto" w:line="240"/>
              <w:ind w:hanging="0"/>
              <w:jc w:val="left"/>
              <w:rPr>
                <w:sz w:val="16"/>
                <w:szCs w:val="16"/>
              </w:rPr>
            </w:pPr>
            <w:r>
              <w:rPr>
                <w:sz w:val="16"/>
                <w:szCs w:val="16"/>
              </w:rPr>
              <w:t>(организация, адрес, телефон, факс)</w:t>
            </w:r>
          </w:p>
        </w:tc>
        <w:tc>
          <w:tcPr>
            <w:tcW w:w="697" w:type="dxa"/>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15" w:type="dxa"/>
            <w:gridSpan w:val="4"/>
            <w:vMerge w:val="continue"/>
            <w:tcBorders/>
            <w:vAlign w:val="center"/>
          </w:tcPr>
          <w:p>
            <w:pPr>
              <w:pStyle w:val="Normal"/>
              <w:widowControl w:val="false"/>
              <w:spacing w:lineRule="auto" w:line="240"/>
              <w:ind w:hanging="0"/>
              <w:jc w:val="left"/>
              <w:rPr>
                <w:sz w:val="20"/>
                <w:szCs w:val="20"/>
              </w:rPr>
            </w:pPr>
            <w:r>
              <w:rPr>
                <w:sz w:val="20"/>
                <w:szCs w:val="20"/>
              </w:rPr>
            </w:r>
          </w:p>
        </w:tc>
      </w:tr>
      <w:tr>
        <w:trPr>
          <w:trHeight w:val="253"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94"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t>Подрядчик</w:t>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930" w:type="dxa"/>
            <w:gridSpan w:val="20"/>
            <w:tcBorders>
              <w:bottom w:val="single" w:sz="4"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t xml:space="preserve">ОКПО </w:t>
            </w:r>
          </w:p>
        </w:tc>
        <w:tc>
          <w:tcPr>
            <w:tcW w:w="1415" w:type="dxa"/>
            <w:gridSpan w:val="4"/>
            <w:vMerge w:val="continue"/>
            <w:tcBorders/>
            <w:vAlign w:val="center"/>
          </w:tcPr>
          <w:p>
            <w:pPr>
              <w:pStyle w:val="Normal"/>
              <w:widowControl w:val="false"/>
              <w:spacing w:lineRule="auto" w:line="240"/>
              <w:ind w:hanging="0"/>
              <w:jc w:val="left"/>
              <w:rPr>
                <w:sz w:val="20"/>
                <w:szCs w:val="20"/>
              </w:rPr>
            </w:pPr>
            <w:r>
              <w:rPr>
                <w:sz w:val="20"/>
                <w:szCs w:val="20"/>
              </w:rPr>
            </w:r>
          </w:p>
        </w:tc>
      </w:tr>
      <w:tr>
        <w:trPr>
          <w:trHeight w:val="238" w:hRule="atLeast"/>
        </w:trPr>
        <w:tc>
          <w:tcPr>
            <w:tcW w:w="235"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914" w:type="dxa"/>
            <w:gridSpan w:val="6"/>
            <w:tcBorders/>
            <w:shd w:color="auto" w:fill="auto" w:val="clear"/>
          </w:tcPr>
          <w:p>
            <w:pPr>
              <w:pStyle w:val="Normal"/>
              <w:widowControl w:val="false"/>
              <w:spacing w:lineRule="auto" w:line="240"/>
              <w:ind w:hanging="0"/>
              <w:jc w:val="left"/>
              <w:rPr>
                <w:sz w:val="16"/>
                <w:szCs w:val="16"/>
              </w:rPr>
            </w:pPr>
            <w:r>
              <w:rPr>
                <w:sz w:val="16"/>
                <w:szCs w:val="16"/>
              </w:rPr>
              <w:t>(организация, адрес, телефон, факс)</w:t>
            </w:r>
          </w:p>
        </w:tc>
        <w:tc>
          <w:tcPr>
            <w:tcW w:w="697" w:type="dxa"/>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15" w:type="dxa"/>
            <w:gridSpan w:val="4"/>
            <w:tcBorders>
              <w:top w:val="single" w:sz="4" w:space="0" w:color="000000"/>
              <w:left w:val="single" w:sz="8"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253" w:hRule="atLeast"/>
        </w:trPr>
        <w:tc>
          <w:tcPr>
            <w:tcW w:w="235"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t>Объект</w:t>
            </w:r>
          </w:p>
        </w:tc>
        <w:tc>
          <w:tcPr>
            <w:tcW w:w="13247" w:type="dxa"/>
            <w:gridSpan w:val="27"/>
            <w:tcBorders>
              <w:bottom w:val="single" w:sz="4"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1415" w:type="dxa"/>
            <w:gridSpan w:val="4"/>
            <w:tcBorders>
              <w:bottom w:val="single" w:sz="4"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208" w:hRule="atLeast"/>
        </w:trPr>
        <w:tc>
          <w:tcPr>
            <w:tcW w:w="235"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896" w:type="dxa"/>
            <w:gridSpan w:val="3"/>
            <w:tcBorders/>
            <w:shd w:color="auto" w:fill="auto" w:val="clear"/>
          </w:tcPr>
          <w:p>
            <w:pPr>
              <w:pStyle w:val="Normal"/>
              <w:widowControl w:val="false"/>
              <w:spacing w:lineRule="auto" w:line="240"/>
              <w:ind w:hanging="0"/>
              <w:jc w:val="left"/>
              <w:rPr>
                <w:sz w:val="16"/>
                <w:szCs w:val="16"/>
              </w:rPr>
            </w:pPr>
            <w:r>
              <w:rPr>
                <w:sz w:val="16"/>
                <w:szCs w:val="16"/>
              </w:rPr>
              <w:t>(наименование)</w:t>
            </w:r>
          </w:p>
        </w:tc>
        <w:tc>
          <w:tcPr>
            <w:tcW w:w="236" w:type="dxa"/>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15" w:type="dxa"/>
            <w:gridSpan w:val="7"/>
            <w:vMerge w:val="restart"/>
            <w:tcBorders>
              <w:top w:val="single" w:sz="4" w:space="0" w:color="000000"/>
            </w:tcBorders>
            <w:shd w:color="auto" w:fill="auto" w:val="clear"/>
            <w:vAlign w:val="bottom"/>
          </w:tcPr>
          <w:p>
            <w:pPr>
              <w:pStyle w:val="Normal"/>
              <w:widowControl w:val="false"/>
              <w:spacing w:lineRule="auto" w:line="240"/>
              <w:ind w:hanging="0"/>
              <w:jc w:val="right"/>
              <w:rPr>
                <w:sz w:val="20"/>
                <w:szCs w:val="20"/>
              </w:rPr>
            </w:pPr>
            <w:r>
              <w:rPr>
                <w:sz w:val="20"/>
                <w:szCs w:val="20"/>
              </w:rPr>
              <w:t xml:space="preserve">Вид деятельности по ОКДП </w:t>
            </w:r>
          </w:p>
        </w:tc>
        <w:tc>
          <w:tcPr>
            <w:tcW w:w="1415" w:type="dxa"/>
            <w:gridSpan w:val="4"/>
            <w:vMerge w:val="restart"/>
            <w:tcBorders>
              <w:top w:val="single" w:sz="4" w:space="0" w:color="000000"/>
              <w:left w:val="single" w:sz="8" w:space="0" w:color="000000"/>
              <w:right w:val="single" w:sz="8"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 </w:t>
            </w:r>
          </w:p>
        </w:tc>
      </w:tr>
      <w:tr>
        <w:trPr>
          <w:trHeight w:val="74" w:hRule="atLeast"/>
        </w:trPr>
        <w:tc>
          <w:tcPr>
            <w:tcW w:w="235"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15" w:type="dxa"/>
            <w:gridSpan w:val="7"/>
            <w:vMerge w:val="continue"/>
            <w:tcBorders/>
            <w:vAlign w:val="center"/>
          </w:tcPr>
          <w:p>
            <w:pPr>
              <w:pStyle w:val="Normal"/>
              <w:widowControl w:val="false"/>
              <w:spacing w:lineRule="auto" w:line="240"/>
              <w:ind w:hanging="0"/>
              <w:jc w:val="left"/>
              <w:rPr>
                <w:sz w:val="20"/>
                <w:szCs w:val="20"/>
              </w:rPr>
            </w:pPr>
            <w:r>
              <w:rPr>
                <w:sz w:val="20"/>
                <w:szCs w:val="20"/>
              </w:rPr>
            </w:r>
          </w:p>
        </w:tc>
        <w:tc>
          <w:tcPr>
            <w:tcW w:w="1415" w:type="dxa"/>
            <w:gridSpan w:val="4"/>
            <w:vMerge w:val="continue"/>
            <w:tcBorders/>
            <w:vAlign w:val="center"/>
          </w:tcPr>
          <w:p>
            <w:pPr>
              <w:pStyle w:val="Normal"/>
              <w:widowControl w:val="false"/>
              <w:spacing w:lineRule="auto" w:line="240"/>
              <w:ind w:hanging="0"/>
              <w:jc w:val="left"/>
              <w:rPr>
                <w:sz w:val="16"/>
                <w:szCs w:val="16"/>
              </w:rPr>
            </w:pPr>
            <w:r>
              <w:rPr>
                <w:sz w:val="16"/>
                <w:szCs w:val="16"/>
              </w:rPr>
            </w:r>
          </w:p>
        </w:tc>
      </w:tr>
      <w:tr>
        <w:trPr>
          <w:trHeight w:val="298"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944" w:type="dxa"/>
            <w:gridSpan w:val="9"/>
            <w:tcBorders>
              <w:right w:val="single" w:sz="4" w:space="0" w:color="000000"/>
            </w:tcBorders>
            <w:shd w:color="auto" w:fill="auto" w:val="clear"/>
            <w:vAlign w:val="bottom"/>
          </w:tcPr>
          <w:p>
            <w:pPr>
              <w:pStyle w:val="Normal"/>
              <w:widowControl w:val="false"/>
              <w:spacing w:lineRule="auto" w:line="240"/>
              <w:ind w:hanging="0"/>
              <w:jc w:val="right"/>
              <w:rPr>
                <w:sz w:val="20"/>
                <w:szCs w:val="20"/>
              </w:rPr>
            </w:pPr>
            <w:r>
              <w:rPr>
                <w:sz w:val="20"/>
                <w:szCs w:val="20"/>
              </w:rPr>
              <w:t>Договор подряда (контракт)</w:t>
            </w:r>
          </w:p>
        </w:tc>
        <w:tc>
          <w:tcPr>
            <w:tcW w:w="1169" w:type="dxa"/>
            <w:tcBorders>
              <w:top w:val="single" w:sz="4" w:space="0" w:color="000000"/>
              <w:bottom w:val="single" w:sz="4" w:space="0" w:color="000000"/>
              <w:right w:val="single" w:sz="8" w:space="0" w:color="000000"/>
            </w:tcBorders>
            <w:shd w:color="auto" w:fill="auto" w:val="clear"/>
            <w:vAlign w:val="center"/>
          </w:tcPr>
          <w:p>
            <w:pPr>
              <w:pStyle w:val="Normal"/>
              <w:widowControl w:val="false"/>
              <w:spacing w:lineRule="auto" w:line="240"/>
              <w:ind w:hanging="0"/>
              <w:jc w:val="left"/>
              <w:rPr>
                <w:sz w:val="20"/>
                <w:szCs w:val="20"/>
              </w:rPr>
            </w:pPr>
            <w:r>
              <w:rPr>
                <w:sz w:val="20"/>
                <w:szCs w:val="20"/>
              </w:rPr>
              <w:t xml:space="preserve">номер </w:t>
            </w:r>
          </w:p>
        </w:tc>
        <w:tc>
          <w:tcPr>
            <w:tcW w:w="1415" w:type="dxa"/>
            <w:gridSpan w:val="4"/>
            <w:tcBorders>
              <w:top w:val="single" w:sz="4" w:space="0" w:color="000000"/>
              <w:bottom w:val="single" w:sz="4" w:space="0" w:color="000000"/>
              <w:right w:val="single" w:sz="8" w:space="0" w:color="000000"/>
            </w:tcBorders>
            <w:shd w:color="auto" w:fill="auto" w:val="clear"/>
            <w:vAlign w:val="center"/>
          </w:tcPr>
          <w:p>
            <w:pPr>
              <w:pStyle w:val="Normal"/>
              <w:widowControl w:val="false"/>
              <w:spacing w:lineRule="auto" w:line="240"/>
              <w:ind w:hanging="0"/>
              <w:jc w:val="left"/>
              <w:rPr>
                <w:sz w:val="20"/>
                <w:szCs w:val="20"/>
              </w:rPr>
            </w:pPr>
            <w:r>
              <w:rPr>
                <w:sz w:val="20"/>
                <w:szCs w:val="20"/>
              </w:rPr>
              <w:t> </w:t>
            </w:r>
          </w:p>
        </w:tc>
      </w:tr>
      <w:tr>
        <w:trPr>
          <w:trHeight w:val="298" w:hRule="atLeast"/>
        </w:trPr>
        <w:tc>
          <w:tcPr>
            <w:tcW w:w="235"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9" w:type="dxa"/>
            <w:tcBorders>
              <w:left w:val="single" w:sz="4" w:space="0" w:color="000000"/>
              <w:bottom w:val="single" w:sz="4" w:space="0" w:color="000000"/>
            </w:tcBorders>
            <w:shd w:color="auto" w:fill="auto" w:val="clear"/>
            <w:vAlign w:val="center"/>
          </w:tcPr>
          <w:p>
            <w:pPr>
              <w:pStyle w:val="Normal"/>
              <w:widowControl w:val="false"/>
              <w:spacing w:lineRule="auto" w:line="240"/>
              <w:ind w:hanging="0"/>
              <w:jc w:val="left"/>
              <w:rPr>
                <w:sz w:val="20"/>
                <w:szCs w:val="20"/>
              </w:rPr>
            </w:pPr>
            <w:r>
              <w:rPr>
                <w:sz w:val="20"/>
                <w:szCs w:val="20"/>
              </w:rPr>
              <w:t xml:space="preserve">дата </w:t>
            </w:r>
          </w:p>
        </w:tc>
        <w:tc>
          <w:tcPr>
            <w:tcW w:w="1415" w:type="dxa"/>
            <w:gridSpan w:val="4"/>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widowControl w:val="false"/>
              <w:spacing w:lineRule="auto" w:line="240"/>
              <w:ind w:hanging="0"/>
              <w:jc w:val="left"/>
              <w:rPr>
                <w:sz w:val="20"/>
                <w:szCs w:val="20"/>
              </w:rPr>
            </w:pPr>
            <w:r>
              <w:rPr>
                <w:sz w:val="20"/>
                <w:szCs w:val="20"/>
              </w:rPr>
              <w:t> </w:t>
            </w:r>
          </w:p>
        </w:tc>
      </w:tr>
      <w:tr>
        <w:trPr>
          <w:trHeight w:val="298" w:hRule="atLeast"/>
        </w:trPr>
        <w:tc>
          <w:tcPr>
            <w:tcW w:w="235"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882" w:type="dxa"/>
            <w:gridSpan w:val="4"/>
            <w:tcBorders>
              <w:right w:val="single" w:sz="8" w:space="0" w:color="000000"/>
            </w:tcBorders>
            <w:shd w:color="auto" w:fill="auto" w:val="clear"/>
            <w:vAlign w:val="bottom"/>
          </w:tcPr>
          <w:p>
            <w:pPr>
              <w:pStyle w:val="Normal"/>
              <w:widowControl w:val="false"/>
              <w:spacing w:lineRule="auto" w:line="240"/>
              <w:ind w:hanging="0"/>
              <w:jc w:val="right"/>
              <w:rPr>
                <w:sz w:val="20"/>
                <w:szCs w:val="20"/>
              </w:rPr>
            </w:pPr>
            <w:r>
              <w:rPr>
                <w:sz w:val="20"/>
                <w:szCs w:val="20"/>
              </w:rPr>
              <w:t>Вид операции</w:t>
            </w:r>
          </w:p>
        </w:tc>
        <w:tc>
          <w:tcPr>
            <w:tcW w:w="1415" w:type="dxa"/>
            <w:gridSpan w:val="4"/>
            <w:tcBorders>
              <w:top w:val="single" w:sz="4" w:space="0" w:color="000000"/>
              <w:bottom w:val="single" w:sz="8"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134" w:hRule="exact"/>
        </w:trPr>
        <w:tc>
          <w:tcPr>
            <w:tcW w:w="235"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5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0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38"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79"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8"/>
                <w:szCs w:val="18"/>
              </w:rPr>
            </w:pPr>
            <w:r>
              <w:rPr>
                <w:sz w:val="18"/>
                <w:szCs w:val="18"/>
              </w:rPr>
              <w:t>Номер документа</w:t>
            </w:r>
          </w:p>
        </w:tc>
        <w:tc>
          <w:tcPr>
            <w:tcW w:w="2492" w:type="dxa"/>
            <w:gridSpan w:val="5"/>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8"/>
                <w:szCs w:val="18"/>
              </w:rPr>
            </w:pPr>
            <w:r>
              <w:rPr>
                <w:sz w:val="18"/>
                <w:szCs w:val="18"/>
              </w:rPr>
              <w:t>Дата составления</w:t>
            </w:r>
          </w:p>
        </w:tc>
        <w:tc>
          <w:tcPr>
            <w:tcW w:w="264" w:type="dxa"/>
            <w:tcBorders/>
            <w:shd w:color="auto" w:fill="auto" w:val="clear"/>
            <w:vAlign w:val="bottom"/>
          </w:tcPr>
          <w:p>
            <w:pPr>
              <w:pStyle w:val="Normal"/>
              <w:widowControl w:val="false"/>
              <w:spacing w:lineRule="auto" w:line="240"/>
              <w:ind w:hanging="0"/>
              <w:jc w:val="center"/>
              <w:rPr>
                <w:sz w:val="18"/>
                <w:szCs w:val="18"/>
              </w:rPr>
            </w:pPr>
            <w:r>
              <w:rPr>
                <w:sz w:val="18"/>
                <w:szCs w:val="18"/>
              </w:rPr>
            </w:r>
          </w:p>
        </w:tc>
        <w:tc>
          <w:tcPr>
            <w:tcW w:w="3354" w:type="dxa"/>
            <w:gridSpan w:val="8"/>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18"/>
                <w:szCs w:val="18"/>
              </w:rPr>
            </w:pPr>
            <w:r>
              <w:rPr>
                <w:sz w:val="18"/>
                <w:szCs w:val="18"/>
              </w:rPr>
              <w:t>Отчетный период</w:t>
            </w:r>
          </w:p>
        </w:tc>
        <w:tc>
          <w:tcPr>
            <w:tcW w:w="552" w:type="dxa"/>
            <w:tcBorders/>
            <w:shd w:color="auto" w:fill="auto" w:val="clear"/>
            <w:vAlign w:val="bottom"/>
          </w:tcPr>
          <w:p>
            <w:pPr>
              <w:pStyle w:val="Normal"/>
              <w:widowControl w:val="false"/>
              <w:spacing w:lineRule="auto" w:line="240"/>
              <w:ind w:hanging="0"/>
              <w:jc w:val="center"/>
              <w:rPr>
                <w:sz w:val="18"/>
                <w:szCs w:val="18"/>
              </w:rPr>
            </w:pPr>
            <w:r>
              <w:rPr>
                <w:sz w:val="18"/>
                <w:szCs w:val="18"/>
              </w:rPr>
            </w:r>
          </w:p>
        </w:tc>
        <w:tc>
          <w:tcPr>
            <w:tcW w:w="40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53"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79" w:type="dxa"/>
            <w:gridSpan w:val="3"/>
            <w:vMerge w:val="continue"/>
            <w:tcBorders/>
            <w:vAlign w:val="center"/>
          </w:tcPr>
          <w:p>
            <w:pPr>
              <w:pStyle w:val="Normal"/>
              <w:widowControl w:val="false"/>
              <w:spacing w:lineRule="auto" w:line="240"/>
              <w:ind w:hanging="0"/>
              <w:jc w:val="left"/>
              <w:rPr>
                <w:sz w:val="18"/>
                <w:szCs w:val="18"/>
              </w:rPr>
            </w:pPr>
            <w:r>
              <w:rPr>
                <w:sz w:val="18"/>
                <w:szCs w:val="18"/>
              </w:rPr>
            </w:r>
          </w:p>
        </w:tc>
        <w:tc>
          <w:tcPr>
            <w:tcW w:w="2492" w:type="dxa"/>
            <w:gridSpan w:val="5"/>
            <w:vMerge w:val="continue"/>
            <w:tcBorders/>
            <w:vAlign w:val="center"/>
          </w:tcPr>
          <w:p>
            <w:pPr>
              <w:pStyle w:val="Normal"/>
              <w:widowControl w:val="false"/>
              <w:spacing w:lineRule="auto" w:line="240"/>
              <w:ind w:hanging="0"/>
              <w:jc w:val="left"/>
              <w:rPr>
                <w:sz w:val="18"/>
                <w:szCs w:val="18"/>
              </w:rPr>
            </w:pPr>
            <w:r>
              <w:rPr>
                <w:sz w:val="18"/>
                <w:szCs w:val="18"/>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70" w:type="dxa"/>
            <w:gridSpan w:val="4"/>
            <w:tcBorders>
              <w:top w:val="single" w:sz="4" w:space="0" w:color="000000"/>
              <w:left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18"/>
                <w:szCs w:val="18"/>
              </w:rPr>
            </w:pPr>
            <w:r>
              <w:rPr>
                <w:sz w:val="18"/>
                <w:szCs w:val="18"/>
              </w:rPr>
              <w:t>с</w:t>
            </w:r>
          </w:p>
        </w:tc>
        <w:tc>
          <w:tcPr>
            <w:tcW w:w="1884" w:type="dxa"/>
            <w:gridSpan w:val="4"/>
            <w:tcBorders>
              <w:top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18"/>
                <w:szCs w:val="18"/>
              </w:rPr>
            </w:pPr>
            <w:r>
              <w:rPr>
                <w:sz w:val="18"/>
                <w:szCs w:val="18"/>
              </w:rPr>
              <w:t>по</w:t>
            </w:r>
          </w:p>
        </w:tc>
        <w:tc>
          <w:tcPr>
            <w:tcW w:w="552" w:type="dxa"/>
            <w:tcBorders/>
            <w:shd w:color="auto" w:fill="auto" w:val="clear"/>
            <w:vAlign w:val="bottom"/>
          </w:tcPr>
          <w:p>
            <w:pPr>
              <w:pStyle w:val="Normal"/>
              <w:widowControl w:val="false"/>
              <w:spacing w:lineRule="auto" w:line="240"/>
              <w:ind w:hanging="0"/>
              <w:jc w:val="center"/>
              <w:rPr>
                <w:sz w:val="18"/>
                <w:szCs w:val="18"/>
              </w:rPr>
            </w:pPr>
            <w:r>
              <w:rPr>
                <w:sz w:val="18"/>
                <w:szCs w:val="18"/>
              </w:rPr>
            </w:r>
          </w:p>
        </w:tc>
        <w:tc>
          <w:tcPr>
            <w:tcW w:w="40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98"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right"/>
              <w:rPr>
                <w:b/>
                <w:bCs/>
                <w:sz w:val="22"/>
                <w:szCs w:val="22"/>
              </w:rPr>
            </w:pPr>
            <w:r>
              <w:rPr>
                <w:b/>
                <w:bCs/>
                <w:sz w:val="22"/>
                <w:szCs w:val="22"/>
              </w:rPr>
              <w:t>АКТ</w:t>
            </w:r>
          </w:p>
        </w:tc>
        <w:tc>
          <w:tcPr>
            <w:tcW w:w="236" w:type="dxa"/>
            <w:tcBorders/>
            <w:shd w:color="auto" w:fill="auto" w:val="clear"/>
            <w:vAlign w:val="bottom"/>
          </w:tcPr>
          <w:p>
            <w:pPr>
              <w:pStyle w:val="Normal"/>
              <w:widowControl w:val="false"/>
              <w:spacing w:lineRule="auto" w:line="240"/>
              <w:ind w:hanging="0"/>
              <w:jc w:val="right"/>
              <w:rPr>
                <w:b/>
                <w:bCs/>
                <w:sz w:val="22"/>
                <w:szCs w:val="22"/>
              </w:rPr>
            </w:pPr>
            <w:r>
              <w:rPr>
                <w:b/>
                <w:bCs/>
                <w:sz w:val="22"/>
                <w:szCs w:val="22"/>
              </w:rPr>
            </w:r>
          </w:p>
        </w:tc>
        <w:tc>
          <w:tcPr>
            <w:tcW w:w="1479" w:type="dxa"/>
            <w:gridSpan w:val="3"/>
            <w:tcBorders>
              <w:top w:val="single" w:sz="8" w:space="0" w:color="000000"/>
              <w:left w:val="single" w:sz="8" w:space="0" w:color="000000"/>
              <w:bottom w:val="single" w:sz="8" w:space="0" w:color="000000"/>
              <w:right w:val="single" w:sz="4"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492" w:type="dxa"/>
            <w:gridSpan w:val="5"/>
            <w:tcBorders>
              <w:top w:val="single" w:sz="8" w:space="0" w:color="000000"/>
              <w:bottom w:val="single" w:sz="8"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64"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470" w:type="dxa"/>
            <w:gridSpan w:val="4"/>
            <w:tcBorders>
              <w:top w:val="single" w:sz="8" w:space="0" w:color="000000"/>
              <w:left w:val="single" w:sz="8" w:space="0" w:color="000000"/>
              <w:bottom w:val="single" w:sz="8" w:space="0" w:color="000000"/>
              <w:right w:val="single" w:sz="4"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1884" w:type="dxa"/>
            <w:gridSpan w:val="4"/>
            <w:tcBorders>
              <w:top w:val="single" w:sz="8" w:space="0" w:color="000000"/>
              <w:bottom w:val="single" w:sz="8"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552"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40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98"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350" w:type="dxa"/>
            <w:gridSpan w:val="11"/>
            <w:tcBorders/>
            <w:shd w:color="auto" w:fill="auto" w:val="clear"/>
            <w:vAlign w:val="bottom"/>
          </w:tcPr>
          <w:p>
            <w:pPr>
              <w:pStyle w:val="Normal"/>
              <w:widowControl w:val="false"/>
              <w:spacing w:lineRule="auto" w:line="240"/>
              <w:ind w:hanging="0"/>
              <w:jc w:val="center"/>
              <w:rPr>
                <w:b/>
                <w:bCs/>
                <w:sz w:val="22"/>
                <w:szCs w:val="22"/>
              </w:rPr>
            </w:pPr>
            <w:r>
              <w:rPr>
                <w:b/>
                <w:bCs/>
                <w:sz w:val="22"/>
                <w:szCs w:val="22"/>
              </w:rPr>
              <w:t>ОСВИДЕТЕЛЬСТВОВАНИЯ ВЫПОЛНЕННЫХ РАБОТ</w:t>
            </w:r>
          </w:p>
        </w:tc>
        <w:tc>
          <w:tcPr>
            <w:tcW w:w="265" w:type="dxa"/>
            <w:tcBorders/>
            <w:shd w:color="auto" w:fill="auto" w:val="clear"/>
            <w:vAlign w:val="bottom"/>
          </w:tcPr>
          <w:p>
            <w:pPr>
              <w:pStyle w:val="Normal"/>
              <w:widowControl w:val="false"/>
              <w:spacing w:lineRule="auto" w:line="240"/>
              <w:ind w:hanging="0"/>
              <w:jc w:val="center"/>
              <w:rPr>
                <w:b/>
                <w:bCs/>
                <w:sz w:val="22"/>
                <w:szCs w:val="22"/>
              </w:rPr>
            </w:pPr>
            <w:r>
              <w:rPr>
                <w:b/>
                <w:bCs/>
                <w:sz w:val="22"/>
                <w:szCs w:val="22"/>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0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98"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469" w:type="dxa"/>
            <w:gridSpan w:val="11"/>
            <w:tcBorders/>
            <w:shd w:color="auto" w:fill="auto" w:val="clear"/>
            <w:vAlign w:val="bottom"/>
          </w:tcPr>
          <w:p>
            <w:pPr>
              <w:pStyle w:val="Normal"/>
              <w:widowControl w:val="false"/>
              <w:spacing w:lineRule="auto" w:line="240"/>
              <w:ind w:hanging="0"/>
              <w:jc w:val="left"/>
              <w:rPr>
                <w:sz w:val="20"/>
                <w:szCs w:val="20"/>
              </w:rPr>
            </w:pPr>
            <w:r>
              <w:rPr>
                <w:sz w:val="20"/>
                <w:szCs w:val="20"/>
              </w:rPr>
              <w:t xml:space="preserve">Сметная (договорная) стоимость в соответствии с договором подряда </w:t>
            </w:r>
          </w:p>
        </w:tc>
        <w:tc>
          <w:tcPr>
            <w:tcW w:w="236"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7352" w:type="dxa"/>
            <w:gridSpan w:val="16"/>
            <w:tcBorders>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 </w:t>
            </w:r>
          </w:p>
        </w:tc>
        <w:tc>
          <w:tcPr>
            <w:tcW w:w="552" w:type="dxa"/>
            <w:tcBorders/>
            <w:shd w:color="auto" w:fill="auto" w:val="clear"/>
            <w:vAlign w:val="bottom"/>
          </w:tcPr>
          <w:p>
            <w:pPr>
              <w:pStyle w:val="Normal"/>
              <w:widowControl w:val="false"/>
              <w:spacing w:lineRule="auto" w:line="240"/>
              <w:ind w:hanging="0"/>
              <w:jc w:val="right"/>
              <w:rPr>
                <w:sz w:val="20"/>
                <w:szCs w:val="20"/>
              </w:rPr>
            </w:pPr>
            <w:r>
              <w:rPr>
                <w:sz w:val="20"/>
                <w:szCs w:val="20"/>
              </w:rPr>
              <w:t>руб.</w:t>
            </w:r>
          </w:p>
        </w:tc>
        <w:tc>
          <w:tcPr>
            <w:tcW w:w="404"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08" w:hRule="exac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8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42"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87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981"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5"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860"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801"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6"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7"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45"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697"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318"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5"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05"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65"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6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64"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52"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45"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0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98" w:hRule="atLeast"/>
        </w:trPr>
        <w:tc>
          <w:tcPr>
            <w:tcW w:w="2229"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Номер</w:t>
            </w:r>
          </w:p>
        </w:tc>
        <w:tc>
          <w:tcPr>
            <w:tcW w:w="4948" w:type="dxa"/>
            <w:gridSpan w:val="9"/>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Наименование работ</w:t>
            </w:r>
          </w:p>
        </w:tc>
        <w:tc>
          <w:tcPr>
            <w:tcW w:w="1242" w:type="dxa"/>
            <w:gridSpan w:val="2"/>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Номер единичной расценки</w:t>
            </w:r>
          </w:p>
        </w:tc>
        <w:tc>
          <w:tcPr>
            <w:tcW w:w="2023" w:type="dxa"/>
            <w:gridSpan w:val="4"/>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Единица измерения</w:t>
            </w:r>
          </w:p>
        </w:tc>
        <w:tc>
          <w:tcPr>
            <w:tcW w:w="5263" w:type="dxa"/>
            <w:gridSpan w:val="1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Выполнено работ</w:t>
            </w:r>
          </w:p>
        </w:tc>
      </w:tr>
      <w:tr>
        <w:trPr>
          <w:trHeight w:val="895" w:hRule="atLeast"/>
        </w:trPr>
        <w:tc>
          <w:tcPr>
            <w:tcW w:w="10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по</w:t>
              <w:br/>
              <w:t>поряд-</w:t>
              <w:br/>
              <w:t>ку</w:t>
            </w:r>
          </w:p>
        </w:tc>
        <w:tc>
          <w:tcPr>
            <w:tcW w:w="118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позиции по смете</w:t>
            </w:r>
          </w:p>
        </w:tc>
        <w:tc>
          <w:tcPr>
            <w:tcW w:w="4948" w:type="dxa"/>
            <w:gridSpan w:val="9"/>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rPr>
            </w:pPr>
            <w:r>
              <w:rPr>
                <w:sz w:val="20"/>
                <w:szCs w:val="20"/>
              </w:rPr>
            </w:r>
          </w:p>
        </w:tc>
        <w:tc>
          <w:tcPr>
            <w:tcW w:w="1242" w:type="dxa"/>
            <w:gridSpan w:val="2"/>
            <w:vMerge w:val="continue"/>
            <w:tcBorders>
              <w:top w:val="single" w:sz="4" w:space="0" w:color="000000"/>
              <w:left w:val="single" w:sz="4" w:space="0" w:color="000000"/>
              <w:bottom w:val="single" w:sz="4" w:space="0" w:color="000000"/>
            </w:tcBorders>
            <w:vAlign w:val="center"/>
          </w:tcPr>
          <w:p>
            <w:pPr>
              <w:pStyle w:val="Normal"/>
              <w:widowControl w:val="false"/>
              <w:spacing w:lineRule="auto" w:line="240"/>
              <w:ind w:hanging="0"/>
              <w:jc w:val="left"/>
              <w:rPr>
                <w:sz w:val="20"/>
                <w:szCs w:val="20"/>
              </w:rPr>
            </w:pPr>
            <w:r>
              <w:rPr>
                <w:sz w:val="20"/>
                <w:szCs w:val="20"/>
              </w:rPr>
            </w:r>
          </w:p>
        </w:tc>
        <w:tc>
          <w:tcPr>
            <w:tcW w:w="2023" w:type="dxa"/>
            <w:gridSpan w:val="4"/>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rPr>
            </w:pPr>
            <w:r>
              <w:rPr>
                <w:sz w:val="20"/>
                <w:szCs w:val="20"/>
              </w:rPr>
            </w:r>
          </w:p>
        </w:tc>
        <w:tc>
          <w:tcPr>
            <w:tcW w:w="173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количество</w:t>
            </w:r>
          </w:p>
        </w:tc>
        <w:tc>
          <w:tcPr>
            <w:tcW w:w="2118"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цена за единицу,</w:t>
              <w:br/>
              <w:t>руб.</w:t>
            </w:r>
          </w:p>
        </w:tc>
        <w:tc>
          <w:tcPr>
            <w:tcW w:w="1415"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стоимость,</w:t>
              <w:br/>
              <w:t>руб.</w:t>
            </w:r>
          </w:p>
        </w:tc>
      </w:tr>
      <w:tr>
        <w:trPr>
          <w:trHeight w:val="298" w:hRule="atLeast"/>
        </w:trPr>
        <w:tc>
          <w:tcPr>
            <w:tcW w:w="10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1</w:t>
            </w:r>
          </w:p>
        </w:tc>
        <w:tc>
          <w:tcPr>
            <w:tcW w:w="118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2</w:t>
            </w:r>
          </w:p>
        </w:tc>
        <w:tc>
          <w:tcPr>
            <w:tcW w:w="494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3</w:t>
            </w:r>
          </w:p>
        </w:tc>
        <w:tc>
          <w:tcPr>
            <w:tcW w:w="1242"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4</w:t>
            </w:r>
          </w:p>
        </w:tc>
        <w:tc>
          <w:tcPr>
            <w:tcW w:w="2023"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5</w:t>
            </w:r>
          </w:p>
        </w:tc>
        <w:tc>
          <w:tcPr>
            <w:tcW w:w="173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6</w:t>
            </w:r>
          </w:p>
        </w:tc>
        <w:tc>
          <w:tcPr>
            <w:tcW w:w="2118"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7</w:t>
            </w:r>
          </w:p>
        </w:tc>
        <w:tc>
          <w:tcPr>
            <w:tcW w:w="1415"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8</w:t>
            </w:r>
          </w:p>
        </w:tc>
      </w:tr>
      <w:tr>
        <w:trPr>
          <w:trHeight w:val="298" w:hRule="atLeast"/>
        </w:trPr>
        <w:tc>
          <w:tcPr>
            <w:tcW w:w="10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18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94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2"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023"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73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18"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15"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298" w:hRule="atLeast"/>
        </w:trPr>
        <w:tc>
          <w:tcPr>
            <w:tcW w:w="10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18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94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2"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023"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73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18"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15"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298" w:hRule="atLeast"/>
        </w:trPr>
        <w:tc>
          <w:tcPr>
            <w:tcW w:w="10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18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94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2"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023"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73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18"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15"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298" w:hRule="atLeast"/>
        </w:trPr>
        <w:tc>
          <w:tcPr>
            <w:tcW w:w="10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18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94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2"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023"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73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18"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15"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298" w:hRule="atLeast"/>
        </w:trPr>
        <w:tc>
          <w:tcPr>
            <w:tcW w:w="10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18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94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2"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023"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73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18"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15"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298" w:hRule="atLeast"/>
        </w:trPr>
        <w:tc>
          <w:tcPr>
            <w:tcW w:w="10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18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94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2"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023"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73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18"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15"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298" w:hRule="atLeast"/>
        </w:trPr>
        <w:tc>
          <w:tcPr>
            <w:tcW w:w="10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18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94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2"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023"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73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18"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15"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298" w:hRule="atLeast"/>
        </w:trPr>
        <w:tc>
          <w:tcPr>
            <w:tcW w:w="10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18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94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2"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023"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73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18"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15"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298" w:hRule="atLeast"/>
        </w:trPr>
        <w:tc>
          <w:tcPr>
            <w:tcW w:w="104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18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94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2"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023"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73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18"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15"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298" w:hRule="atLeast"/>
        </w:trPr>
        <w:tc>
          <w:tcPr>
            <w:tcW w:w="235"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right"/>
              <w:rPr>
                <w:sz w:val="22"/>
                <w:szCs w:val="22"/>
              </w:rPr>
            </w:pPr>
            <w:r>
              <w:rPr>
                <w:sz w:val="22"/>
                <w:szCs w:val="22"/>
              </w:rPr>
              <w:t>Итого</w:t>
            </w:r>
          </w:p>
        </w:tc>
        <w:tc>
          <w:tcPr>
            <w:tcW w:w="265" w:type="dxa"/>
            <w:tcBorders/>
            <w:shd w:color="auto" w:fill="auto" w:val="clear"/>
            <w:vAlign w:val="bottom"/>
          </w:tcPr>
          <w:p>
            <w:pPr>
              <w:pStyle w:val="Normal"/>
              <w:widowControl w:val="false"/>
              <w:spacing w:lineRule="auto" w:line="240"/>
              <w:ind w:hanging="0"/>
              <w:jc w:val="right"/>
              <w:rPr>
                <w:sz w:val="22"/>
                <w:szCs w:val="22"/>
              </w:rPr>
            </w:pPr>
            <w:r>
              <w:rPr>
                <w:sz w:val="22"/>
                <w:szCs w:val="22"/>
              </w:rPr>
            </w:r>
          </w:p>
        </w:tc>
        <w:tc>
          <w:tcPr>
            <w:tcW w:w="1730" w:type="dxa"/>
            <w:gridSpan w:val="4"/>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118" w:type="dxa"/>
            <w:gridSpan w:val="5"/>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Х</w:t>
            </w:r>
          </w:p>
        </w:tc>
        <w:tc>
          <w:tcPr>
            <w:tcW w:w="1415" w:type="dxa"/>
            <w:gridSpan w:val="4"/>
            <w:tcBorders>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r>
      <w:tr>
        <w:trPr>
          <w:trHeight w:val="298" w:hRule="atLeast"/>
        </w:trPr>
        <w:tc>
          <w:tcPr>
            <w:tcW w:w="235"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right"/>
              <w:rPr>
                <w:sz w:val="22"/>
                <w:szCs w:val="22"/>
              </w:rPr>
            </w:pPr>
            <w:r>
              <w:rPr>
                <w:sz w:val="22"/>
                <w:szCs w:val="22"/>
              </w:rPr>
              <w:t>Всего по акту</w:t>
            </w:r>
          </w:p>
        </w:tc>
        <w:tc>
          <w:tcPr>
            <w:tcW w:w="265" w:type="dxa"/>
            <w:tcBorders>
              <w:right w:val="single" w:sz="4" w:space="0" w:color="000000"/>
            </w:tcBorders>
            <w:shd w:color="auto" w:fill="auto" w:val="clear"/>
            <w:vAlign w:val="bottom"/>
          </w:tcPr>
          <w:p>
            <w:pPr>
              <w:pStyle w:val="Normal"/>
              <w:widowControl w:val="false"/>
              <w:spacing w:lineRule="auto" w:line="240"/>
              <w:ind w:hanging="0"/>
              <w:jc w:val="right"/>
              <w:rPr>
                <w:sz w:val="22"/>
                <w:szCs w:val="22"/>
              </w:rPr>
            </w:pPr>
            <w:r>
              <w:rPr>
                <w:sz w:val="22"/>
                <w:szCs w:val="22"/>
              </w:rPr>
              <w:t> </w:t>
            </w:r>
          </w:p>
        </w:tc>
        <w:tc>
          <w:tcPr>
            <w:tcW w:w="1730" w:type="dxa"/>
            <w:gridSpan w:val="4"/>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118" w:type="dxa"/>
            <w:gridSpan w:val="5"/>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Х</w:t>
            </w:r>
          </w:p>
        </w:tc>
        <w:tc>
          <w:tcPr>
            <w:tcW w:w="1415" w:type="dxa"/>
            <w:gridSpan w:val="4"/>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r>
      <w:tr>
        <w:trPr>
          <w:trHeight w:val="298" w:hRule="atLeast"/>
        </w:trPr>
        <w:tc>
          <w:tcPr>
            <w:tcW w:w="235"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1994" w:type="dxa"/>
            <w:gridSpan w:val="4"/>
            <w:tcBorders/>
            <w:shd w:color="auto" w:fill="auto" w:val="clear"/>
            <w:vAlign w:val="bottom"/>
          </w:tcPr>
          <w:p>
            <w:pPr>
              <w:pStyle w:val="Normal"/>
              <w:widowControl w:val="false"/>
              <w:spacing w:lineRule="auto" w:line="240"/>
              <w:ind w:hanging="0"/>
              <w:jc w:val="left"/>
              <w:rPr>
                <w:b/>
                <w:bCs/>
                <w:sz w:val="22"/>
                <w:szCs w:val="22"/>
              </w:rPr>
            </w:pPr>
            <w:r>
              <w:rPr>
                <w:b/>
                <w:bCs/>
                <w:sz w:val="22"/>
                <w:szCs w:val="22"/>
              </w:rPr>
              <w:t>От Заказчика</w:t>
            </w:r>
          </w:p>
        </w:tc>
        <w:tc>
          <w:tcPr>
            <w:tcW w:w="2579" w:type="dxa"/>
            <w:gridSpan w:val="4"/>
            <w:tcBorders>
              <w:bottom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5"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1661" w:type="dxa"/>
            <w:gridSpan w:val="2"/>
            <w:tcBorders>
              <w:bottom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765" w:type="dxa"/>
            <w:gridSpan w:val="20"/>
            <w:tcBorders>
              <w:bottom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r>
      <w:tr>
        <w:trPr>
          <w:trHeight w:val="69" w:hRule="atLeast"/>
        </w:trPr>
        <w:tc>
          <w:tcPr>
            <w:tcW w:w="235"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579" w:type="dxa"/>
            <w:gridSpan w:val="4"/>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(должность)</w:t>
            </w:r>
          </w:p>
        </w:tc>
        <w:tc>
          <w:tcPr>
            <w:tcW w:w="235"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1661" w:type="dxa"/>
            <w:gridSpan w:val="2"/>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(подпись)</w:t>
            </w:r>
          </w:p>
        </w:tc>
        <w:tc>
          <w:tcPr>
            <w:tcW w:w="236"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8765" w:type="dxa"/>
            <w:gridSpan w:val="20"/>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(расшифровка подписи)</w:t>
            </w:r>
          </w:p>
        </w:tc>
      </w:tr>
      <w:tr>
        <w:trPr>
          <w:trHeight w:val="298" w:hRule="atLeast"/>
        </w:trPr>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94" w:type="dxa"/>
            <w:gridSpan w:val="4"/>
            <w:tcBorders/>
            <w:shd w:color="auto" w:fill="auto" w:val="clear"/>
            <w:vAlign w:val="bottom"/>
          </w:tcPr>
          <w:p>
            <w:pPr>
              <w:pStyle w:val="Normal"/>
              <w:widowControl w:val="false"/>
              <w:spacing w:lineRule="auto" w:line="240"/>
              <w:ind w:hanging="0"/>
              <w:jc w:val="left"/>
              <w:rPr>
                <w:b/>
                <w:bCs/>
                <w:sz w:val="22"/>
                <w:szCs w:val="22"/>
              </w:rPr>
            </w:pPr>
            <w:r>
              <w:rPr>
                <w:b/>
                <w:bCs/>
                <w:sz w:val="22"/>
                <w:szCs w:val="22"/>
              </w:rPr>
              <w:t>От Подрядчика</w:t>
            </w:r>
          </w:p>
        </w:tc>
        <w:tc>
          <w:tcPr>
            <w:tcW w:w="2579" w:type="dxa"/>
            <w:gridSpan w:val="4"/>
            <w:tcBorders>
              <w:bottom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5"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1661" w:type="dxa"/>
            <w:gridSpan w:val="2"/>
            <w:tcBorders>
              <w:bottom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765" w:type="dxa"/>
            <w:gridSpan w:val="20"/>
            <w:tcBorders>
              <w:bottom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r>
      <w:tr>
        <w:trPr>
          <w:trHeight w:val="208" w:hRule="atLeast"/>
        </w:trPr>
        <w:tc>
          <w:tcPr>
            <w:tcW w:w="235"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579" w:type="dxa"/>
            <w:gridSpan w:val="4"/>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(должность)</w:t>
            </w:r>
          </w:p>
        </w:tc>
        <w:tc>
          <w:tcPr>
            <w:tcW w:w="235"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1661" w:type="dxa"/>
            <w:gridSpan w:val="2"/>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(подпись)</w:t>
            </w:r>
          </w:p>
        </w:tc>
        <w:tc>
          <w:tcPr>
            <w:tcW w:w="236"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8765" w:type="dxa"/>
            <w:gridSpan w:val="20"/>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(расшифровка подписи)</w:t>
            </w:r>
          </w:p>
        </w:tc>
      </w:tr>
      <w:tr>
        <w:trPr>
          <w:trHeight w:val="208" w:hRule="atLeast"/>
        </w:trPr>
        <w:tc>
          <w:tcPr>
            <w:tcW w:w="235"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579" w:type="dxa"/>
            <w:gridSpan w:val="4"/>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235"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1661" w:type="dxa"/>
            <w:gridSpan w:val="2"/>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236"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8765" w:type="dxa"/>
            <w:gridSpan w:val="20"/>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r>
          </w:p>
        </w:tc>
      </w:tr>
      <w:tr>
        <w:trPr>
          <w:trHeight w:val="313" w:hRule="atLeast"/>
        </w:trPr>
        <w:tc>
          <w:tcPr>
            <w:tcW w:w="235"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8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1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15" w:type="dxa"/>
            <w:gridSpan w:val="2"/>
            <w:tcBorders/>
            <w:shd w:color="auto" w:fill="auto" w:val="clear"/>
            <w:vAlign w:val="bottom"/>
          </w:tcPr>
          <w:p>
            <w:pPr>
              <w:pStyle w:val="Normal"/>
              <w:widowControl w:val="false"/>
              <w:spacing w:lineRule="auto" w:line="240"/>
              <w:ind w:hanging="0"/>
              <w:jc w:val="left"/>
              <w:rPr>
                <w:sz w:val="22"/>
                <w:szCs w:val="22"/>
              </w:rPr>
            </w:pPr>
            <w:r>
              <w:rPr>
                <w:sz w:val="22"/>
                <w:szCs w:val="22"/>
              </w:rPr>
            </w:r>
          </w:p>
        </w:tc>
        <w:tc>
          <w:tcPr>
            <w:tcW w:w="981" w:type="dxa"/>
            <w:tcBorders/>
            <w:shd w:color="auto" w:fill="auto" w:val="clear"/>
            <w:vAlign w:val="bottom"/>
          </w:tcPr>
          <w:p>
            <w:pPr>
              <w:pStyle w:val="Normal"/>
              <w:widowControl w:val="false"/>
              <w:spacing w:lineRule="auto" w:line="240"/>
              <w:ind w:hanging="0"/>
              <w:jc w:val="left"/>
              <w:rPr>
                <w:sz w:val="22"/>
                <w:szCs w:val="22"/>
              </w:rPr>
            </w:pPr>
            <w:r>
              <w:rPr>
                <w:sz w:val="22"/>
                <w:szCs w:val="22"/>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0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9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6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4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0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bl>
    <w:p>
      <w:pPr>
        <w:pStyle w:val="Normal"/>
        <w:spacing w:lineRule="auto" w:line="240"/>
        <w:rPr>
          <w:highlight w:val="yellow"/>
        </w:rPr>
      </w:pPr>
      <w:r>
        <w:rPr>
          <w:highlight w:val="yellow"/>
        </w:rPr>
      </w:r>
      <w:bookmarkStart w:id="55" w:name="RANGE!A1%2525252525252525253AAG42"/>
      <w:bookmarkStart w:id="56" w:name="RANGE!A1%2525252525252525253AAG40"/>
      <w:bookmarkStart w:id="57" w:name="RANGE!A1%2525252525252525253AAG42"/>
      <w:bookmarkStart w:id="58" w:name="RANGE!A1%2525252525252525253AAG40"/>
      <w:bookmarkEnd w:id="57"/>
      <w:bookmarkEnd w:id="58"/>
    </w:p>
    <w:tbl>
      <w:tblPr>
        <w:tblW w:w="1343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8646"/>
        <w:gridCol w:w="4786"/>
      </w:tblGrid>
      <w:tr>
        <w:trPr>
          <w:trHeight w:val="611" w:hRule="atLeast"/>
        </w:trPr>
        <w:tc>
          <w:tcPr>
            <w:tcW w:w="8646" w:type="dxa"/>
            <w:tcBorders/>
          </w:tcPr>
          <w:p>
            <w:pPr>
              <w:pStyle w:val="Normal"/>
              <w:widowControl w:val="false"/>
              <w:spacing w:lineRule="auto" w:line="240"/>
              <w:rPr>
                <w:b/>
                <w:sz w:val="24"/>
                <w:szCs w:val="24"/>
              </w:rPr>
            </w:pPr>
            <w:r>
              <w:rPr>
                <w:b/>
                <w:sz w:val="24"/>
                <w:szCs w:val="24"/>
              </w:rPr>
              <w:t>Заказчик:</w:t>
            </w:r>
          </w:p>
          <w:p>
            <w:pPr>
              <w:pStyle w:val="Normal"/>
              <w:widowControl w:val="false"/>
              <w:spacing w:lineRule="auto" w:line="240"/>
              <w:rPr>
                <w:b/>
                <w:sz w:val="24"/>
                <w:szCs w:val="24"/>
              </w:rPr>
            </w:pPr>
            <w:r>
              <w:rPr>
                <w:b/>
                <w:sz w:val="24"/>
                <w:szCs w:val="24"/>
              </w:rPr>
            </w:r>
          </w:p>
        </w:tc>
        <w:tc>
          <w:tcPr>
            <w:tcW w:w="4786" w:type="dxa"/>
            <w:tcBorders/>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r>
    </w:tbl>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r>
    </w:p>
    <w:p>
      <w:pPr>
        <w:pStyle w:val="Normal"/>
        <w:spacing w:lineRule="auto" w:line="240"/>
        <w:ind w:firstLine="7088"/>
        <w:jc w:val="right"/>
        <w:rPr>
          <w:sz w:val="22"/>
        </w:rPr>
      </w:pPr>
      <w:r>
        <w:rPr>
          <w:sz w:val="22"/>
        </w:rPr>
        <w:t>Приложение № 8</w:t>
      </w:r>
    </w:p>
    <w:p>
      <w:pPr>
        <w:pStyle w:val="Normal"/>
        <w:spacing w:lineRule="auto" w:line="240"/>
        <w:ind w:left="720" w:firstLine="4820"/>
        <w:jc w:val="right"/>
        <w:rPr>
          <w:sz w:val="22"/>
          <w:szCs w:val="22"/>
        </w:rPr>
      </w:pPr>
      <w:r>
        <w:rPr>
          <w:sz w:val="22"/>
          <w:szCs w:val="22"/>
        </w:rPr>
        <w:t>к Договору подряда</w:t>
      </w:r>
    </w:p>
    <w:p>
      <w:pPr>
        <w:pStyle w:val="Normal"/>
        <w:spacing w:lineRule="auto" w:line="240"/>
        <w:ind w:left="720" w:firstLine="4820"/>
        <w:jc w:val="right"/>
        <w:rPr>
          <w:sz w:val="22"/>
          <w:szCs w:val="22"/>
        </w:rPr>
      </w:pPr>
      <w:r>
        <w:rPr>
          <w:bCs/>
          <w:color w:val="000000"/>
          <w:sz w:val="22"/>
          <w:szCs w:val="22"/>
        </w:rPr>
        <w:t>от «____» __________ 2026 г. №   __________</w:t>
      </w:r>
    </w:p>
    <w:p>
      <w:pPr>
        <w:pStyle w:val="Normal"/>
        <w:spacing w:lineRule="auto" w:line="240"/>
        <w:ind w:firstLine="7088"/>
        <w:jc w:val="left"/>
        <w:rPr>
          <w:b/>
          <w:bCs/>
          <w:color w:val="000000"/>
          <w:sz w:val="24"/>
          <w:szCs w:val="24"/>
        </w:rPr>
      </w:pPr>
      <w:r>
        <w:rPr>
          <w:b/>
          <w:bCs/>
          <w:color w:val="000000"/>
          <w:sz w:val="24"/>
          <w:szCs w:val="24"/>
        </w:rPr>
      </w:r>
    </w:p>
    <w:p>
      <w:pPr>
        <w:pStyle w:val="Normal"/>
        <w:spacing w:lineRule="auto" w:line="240"/>
        <w:ind w:firstLine="7088"/>
        <w:jc w:val="left"/>
        <w:rPr>
          <w:b/>
          <w:bCs/>
          <w:color w:val="000000"/>
          <w:sz w:val="24"/>
          <w:szCs w:val="24"/>
        </w:rPr>
      </w:pPr>
      <w:r>
        <w:rPr>
          <w:b/>
          <w:bCs/>
          <w:color w:val="000000"/>
          <w:sz w:val="24"/>
          <w:szCs w:val="24"/>
        </w:rPr>
      </w:r>
    </w:p>
    <w:p>
      <w:pPr>
        <w:pStyle w:val="Normal"/>
        <w:spacing w:lineRule="auto" w:line="240"/>
        <w:ind w:hanging="0"/>
        <w:jc w:val="center"/>
        <w:rPr>
          <w:b/>
          <w:sz w:val="24"/>
          <w:szCs w:val="24"/>
        </w:rPr>
      </w:pPr>
      <w:r>
        <w:rPr>
          <w:b/>
          <w:bCs/>
          <w:color w:val="000000"/>
          <w:sz w:val="24"/>
          <w:szCs w:val="24"/>
        </w:rPr>
        <w:t>Форма справки о заключенных Подрядчиком договорах с Субподрядчиками</w:t>
      </w:r>
      <w:r>
        <w:rPr>
          <w:b/>
          <w:sz w:val="24"/>
          <w:szCs w:val="24"/>
        </w:rPr>
        <w:t xml:space="preserve"> </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05"/>
        <w:gridCol w:w="553"/>
        <w:gridCol w:w="820"/>
        <w:gridCol w:w="967"/>
        <w:gridCol w:w="1624"/>
        <w:gridCol w:w="2002"/>
        <w:gridCol w:w="1909"/>
        <w:gridCol w:w="693"/>
        <w:gridCol w:w="1147"/>
      </w:tblGrid>
      <w:tr>
        <w:trPr>
          <w:trHeight w:val="1327" w:hRule="atLeast"/>
        </w:trPr>
        <w:tc>
          <w:tcPr>
            <w:tcW w:w="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Предмет договора</w:t>
            </w:r>
          </w:p>
        </w:tc>
        <w:tc>
          <w:tcPr>
            <w:tcW w:w="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Дата договора</w:t>
            </w:r>
          </w:p>
        </w:tc>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Номер договора с субподрядчиком</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ОКПД2</w:t>
            </w:r>
          </w:p>
          <w:p>
            <w:pPr>
              <w:pStyle w:val="Normal"/>
              <w:widowControl w:val="false"/>
              <w:spacing w:lineRule="auto" w:line="240"/>
              <w:ind w:hanging="0"/>
              <w:jc w:val="center"/>
              <w:rPr>
                <w:sz w:val="16"/>
                <w:szCs w:val="16"/>
              </w:rPr>
            </w:pPr>
            <w:r>
              <w:rPr>
                <w:sz w:val="16"/>
                <w:szCs w:val="16"/>
              </w:rPr>
              <w:t>(</w:t>
            </w:r>
            <w:r>
              <w:rPr>
                <w:bCs/>
                <w:sz w:val="16"/>
                <w:szCs w:val="16"/>
              </w:rPr>
              <w:t>Если договором предусмотрена поставка товара, предусмотренного 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товар заполняется отдельной строкой</w:t>
            </w:r>
            <w:r>
              <w:rPr>
                <w:sz w:val="16"/>
                <w:szCs w:val="16"/>
              </w:rPr>
              <w:t>)</w:t>
            </w:r>
          </w:p>
        </w:tc>
        <w:tc>
          <w:tcPr>
            <w:tcW w:w="20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Страна происхождения товара</w:t>
            </w:r>
          </w:p>
          <w:p>
            <w:pPr>
              <w:pStyle w:val="Normal"/>
              <w:widowControl w:val="false"/>
              <w:spacing w:lineRule="auto" w:line="240"/>
              <w:ind w:hanging="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Страна регистрации производителя товара</w:t>
            </w:r>
          </w:p>
          <w:p>
            <w:pPr>
              <w:pStyle w:val="Normal"/>
              <w:widowControl w:val="false"/>
              <w:spacing w:lineRule="auto" w:line="240"/>
              <w:ind w:hanging="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Валюта (ОКВ)</w:t>
            </w:r>
          </w:p>
        </w:tc>
        <w:tc>
          <w:tcPr>
            <w:tcW w:w="11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Единица измерения</w:t>
            </w:r>
          </w:p>
          <w:p>
            <w:pPr>
              <w:pStyle w:val="Normal"/>
              <w:widowControl w:val="false"/>
              <w:spacing w:lineRule="auto" w:line="240"/>
              <w:ind w:hanging="0"/>
              <w:jc w:val="center"/>
              <w:rPr>
                <w:sz w:val="16"/>
                <w:szCs w:val="16"/>
              </w:rPr>
            </w:pPr>
            <w:r>
              <w:rPr>
                <w:sz w:val="16"/>
                <w:szCs w:val="16"/>
              </w:rPr>
              <w:t>ОКЕИ</w:t>
            </w:r>
          </w:p>
        </w:tc>
      </w:tr>
      <w:tr>
        <w:trPr/>
        <w:tc>
          <w:tcPr>
            <w:tcW w:w="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1</w:t>
            </w:r>
          </w:p>
        </w:tc>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2</w:t>
            </w:r>
          </w:p>
        </w:tc>
        <w:tc>
          <w:tcPr>
            <w:tcW w:w="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rPr>
            </w:pPr>
            <w:r>
              <w:rPr>
                <w:b/>
                <w:sz w:val="16"/>
                <w:szCs w:val="16"/>
              </w:rPr>
              <w:t>3</w:t>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4</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5</w:t>
            </w:r>
          </w:p>
        </w:tc>
        <w:tc>
          <w:tcPr>
            <w:tcW w:w="20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6</w:t>
            </w:r>
          </w:p>
        </w:tc>
        <w:tc>
          <w:tcPr>
            <w:tcW w:w="19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7</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b/>
                <w:sz w:val="16"/>
                <w:szCs w:val="16"/>
              </w:rPr>
            </w:pPr>
            <w:r>
              <w:rPr>
                <w:b/>
                <w:sz w:val="16"/>
                <w:szCs w:val="16"/>
              </w:rPr>
              <w:t>8</w:t>
            </w:r>
          </w:p>
        </w:tc>
        <w:tc>
          <w:tcPr>
            <w:tcW w:w="11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9</w:t>
            </w:r>
          </w:p>
        </w:tc>
      </w:tr>
      <w:tr>
        <w:trPr/>
        <w:tc>
          <w:tcPr>
            <w:tcW w:w="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lang w:val="en-US"/>
              </w:rPr>
            </w:pPr>
            <w:r>
              <w:rPr>
                <w:i/>
                <w:sz w:val="16"/>
                <w:szCs w:val="16"/>
                <w:lang w:val="en-US"/>
              </w:rPr>
              <w:t>1</w:t>
            </w:r>
          </w:p>
        </w:tc>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9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0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9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i/>
                <w:i/>
                <w:sz w:val="16"/>
                <w:szCs w:val="16"/>
              </w:rPr>
            </w:pPr>
            <w:r>
              <w:rPr>
                <w:i/>
                <w:sz w:val="16"/>
                <w:szCs w:val="16"/>
              </w:rPr>
            </w:r>
          </w:p>
        </w:tc>
        <w:tc>
          <w:tcPr>
            <w:tcW w:w="11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r>
    </w:tbl>
    <w:p>
      <w:pPr>
        <w:pStyle w:val="Normal"/>
        <w:spacing w:lineRule="auto" w:line="240"/>
        <w:ind w:hanging="0"/>
        <w:rPr>
          <w:sz w:val="20"/>
          <w:szCs w:val="20"/>
        </w:rPr>
      </w:pPr>
      <w:r>
        <w:rPr>
          <w:sz w:val="20"/>
          <w:szCs w:val="20"/>
        </w:rPr>
      </w:r>
    </w:p>
    <w:p>
      <w:pPr>
        <w:pStyle w:val="Normal"/>
        <w:spacing w:lineRule="auto" w:line="240"/>
        <w:ind w:hanging="0"/>
        <w:rPr>
          <w:sz w:val="16"/>
          <w:szCs w:val="16"/>
        </w:rPr>
      </w:pPr>
      <w:r>
        <w:rPr>
          <w:sz w:val="16"/>
          <w:szCs w:val="16"/>
        </w:rPr>
      </w:r>
    </w:p>
    <w:tbl>
      <w:tblPr>
        <w:tblW w:w="5000" w:type="pct"/>
        <w:jc w:val="left"/>
        <w:tblInd w:w="0" w:type="dxa"/>
        <w:tblLayout w:type="fixed"/>
        <w:tblCellMar>
          <w:top w:w="0" w:type="dxa"/>
          <w:left w:w="28" w:type="dxa"/>
          <w:bottom w:w="0" w:type="dxa"/>
          <w:right w:w="28" w:type="dxa"/>
        </w:tblCellMar>
        <w:tblLook w:val="04a0" w:noHBand="0" w:noVBand="1" w:firstColumn="1" w:lastRow="0" w:lastColumn="0" w:firstRow="1"/>
      </w:tblPr>
      <w:tblGrid>
        <w:gridCol w:w="866"/>
        <w:gridCol w:w="1148"/>
        <w:gridCol w:w="777"/>
        <w:gridCol w:w="771"/>
        <w:gridCol w:w="867"/>
        <w:gridCol w:w="1448"/>
        <w:gridCol w:w="1261"/>
        <w:gridCol w:w="869"/>
        <w:gridCol w:w="1913"/>
      </w:tblGrid>
      <w:tr>
        <w:trPr>
          <w:trHeight w:val="1289" w:hRule="atLeast"/>
        </w:trPr>
        <w:tc>
          <w:tcPr>
            <w:tcW w:w="8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Кол-во товара, работ, услуг</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Цена за единицу</w:t>
            </w:r>
          </w:p>
          <w:p>
            <w:pPr>
              <w:pStyle w:val="Normal"/>
              <w:widowControl w:val="false"/>
              <w:spacing w:lineRule="auto" w:line="240"/>
              <w:ind w:hanging="0"/>
              <w:jc w:val="center"/>
              <w:rPr>
                <w:sz w:val="16"/>
                <w:szCs w:val="16"/>
              </w:rPr>
            </w:pPr>
            <w:r>
              <w:rPr>
                <w:sz w:val="16"/>
                <w:szCs w:val="16"/>
              </w:rPr>
              <w:t xml:space="preserve"> </w:t>
            </w:r>
            <w:r>
              <w:rPr>
                <w:sz w:val="16"/>
                <w:szCs w:val="16"/>
              </w:rPr>
              <w:t>(руб. без НДС)</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Цена по договору</w:t>
            </w:r>
          </w:p>
          <w:p>
            <w:pPr>
              <w:pStyle w:val="Normal"/>
              <w:widowControl w:val="false"/>
              <w:spacing w:lineRule="auto" w:line="240"/>
              <w:ind w:hanging="0"/>
              <w:jc w:val="center"/>
              <w:rPr>
                <w:sz w:val="16"/>
                <w:szCs w:val="16"/>
              </w:rPr>
            </w:pPr>
            <w:r>
              <w:rPr>
                <w:sz w:val="16"/>
                <w:szCs w:val="16"/>
              </w:rPr>
              <w:t xml:space="preserve"> </w:t>
            </w:r>
            <w:r>
              <w:rPr>
                <w:sz w:val="16"/>
                <w:szCs w:val="16"/>
              </w:rPr>
              <w:t>(руб. без НДС)</w:t>
            </w:r>
          </w:p>
        </w:tc>
        <w:tc>
          <w:tcPr>
            <w:tcW w:w="7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Дата начала выполнения работ</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Дата окончания выполнения работ</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Принадлежность к МСП</w:t>
            </w:r>
          </w:p>
          <w:p>
            <w:pPr>
              <w:pStyle w:val="Normal"/>
              <w:widowControl w:val="false"/>
              <w:spacing w:lineRule="auto" w:line="240"/>
              <w:ind w:hanging="0"/>
              <w:jc w:val="center"/>
              <w:rPr>
                <w:sz w:val="16"/>
                <w:szCs w:val="16"/>
              </w:rPr>
            </w:pPr>
            <w:r>
              <w:rPr>
                <w:sz w:val="16"/>
                <w:szCs w:val="16"/>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19"/>
              <w:t></w:t>
            </w:r>
          </w:p>
        </w:tc>
        <w:tc>
          <w:tcPr>
            <w:tcW w:w="12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Полное наименование/ФИО</w:t>
            </w:r>
          </w:p>
        </w:tc>
        <w:tc>
          <w:tcPr>
            <w:tcW w:w="8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Сокращенное наименование</w:t>
            </w:r>
          </w:p>
        </w:tc>
        <w:tc>
          <w:tcPr>
            <w:tcW w:w="1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Физическое/Юридическое лицо</w:t>
            </w:r>
          </w:p>
        </w:tc>
      </w:tr>
      <w:tr>
        <w:trPr/>
        <w:tc>
          <w:tcPr>
            <w:tcW w:w="8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9</w:t>
            </w:r>
          </w:p>
        </w:tc>
        <w:tc>
          <w:tcPr>
            <w:tcW w:w="11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10</w:t>
            </w:r>
          </w:p>
        </w:tc>
        <w:tc>
          <w:tcPr>
            <w:tcW w:w="7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rPr>
              <w:t>1</w:t>
            </w:r>
            <w:r>
              <w:rPr>
                <w:b/>
                <w:sz w:val="16"/>
                <w:szCs w:val="16"/>
                <w:lang w:val="en-US"/>
              </w:rPr>
              <w:t>1</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12</w:t>
            </w:r>
          </w:p>
        </w:tc>
        <w:tc>
          <w:tcPr>
            <w:tcW w:w="8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b/>
                <w:sz w:val="16"/>
                <w:szCs w:val="16"/>
                <w:lang w:val="en-US"/>
              </w:rPr>
            </w:pPr>
            <w:r>
              <w:rPr>
                <w:b/>
                <w:sz w:val="16"/>
                <w:szCs w:val="16"/>
                <w:lang w:val="en-US"/>
              </w:rPr>
              <w:t>13</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14</w:t>
            </w:r>
          </w:p>
        </w:tc>
        <w:tc>
          <w:tcPr>
            <w:tcW w:w="12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b/>
                <w:sz w:val="16"/>
                <w:szCs w:val="16"/>
                <w:lang w:val="en-US"/>
              </w:rPr>
            </w:pPr>
            <w:r>
              <w:rPr>
                <w:b/>
                <w:sz w:val="16"/>
                <w:szCs w:val="16"/>
                <w:lang w:val="en-US"/>
              </w:rPr>
              <w:t>15</w:t>
            </w:r>
          </w:p>
        </w:tc>
        <w:tc>
          <w:tcPr>
            <w:tcW w:w="8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16</w:t>
            </w:r>
          </w:p>
        </w:tc>
        <w:tc>
          <w:tcPr>
            <w:tcW w:w="1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17</w:t>
            </w:r>
          </w:p>
        </w:tc>
      </w:tr>
      <w:tr>
        <w:trPr/>
        <w:tc>
          <w:tcPr>
            <w:tcW w:w="8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7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8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2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8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i/>
                <w:i/>
                <w:sz w:val="16"/>
                <w:szCs w:val="16"/>
              </w:rPr>
            </w:pPr>
            <w:r>
              <w:rPr>
                <w:i/>
                <w:sz w:val="16"/>
                <w:szCs w:val="16"/>
              </w:rPr>
            </w:r>
          </w:p>
        </w:tc>
      </w:tr>
    </w:tbl>
    <w:p>
      <w:pPr>
        <w:pStyle w:val="Normal"/>
        <w:widowControl w:val="false"/>
        <w:spacing w:lineRule="auto" w:line="240"/>
        <w:ind w:hanging="0"/>
        <w:jc w:val="left"/>
        <w:rPr>
          <w:sz w:val="16"/>
          <w:szCs w:val="16"/>
        </w:rPr>
      </w:pPr>
      <w:r>
        <w:rPr>
          <w:sz w:val="16"/>
          <w:szCs w:val="16"/>
        </w:rPr>
      </w:r>
    </w:p>
    <w:tbl>
      <w:tblPr>
        <w:tblW w:w="5000" w:type="pct"/>
        <w:jc w:val="left"/>
        <w:tblInd w:w="0" w:type="dxa"/>
        <w:tblLayout w:type="fixed"/>
        <w:tblCellMar>
          <w:top w:w="0" w:type="dxa"/>
          <w:left w:w="28" w:type="dxa"/>
          <w:bottom w:w="0" w:type="dxa"/>
          <w:right w:w="28" w:type="dxa"/>
        </w:tblCellMar>
        <w:tblLook w:val="04a0" w:noHBand="0" w:noVBand="1" w:firstColumn="1" w:lastRow="0" w:lastColumn="0" w:firstRow="1"/>
      </w:tblPr>
      <w:tblGrid>
        <w:gridCol w:w="900"/>
        <w:gridCol w:w="1221"/>
        <w:gridCol w:w="806"/>
        <w:gridCol w:w="811"/>
        <w:gridCol w:w="903"/>
        <w:gridCol w:w="811"/>
        <w:gridCol w:w="1313"/>
        <w:gridCol w:w="707"/>
        <w:gridCol w:w="809"/>
        <w:gridCol w:w="611"/>
        <w:gridCol w:w="505"/>
        <w:gridCol w:w="523"/>
      </w:tblGrid>
      <w:tr>
        <w:trPr>
          <w:trHeight w:val="1266" w:hRule="atLeast"/>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Дата постановки на учет</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Почтовый индекс</w:t>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Адрес местонахождения</w:t>
            </w:r>
          </w:p>
        </w:tc>
        <w:tc>
          <w:tcPr>
            <w:tcW w:w="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Адрес пребывания на территории РФ (для нерезидентов РФ)</w:t>
            </w:r>
          </w:p>
        </w:tc>
        <w:tc>
          <w:tcPr>
            <w:tcW w:w="9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Электронный адрес</w:t>
            </w:r>
          </w:p>
        </w:tc>
        <w:tc>
          <w:tcPr>
            <w:tcW w:w="8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Контактный телефон</w:t>
            </w:r>
          </w:p>
        </w:tc>
        <w:tc>
          <w:tcPr>
            <w:tcW w:w="131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ОКСМ</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ОКТМО</w:t>
            </w:r>
          </w:p>
        </w:tc>
        <w:tc>
          <w:tcPr>
            <w:tcW w:w="8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ОКОПФ</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ОКПО</w:t>
            </w:r>
          </w:p>
        </w:tc>
        <w:tc>
          <w:tcPr>
            <w:tcW w:w="5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КПП</w:t>
            </w:r>
          </w:p>
        </w:tc>
        <w:tc>
          <w:tcPr>
            <w:tcW w:w="5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ИНН</w:t>
            </w:r>
          </w:p>
          <w:p>
            <w:pPr>
              <w:pStyle w:val="Normal"/>
              <w:widowControl w:val="false"/>
              <w:rPr>
                <w:sz w:val="16"/>
                <w:szCs w:val="16"/>
              </w:rPr>
            </w:pPr>
            <w:r>
              <w:rPr>
                <w:sz w:val="16"/>
                <w:szCs w:val="16"/>
              </w:rPr>
            </w:r>
          </w:p>
          <w:p>
            <w:pPr>
              <w:pStyle w:val="Normal"/>
              <w:widowControl w:val="false"/>
              <w:rPr>
                <w:sz w:val="16"/>
                <w:szCs w:val="16"/>
              </w:rPr>
            </w:pPr>
            <w:r>
              <w:rPr>
                <w:sz w:val="16"/>
                <w:szCs w:val="16"/>
              </w:rPr>
            </w:r>
          </w:p>
        </w:tc>
      </w:tr>
      <w:tr>
        <w:trPr>
          <w:trHeight w:val="200" w:hRule="atLeast"/>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18</w:t>
            </w:r>
          </w:p>
        </w:tc>
        <w:tc>
          <w:tcPr>
            <w:tcW w:w="12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19</w:t>
            </w:r>
          </w:p>
        </w:tc>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20</w:t>
            </w:r>
          </w:p>
        </w:tc>
        <w:tc>
          <w:tcPr>
            <w:tcW w:w="8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21</w:t>
            </w:r>
          </w:p>
        </w:tc>
        <w:tc>
          <w:tcPr>
            <w:tcW w:w="9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b/>
                <w:sz w:val="16"/>
                <w:szCs w:val="16"/>
                <w:lang w:val="en-US"/>
              </w:rPr>
            </w:pPr>
            <w:r>
              <w:rPr>
                <w:b/>
                <w:sz w:val="16"/>
                <w:szCs w:val="16"/>
                <w:lang w:val="en-US"/>
              </w:rPr>
              <w:t>22</w:t>
            </w:r>
          </w:p>
        </w:tc>
        <w:tc>
          <w:tcPr>
            <w:tcW w:w="8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23</w:t>
            </w:r>
          </w:p>
        </w:tc>
        <w:tc>
          <w:tcPr>
            <w:tcW w:w="13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b/>
                <w:sz w:val="16"/>
                <w:szCs w:val="16"/>
                <w:lang w:val="en-US"/>
              </w:rPr>
            </w:pPr>
            <w:r>
              <w:rPr>
                <w:b/>
                <w:sz w:val="16"/>
                <w:szCs w:val="16"/>
                <w:lang w:val="en-US"/>
              </w:rPr>
              <w:t>24</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25</w:t>
            </w:r>
          </w:p>
        </w:tc>
        <w:tc>
          <w:tcPr>
            <w:tcW w:w="8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26</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27</w:t>
            </w:r>
          </w:p>
        </w:tc>
        <w:tc>
          <w:tcPr>
            <w:tcW w:w="5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28</w:t>
            </w:r>
          </w:p>
        </w:tc>
        <w:tc>
          <w:tcPr>
            <w:tcW w:w="5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29</w:t>
            </w:r>
          </w:p>
        </w:tc>
      </w:tr>
      <w:tr>
        <w:trPr>
          <w:trHeight w:val="200" w:hRule="atLeast"/>
        </w:trPr>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2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8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9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8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31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8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i/>
                <w:i/>
                <w:sz w:val="16"/>
                <w:szCs w:val="16"/>
              </w:rPr>
            </w:pPr>
            <w:r>
              <w:rPr>
                <w:i/>
                <w:sz w:val="16"/>
                <w:szCs w:val="16"/>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5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5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r>
    </w:tbl>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color w:val="000000"/>
          <w:sz w:val="16"/>
          <w:szCs w:val="16"/>
        </w:rPr>
      </w:pPr>
      <w:r>
        <w:rPr>
          <w:color w:val="000000"/>
          <w:sz w:val="16"/>
          <w:szCs w:val="16"/>
        </w:rPr>
        <w:t>Генеральный директор ________________________________</w:t>
      </w:r>
    </w:p>
    <w:p>
      <w:pPr>
        <w:pStyle w:val="Normal"/>
        <w:widowControl w:val="false"/>
        <w:spacing w:lineRule="auto" w:line="240"/>
        <w:ind w:hanging="0"/>
        <w:jc w:val="left"/>
        <w:rPr>
          <w:sz w:val="16"/>
          <w:szCs w:val="16"/>
        </w:rPr>
      </w:pPr>
      <w:r>
        <w:rPr>
          <w:color w:val="000000"/>
          <w:sz w:val="16"/>
          <w:szCs w:val="16"/>
        </w:rPr>
        <w:t>Дата составления справки _________</w:t>
      </w:r>
      <w:r>
        <w:rPr>
          <w:sz w:val="16"/>
          <w:szCs w:val="16"/>
        </w:rPr>
        <w:t xml:space="preserve">     </w:t>
      </w:r>
    </w:p>
    <w:p>
      <w:pPr>
        <w:pStyle w:val="Normal"/>
        <w:widowControl w:val="false"/>
        <w:spacing w:lineRule="auto" w:line="240"/>
        <w:ind w:hanging="0"/>
        <w:jc w:val="left"/>
        <w:rPr>
          <w:sz w:val="16"/>
          <w:szCs w:val="16"/>
        </w:rPr>
      </w:pPr>
      <w:r>
        <w:rPr>
          <w:sz w:val="16"/>
          <w:szCs w:val="16"/>
        </w:rPr>
      </w:r>
    </w:p>
    <w:tbl>
      <w:tblPr>
        <w:tblW w:w="1543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45"/>
        <w:gridCol w:w="10187"/>
      </w:tblGrid>
      <w:tr>
        <w:trPr>
          <w:trHeight w:val="1063" w:hRule="atLeast"/>
        </w:trPr>
        <w:tc>
          <w:tcPr>
            <w:tcW w:w="5245" w:type="dxa"/>
            <w:tcBorders/>
            <w:shd w:color="auto" w:fill="auto" w:val="clear"/>
          </w:tcPr>
          <w:p>
            <w:pPr>
              <w:pStyle w:val="Normal"/>
              <w:widowControl w:val="false"/>
              <w:spacing w:lineRule="auto" w:line="240"/>
              <w:ind w:hanging="0"/>
              <w:rPr>
                <w:b/>
                <w:sz w:val="24"/>
              </w:rPr>
            </w:pPr>
            <w:r>
              <w:rPr>
                <w:b/>
                <w:sz w:val="24"/>
              </w:rPr>
              <w:t xml:space="preserve">         </w:t>
            </w:r>
            <w:r>
              <w:rPr>
                <w:b/>
                <w:sz w:val="24"/>
              </w:rPr>
              <w:t>От Заказчика:</w:t>
            </w:r>
          </w:p>
          <w:p>
            <w:pPr>
              <w:pStyle w:val="Normal"/>
              <w:widowControl w:val="false"/>
              <w:rPr>
                <w:color w:val="000000"/>
                <w:sz w:val="24"/>
                <w:szCs w:val="24"/>
              </w:rPr>
            </w:pPr>
            <w:r>
              <w:rPr>
                <w:color w:val="000000"/>
                <w:sz w:val="24"/>
                <w:szCs w:val="24"/>
              </w:rPr>
            </w:r>
          </w:p>
        </w:tc>
        <w:tc>
          <w:tcPr>
            <w:tcW w:w="10187" w:type="dxa"/>
            <w:tcBorders/>
            <w:shd w:color="auto" w:fill="auto" w:val="clear"/>
          </w:tcPr>
          <w:p>
            <w:pPr>
              <w:pStyle w:val="Normal"/>
              <w:widowControl w:val="false"/>
              <w:spacing w:lineRule="auto" w:line="240"/>
              <w:ind w:hanging="0"/>
              <w:rPr>
                <w:b/>
                <w:sz w:val="24"/>
                <w:szCs w:val="24"/>
              </w:rPr>
            </w:pPr>
            <w:r>
              <w:rPr>
                <w:b/>
                <w:sz w:val="24"/>
                <w:szCs w:val="24"/>
              </w:rPr>
              <w:t xml:space="preserve">         </w:t>
            </w:r>
            <w:r>
              <w:rPr>
                <w:b/>
                <w:sz w:val="24"/>
                <w:szCs w:val="24"/>
              </w:rPr>
              <w:t>От Подрядчика:</w:t>
            </w:r>
          </w:p>
          <w:p>
            <w:pPr>
              <w:pStyle w:val="Normal"/>
              <w:widowControl w:val="false"/>
              <w:rPr>
                <w:color w:val="000000"/>
                <w:sz w:val="24"/>
                <w:szCs w:val="24"/>
              </w:rPr>
            </w:pPr>
            <w:r>
              <w:rPr>
                <w:color w:val="000000"/>
                <w:sz w:val="24"/>
                <w:szCs w:val="24"/>
              </w:rPr>
            </w:r>
          </w:p>
        </w:tc>
      </w:tr>
    </w:tbl>
    <w:p>
      <w:pPr>
        <w:sectPr>
          <w:headerReference w:type="default" r:id="rId20"/>
          <w:headerReference w:type="first" r:id="rId21"/>
          <w:footnotePr>
            <w:numFmt w:val="decimal"/>
          </w:footnotePr>
          <w:type w:val="nextPage"/>
          <w:pgSz w:w="11906" w:h="16838"/>
          <w:pgMar w:left="1134" w:right="851" w:gutter="0" w:header="567" w:top="1276" w:footer="0" w:bottom="1752"/>
          <w:pgNumType w:fmt="decimal"/>
          <w:formProt w:val="false"/>
          <w:textDirection w:val="lrTb"/>
          <w:docGrid w:type="default" w:linePitch="360" w:charSpace="0"/>
        </w:sectPr>
      </w:pPr>
    </w:p>
    <w:p>
      <w:pPr>
        <w:pStyle w:val="Normal"/>
        <w:snapToGrid w:val="false"/>
        <w:spacing w:lineRule="auto" w:line="240"/>
        <w:ind w:firstLine="5387"/>
        <w:jc w:val="right"/>
        <w:rPr>
          <w:sz w:val="22"/>
          <w:szCs w:val="22"/>
        </w:rPr>
      </w:pPr>
      <w:r>
        <w:rPr>
          <w:sz w:val="22"/>
          <w:szCs w:val="22"/>
        </w:rPr>
        <w:t>Приложение № 9</w:t>
      </w:r>
    </w:p>
    <w:p>
      <w:pPr>
        <w:pStyle w:val="Normal"/>
        <w:spacing w:lineRule="auto" w:line="240"/>
        <w:ind w:left="720" w:firstLine="4820"/>
        <w:jc w:val="right"/>
        <w:rPr>
          <w:sz w:val="22"/>
          <w:szCs w:val="22"/>
        </w:rPr>
      </w:pPr>
      <w:r>
        <w:rPr>
          <w:sz w:val="22"/>
          <w:szCs w:val="22"/>
        </w:rPr>
        <w:t>к Договору подряда</w:t>
      </w:r>
    </w:p>
    <w:p>
      <w:pPr>
        <w:pStyle w:val="Normal"/>
        <w:spacing w:lineRule="auto" w:line="240"/>
        <w:ind w:left="720" w:hanging="0"/>
        <w:jc w:val="right"/>
        <w:rPr>
          <w:sz w:val="22"/>
          <w:szCs w:val="22"/>
        </w:rPr>
      </w:pPr>
      <w:r>
        <w:rPr>
          <w:bCs/>
          <w:color w:val="000000"/>
          <w:sz w:val="22"/>
          <w:szCs w:val="22"/>
        </w:rPr>
        <w:t>от «____» __________ 2026 г. № __________</w:t>
      </w:r>
    </w:p>
    <w:p>
      <w:pPr>
        <w:pStyle w:val="Normal"/>
        <w:spacing w:lineRule="auto" w:line="240"/>
        <w:ind w:hanging="0"/>
        <w:rPr>
          <w:sz w:val="24"/>
          <w:szCs w:val="24"/>
        </w:rPr>
      </w:pPr>
      <w:r>
        <w:rPr>
          <w:sz w:val="24"/>
          <w:szCs w:val="24"/>
        </w:rPr>
      </w:r>
    </w:p>
    <w:p>
      <w:pPr>
        <w:pStyle w:val="Normal"/>
        <w:tabs>
          <w:tab w:val="clear" w:pos="708"/>
          <w:tab w:val="left" w:pos="1134" w:leader="none"/>
        </w:tabs>
        <w:spacing w:lineRule="auto" w:line="240"/>
        <w:jc w:val="center"/>
        <w:rPr>
          <w:b/>
          <w:sz w:val="24"/>
          <w:szCs w:val="24"/>
        </w:rPr>
      </w:pPr>
      <w:r>
        <w:rPr>
          <w:b/>
          <w:sz w:val="24"/>
          <w:szCs w:val="24"/>
        </w:rPr>
        <w:t>Критерии отбора Банков-Гарантов</w:t>
      </w:r>
    </w:p>
    <w:p>
      <w:pPr>
        <w:pStyle w:val="Normal"/>
        <w:tabs>
          <w:tab w:val="clear" w:pos="708"/>
          <w:tab w:val="left" w:pos="1134" w:leader="none"/>
        </w:tabs>
        <w:spacing w:lineRule="auto" w:line="240"/>
        <w:jc w:val="center"/>
        <w:rPr>
          <w:b/>
          <w:sz w:val="24"/>
          <w:szCs w:val="24"/>
        </w:rPr>
      </w:pPr>
      <w:r>
        <w:rPr>
          <w:b/>
          <w:sz w:val="24"/>
          <w:szCs w:val="24"/>
        </w:rPr>
      </w:r>
    </w:p>
    <w:p>
      <w:pPr>
        <w:pStyle w:val="Normal"/>
        <w:tabs>
          <w:tab w:val="clear" w:pos="708"/>
          <w:tab w:val="left" w:pos="1134" w:leader="none"/>
        </w:tabs>
        <w:spacing w:lineRule="auto" w:line="240"/>
        <w:ind w:firstLine="709"/>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rPr>
        <w:footnoteReference w:id="20"/>
      </w:r>
      <w:r>
        <w:rPr>
          <w:sz w:val="24"/>
          <w:szCs w:val="24"/>
        </w:rPr>
        <w:t>, а также соответствовать следующим критериям:</w:t>
      </w:r>
    </w:p>
    <w:p>
      <w:pPr>
        <w:pStyle w:val="Normal"/>
        <w:numPr>
          <w:ilvl w:val="1"/>
          <w:numId w:val="24"/>
        </w:numPr>
        <w:tabs>
          <w:tab w:val="clear" w:pos="708"/>
          <w:tab w:val="left" w:pos="1134" w:leader="none"/>
        </w:tabs>
        <w:spacing w:lineRule="auto" w:line="240"/>
        <w:ind w:left="0" w:firstLine="710"/>
        <w:rPr>
          <w:sz w:val="24"/>
          <w:szCs w:val="24"/>
        </w:rPr>
      </w:pPr>
      <w:r>
        <w:rPr>
          <w:sz w:val="24"/>
          <w:szCs w:val="24"/>
        </w:rPr>
        <w:t>Иметь действующую лицензию Центрального банка Российской Федерации (далее – ЦБ РФ) на осуществление банковских операций, при этом лицензия не должна быть приостановлена полностью или частично.</w:t>
      </w:r>
    </w:p>
    <w:p>
      <w:pPr>
        <w:pStyle w:val="Normal"/>
        <w:numPr>
          <w:ilvl w:val="1"/>
          <w:numId w:val="24"/>
        </w:numPr>
        <w:tabs>
          <w:tab w:val="clear" w:pos="708"/>
          <w:tab w:val="left" w:pos="1134" w:leader="none"/>
        </w:tabs>
        <w:spacing w:lineRule="auto" w:line="240"/>
        <w:ind w:left="0" w:firstLine="710"/>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24"/>
        </w:numPr>
        <w:tabs>
          <w:tab w:val="clear" w:pos="708"/>
          <w:tab w:val="left" w:pos="1134" w:leader="none"/>
        </w:tabs>
        <w:spacing w:lineRule="auto" w:line="240"/>
        <w:ind w:left="0" w:firstLine="710"/>
        <w:rPr>
          <w:sz w:val="24"/>
          <w:szCs w:val="24"/>
        </w:rPr>
      </w:pPr>
      <w:r>
        <w:rPr>
          <w:sz w:val="24"/>
          <w:szCs w:val="24"/>
        </w:rPr>
        <w:t xml:space="preserve">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w:t>
      </w:r>
      <w:r>
        <w:rPr>
          <w:sz w:val="24"/>
          <w:szCs w:val="24"/>
          <w:lang w:val="en-US"/>
        </w:rPr>
        <w:t>III</w:t>
      </w:r>
      <w:r>
        <w:rPr>
          <w:sz w:val="24"/>
          <w:szCs w:val="24"/>
        </w:rPr>
        <w:t>»)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2">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организацей Заказчику.</w:t>
      </w:r>
    </w:p>
    <w:p>
      <w:pPr>
        <w:pStyle w:val="Normal"/>
        <w:numPr>
          <w:ilvl w:val="1"/>
          <w:numId w:val="24"/>
        </w:numPr>
        <w:tabs>
          <w:tab w:val="clear" w:pos="708"/>
          <w:tab w:val="left" w:pos="1134" w:leader="none"/>
        </w:tabs>
        <w:spacing w:lineRule="auto" w:line="240"/>
        <w:ind w:left="0" w:firstLine="710"/>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rPr>
        <w:footnoteReference w:id="21"/>
      </w:r>
      <w:r>
        <w:rPr>
          <w:sz w:val="24"/>
          <w:szCs w:val="24"/>
        </w:rPr>
        <w:t xml:space="preserve">. </w:t>
      </w:r>
    </w:p>
    <w:p>
      <w:pPr>
        <w:pStyle w:val="Normal"/>
        <w:numPr>
          <w:ilvl w:val="1"/>
          <w:numId w:val="24"/>
        </w:numPr>
        <w:tabs>
          <w:tab w:val="clear" w:pos="708"/>
          <w:tab w:val="left" w:pos="1134" w:leader="none"/>
        </w:tabs>
        <w:spacing w:lineRule="auto" w:line="240"/>
        <w:ind w:left="0" w:firstLine="710"/>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rPr>
        <w:footnoteReference w:id="22"/>
      </w:r>
      <w:r>
        <w:rPr>
          <w:sz w:val="24"/>
          <w:szCs w:val="24"/>
        </w:rPr>
        <w:t>.</w:t>
      </w:r>
    </w:p>
    <w:p>
      <w:pPr>
        <w:pStyle w:val="Normal"/>
        <w:numPr>
          <w:ilvl w:val="1"/>
          <w:numId w:val="24"/>
        </w:numPr>
        <w:tabs>
          <w:tab w:val="clear" w:pos="708"/>
          <w:tab w:val="left" w:pos="1134" w:leader="none"/>
        </w:tabs>
        <w:spacing w:lineRule="auto" w:line="240"/>
        <w:ind w:left="0" w:firstLine="710"/>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(санации) (опубликован на сайте государственной корпорации «Агентство по страхованию вкладов» (http://www.asv.org.ru))».</w:t>
      </w:r>
    </w:p>
    <w:p>
      <w:pPr>
        <w:pStyle w:val="Normal"/>
        <w:numPr>
          <w:ilvl w:val="1"/>
          <w:numId w:val="24"/>
        </w:numPr>
        <w:tabs>
          <w:tab w:val="clear" w:pos="708"/>
          <w:tab w:val="left" w:pos="1134" w:leader="none"/>
        </w:tabs>
        <w:spacing w:lineRule="auto" w:line="240"/>
        <w:ind w:left="0" w:firstLine="710"/>
        <w:rPr>
          <w:sz w:val="24"/>
          <w:szCs w:val="24"/>
        </w:rPr>
      </w:pPr>
      <w:r>
        <w:rPr>
          <w:sz w:val="24"/>
          <w:szCs w:val="24"/>
        </w:rPr>
        <w:t>Не иметь просроченную задолженность перед Заказчиком и компаниями Группы РусГидро.</w:t>
      </w:r>
    </w:p>
    <w:p>
      <w:pPr>
        <w:pStyle w:val="Normal"/>
        <w:numPr>
          <w:ilvl w:val="1"/>
          <w:numId w:val="24"/>
        </w:numPr>
        <w:tabs>
          <w:tab w:val="clear" w:pos="708"/>
          <w:tab w:val="left" w:pos="1134" w:leader="none"/>
        </w:tabs>
        <w:spacing w:lineRule="auto" w:line="240"/>
        <w:ind w:left="0" w:firstLine="710"/>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p>
    <w:p>
      <w:pPr>
        <w:pStyle w:val="Normal"/>
        <w:numPr>
          <w:ilvl w:val="1"/>
          <w:numId w:val="24"/>
        </w:numPr>
        <w:tabs>
          <w:tab w:val="clear" w:pos="708"/>
          <w:tab w:val="left" w:pos="1134" w:leader="none"/>
        </w:tabs>
        <w:spacing w:lineRule="auto" w:line="240"/>
        <w:ind w:left="0" w:firstLine="710"/>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Id w:val="25"/>
        </w:numPr>
        <w:tabs>
          <w:tab w:val="clear" w:pos="708"/>
          <w:tab w:val="left" w:pos="1134" w:leader="none"/>
        </w:tabs>
        <w:spacing w:lineRule="auto" w:line="240"/>
        <w:ind w:left="0" w:firstLine="709"/>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25"/>
        </w:numPr>
        <w:tabs>
          <w:tab w:val="clear" w:pos="708"/>
          <w:tab w:val="left" w:pos="1134" w:leader="none"/>
        </w:tabs>
        <w:spacing w:lineRule="auto" w:line="240"/>
        <w:ind w:left="0" w:firstLine="709"/>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Указом Президента Российской Федерации от 05.06.2015 № 287 «О мерах по дальнейшему развитию малого и среднего предпринимательства» и Федеральным законом от 24.07.2007 № 209-ФЗ «О развитии малого </w:t>
        <w:br/>
        <w:t>и среднего предпринимательства в Российской Федерации».</w:t>
      </w:r>
    </w:p>
    <w:p>
      <w:pPr>
        <w:pStyle w:val="Normal"/>
        <w:numPr>
          <w:ilvl w:val="1"/>
          <w:numId w:val="25"/>
        </w:numPr>
        <w:tabs>
          <w:tab w:val="clear" w:pos="708"/>
          <w:tab w:val="left" w:pos="1134" w:leader="none"/>
        </w:tabs>
        <w:spacing w:lineRule="auto" w:line="240"/>
        <w:ind w:left="0" w:firstLine="709"/>
        <w:rPr>
          <w:sz w:val="24"/>
          <w:szCs w:val="24"/>
        </w:rPr>
      </w:pPr>
      <w:r>
        <w:rPr>
          <w:sz w:val="24"/>
          <w:szCs w:val="24"/>
        </w:rPr>
        <w:t xml:space="preserve"> </w:t>
      </w:r>
      <w:r>
        <w:rPr>
          <w:sz w:val="24"/>
          <w:szCs w:val="24"/>
        </w:rPr>
        <w:t>Утвержденную Наблюдательным советом Ассоциации «НП «Совет рынка» в качестве уполномоченной кредитной организации, ответственной за проведение расчетов между субъектами ОРЭМ.</w:t>
      </w:r>
    </w:p>
    <w:p>
      <w:pPr>
        <w:pStyle w:val="Normal"/>
        <w:numPr>
          <w:ilvl w:val="1"/>
          <w:numId w:val="25"/>
        </w:numPr>
        <w:tabs>
          <w:tab w:val="clear" w:pos="708"/>
          <w:tab w:val="left" w:pos="1134" w:leader="none"/>
        </w:tabs>
        <w:spacing w:lineRule="auto" w:line="240"/>
        <w:ind w:left="0" w:firstLine="709"/>
        <w:rPr>
          <w:sz w:val="24"/>
          <w:szCs w:val="24"/>
        </w:rPr>
      </w:pPr>
      <w:r>
        <w:rPr>
          <w:sz w:val="24"/>
          <w:szCs w:val="24"/>
        </w:rPr>
        <w:t xml:space="preserve"> </w:t>
      </w:r>
      <w:r>
        <w:rPr>
          <w:sz w:val="24"/>
          <w:szCs w:val="24"/>
        </w:rPr>
        <w:t>ВЭБ.РФ.</w:t>
      </w:r>
    </w:p>
    <w:p>
      <w:pPr>
        <w:pStyle w:val="Normal"/>
        <w:numPr>
          <w:ilvl w:val="1"/>
          <w:numId w:val="25"/>
        </w:numPr>
        <w:tabs>
          <w:tab w:val="clear" w:pos="708"/>
          <w:tab w:val="left" w:pos="1134" w:leader="none"/>
        </w:tabs>
        <w:spacing w:lineRule="auto" w:line="240"/>
        <w:ind w:left="0" w:firstLine="709"/>
        <w:rPr>
          <w:sz w:val="24"/>
          <w:szCs w:val="24"/>
        </w:rPr>
      </w:pPr>
      <w:r>
        <w:rPr>
          <w:sz w:val="24"/>
          <w:szCs w:val="24"/>
        </w:rPr>
        <w:t>Нерезидентов Российской Федерации.</w:t>
      </w:r>
    </w:p>
    <w:p>
      <w:pPr>
        <w:pStyle w:val="Normal"/>
        <w:numPr>
          <w:ilvl w:val="1"/>
          <w:numId w:val="24"/>
        </w:numPr>
        <w:tabs>
          <w:tab w:val="clear" w:pos="708"/>
          <w:tab w:val="left" w:pos="1134" w:leader="none"/>
        </w:tabs>
        <w:spacing w:lineRule="auto" w:line="240"/>
        <w:ind w:left="0" w:firstLine="710"/>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8"/>
          <w:tab w:val="left" w:pos="1134" w:leader="none"/>
        </w:tabs>
        <w:spacing w:lineRule="auto" w:line="240"/>
        <w:ind w:firstLine="709"/>
        <w:jc w:val="center"/>
        <w:rPr>
          <w:sz w:val="24"/>
          <w:szCs w:val="24"/>
        </w:rPr>
      </w:pPr>
      <w:r>
        <w:rPr>
          <w:b/>
          <w:i/>
          <w:sz w:val="24"/>
          <w:szCs w:val="24"/>
        </w:rPr>
        <w:t>Lim</w:t>
      </w:r>
      <w:r>
        <w:rPr>
          <w:b/>
          <w:i/>
          <w:sz w:val="24"/>
          <w:szCs w:val="24"/>
          <w:vertAlign w:val="subscript"/>
        </w:rPr>
        <w:t>Ai</w:t>
      </w:r>
      <w:r>
        <w:rPr>
          <w:b/>
          <w:i/>
          <w:sz w:val="24"/>
          <w:szCs w:val="24"/>
        </w:rPr>
        <w:t xml:space="preserve">  = r</w:t>
      </w:r>
      <w:r>
        <w:rPr>
          <w:b/>
          <w:i/>
          <w:sz w:val="24"/>
          <w:szCs w:val="24"/>
          <w:vertAlign w:val="subscript"/>
        </w:rPr>
        <w:t>i</w:t>
      </w:r>
      <w:r>
        <w:rPr>
          <w:b/>
          <w:i/>
          <w:sz w:val="24"/>
          <w:szCs w:val="24"/>
        </w:rPr>
        <w:t xml:space="preserve"> × СK</w:t>
      </w:r>
      <w:r>
        <w:rPr>
          <w:b/>
          <w:i/>
          <w:sz w:val="24"/>
          <w:szCs w:val="24"/>
          <w:vertAlign w:val="subscript"/>
        </w:rPr>
        <w:t>i</w:t>
      </w:r>
      <w:r>
        <w:rPr>
          <w:sz w:val="24"/>
          <w:szCs w:val="24"/>
        </w:rPr>
        <w:t xml:space="preserve">, </w:t>
      </w:r>
    </w:p>
    <w:p>
      <w:pPr>
        <w:pStyle w:val="Normal"/>
        <w:tabs>
          <w:tab w:val="clear" w:pos="708"/>
          <w:tab w:val="left" w:pos="1134" w:leader="none"/>
        </w:tabs>
        <w:spacing w:lineRule="auto" w:line="240"/>
        <w:ind w:left="708" w:firstLine="709"/>
        <w:jc w:val="left"/>
        <w:rPr>
          <w:sz w:val="24"/>
          <w:szCs w:val="24"/>
        </w:rPr>
      </w:pPr>
      <w:r>
        <w:rPr>
          <w:sz w:val="24"/>
          <w:szCs w:val="24"/>
        </w:rPr>
        <w:t>где</w:t>
      </w:r>
    </w:p>
    <w:tbl>
      <w:tblPr>
        <w:tblW w:w="963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796"/>
        <w:gridCol w:w="289"/>
        <w:gridCol w:w="322"/>
        <w:gridCol w:w="424"/>
        <w:gridCol w:w="2712"/>
        <w:gridCol w:w="4857"/>
        <w:gridCol w:w="236"/>
      </w:tblGrid>
      <w:tr>
        <w:trPr>
          <w:trHeight w:val="426" w:hRule="atLeast"/>
        </w:trPr>
        <w:tc>
          <w:tcPr>
            <w:tcW w:w="1407" w:type="dxa"/>
            <w:gridSpan w:val="3"/>
            <w:tcBorders/>
            <w:shd w:color="auto" w:fill="auto" w:val="clear"/>
          </w:tcPr>
          <w:p>
            <w:pPr>
              <w:pStyle w:val="Normal"/>
              <w:widowControl w:val="false"/>
              <w:spacing w:lineRule="auto" w:line="240"/>
              <w:ind w:right="-108" w:firstLine="567"/>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424"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7569" w:type="dxa"/>
            <w:gridSpan w:val="2"/>
            <w:tcBorders/>
            <w:shd w:color="auto" w:fill="auto" w:val="clear"/>
          </w:tcPr>
          <w:p>
            <w:pPr>
              <w:pStyle w:val="Normal"/>
              <w:widowControl w:val="false"/>
              <w:spacing w:lineRule="auto" w:line="240"/>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23"/>
            </w:r>
            <w:r>
              <w:rPr>
                <w:sz w:val="24"/>
                <w:szCs w:val="24"/>
                <w:vertAlign w:val="superscript"/>
              </w:rPr>
              <w:t>.</w:t>
            </w:r>
            <w:r>
              <w:rPr>
                <w:sz w:val="24"/>
                <w:szCs w:val="24"/>
              </w:rPr>
              <w:t xml:space="preserve"> </w:t>
            </w:r>
          </w:p>
        </w:tc>
        <w:tc>
          <w:tcPr>
            <w:tcW w:w="236" w:type="dxa"/>
            <w:tcBorders/>
          </w:tcPr>
          <w:p>
            <w:pPr>
              <w:pStyle w:val="Normal"/>
              <w:widowControl w:val="false"/>
              <w:rPr/>
            </w:pPr>
            <w:r>
              <w:rPr/>
            </w:r>
          </w:p>
        </w:tc>
      </w:tr>
      <w:tr>
        <w:trPr>
          <w:trHeight w:val="280" w:hRule="atLeast"/>
        </w:trPr>
        <w:tc>
          <w:tcPr>
            <w:tcW w:w="1407" w:type="dxa"/>
            <w:gridSpan w:val="3"/>
            <w:tcBorders/>
            <w:shd w:color="auto" w:fill="auto" w:val="clear"/>
          </w:tcPr>
          <w:p>
            <w:pPr>
              <w:pStyle w:val="Normal"/>
              <w:widowControl w:val="false"/>
              <w:spacing w:lineRule="auto" w:line="240"/>
              <w:ind w:right="-108" w:firstLine="567"/>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right="-108" w:firstLine="567"/>
              <w:rPr>
                <w:color w:val="000000"/>
                <w:sz w:val="24"/>
                <w:szCs w:val="24"/>
              </w:rPr>
            </w:pPr>
            <w:r>
              <w:rPr>
                <w:color w:val="000000"/>
                <w:sz w:val="24"/>
                <w:szCs w:val="24"/>
              </w:rPr>
            </w:r>
          </w:p>
        </w:tc>
        <w:tc>
          <w:tcPr>
            <w:tcW w:w="424" w:type="dxa"/>
            <w:tcBorders/>
            <w:shd w:color="auto" w:fill="auto" w:val="clear"/>
          </w:tcPr>
          <w:p>
            <w:pPr>
              <w:pStyle w:val="Normal"/>
              <w:widowControl w:val="false"/>
              <w:spacing w:lineRule="auto" w:line="240"/>
              <w:ind w:right="-108" w:firstLine="567"/>
              <w:rPr>
                <w:color w:val="000000"/>
                <w:sz w:val="24"/>
                <w:szCs w:val="24"/>
              </w:rPr>
            </w:pPr>
            <w:r>
              <w:rPr>
                <w:sz w:val="24"/>
                <w:szCs w:val="24"/>
              </w:rPr>
              <w:t>-</w:t>
            </w:r>
            <w:r>
              <w:rPr>
                <w:color w:val="000000"/>
                <w:sz w:val="24"/>
                <w:szCs w:val="24"/>
              </w:rPr>
              <w:t xml:space="preserve">  </w:t>
            </w:r>
          </w:p>
        </w:tc>
        <w:tc>
          <w:tcPr>
            <w:tcW w:w="7569" w:type="dxa"/>
            <w:gridSpan w:val="2"/>
            <w:tcBorders/>
            <w:shd w:color="auto" w:fill="auto" w:val="clear"/>
          </w:tcPr>
          <w:p>
            <w:pPr>
              <w:pStyle w:val="Normal"/>
              <w:widowControl w:val="false"/>
              <w:spacing w:lineRule="auto" w:line="240"/>
              <w:ind w:left="-75" w:right="-108" w:firstLine="75"/>
              <w:rPr>
                <w:color w:val="000000"/>
                <w:sz w:val="24"/>
                <w:szCs w:val="24"/>
              </w:rPr>
            </w:pPr>
            <w:r>
              <w:rPr>
                <w:sz w:val="24"/>
                <w:szCs w:val="24"/>
              </w:rPr>
              <w:t xml:space="preserve">размер собственных средств (капитала) i-ой кредитной организации на 01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3">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c>
          <w:tcPr>
            <w:tcW w:w="236" w:type="dxa"/>
            <w:tcBorders/>
          </w:tcPr>
          <w:p>
            <w:pPr>
              <w:pStyle w:val="Normal"/>
              <w:widowControl w:val="false"/>
              <w:rPr/>
            </w:pPr>
            <w:r>
              <w:rPr/>
            </w:r>
          </w:p>
        </w:tc>
      </w:tr>
      <w:tr>
        <w:trPr>
          <w:trHeight w:val="993" w:hRule="atLeast"/>
        </w:trPr>
        <w:tc>
          <w:tcPr>
            <w:tcW w:w="796" w:type="dxa"/>
            <w:tcBorders/>
          </w:tcPr>
          <w:p>
            <w:pPr>
              <w:pStyle w:val="Normal"/>
              <w:widowControl w:val="false"/>
              <w:spacing w:lineRule="auto" w:line="240"/>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9" w:type="dxa"/>
            <w:tcBorders/>
          </w:tcPr>
          <w:p>
            <w:pPr>
              <w:pStyle w:val="Normal"/>
              <w:widowControl w:val="false"/>
              <w:spacing w:lineRule="auto" w:line="240"/>
              <w:ind w:right="-108" w:firstLine="567"/>
              <w:rPr>
                <w:sz w:val="24"/>
                <w:szCs w:val="24"/>
              </w:rPr>
            </w:pPr>
            <w:r>
              <w:rPr>
                <w:sz w:val="24"/>
                <w:szCs w:val="24"/>
              </w:rPr>
              <w:t>-</w:t>
            </w:r>
          </w:p>
        </w:tc>
        <w:tc>
          <w:tcPr>
            <w:tcW w:w="8315" w:type="dxa"/>
            <w:gridSpan w:val="4"/>
            <w:tcBorders/>
          </w:tcPr>
          <w:p>
            <w:pPr>
              <w:pStyle w:val="Normal"/>
              <w:widowControl w:val="false"/>
              <w:tabs>
                <w:tab w:val="clear" w:pos="708"/>
                <w:tab w:val="left" w:pos="7130" w:leader="none"/>
              </w:tabs>
              <w:spacing w:lineRule="auto" w:line="240"/>
              <w:ind w:right="-108" w:firstLine="567"/>
              <w:rPr>
                <w:sz w:val="24"/>
                <w:szCs w:val="24"/>
              </w:rPr>
            </w:pPr>
            <w:r>
              <w:rPr>
                <w:sz w:val="24"/>
                <w:szCs w:val="24"/>
              </w:rPr>
              <w:t>рейтинговый коэффициент</w:t>
            </w:r>
            <w:r>
              <w:rPr>
                <w:rStyle w:val="FootnoteReference"/>
                <w:sz w:val="24"/>
                <w:szCs w:val="24"/>
              </w:rPr>
              <w:footnoteReference w:id="24"/>
            </w:r>
            <w:r>
              <w:rPr>
                <w:sz w:val="24"/>
                <w:szCs w:val="24"/>
              </w:rPr>
              <w:t xml:space="preserve"> для i-ой кредитной организации, равный:</w:t>
            </w:r>
          </w:p>
          <w:p>
            <w:pPr>
              <w:pStyle w:val="Normal"/>
              <w:widowControl w:val="false"/>
              <w:spacing w:lineRule="auto" w:line="240"/>
              <w:ind w:firstLine="492"/>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spacing w:lineRule="auto" w:line="240"/>
              <w:ind w:left="67" w:firstLine="425"/>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spacing w:lineRule="auto" w:line="240"/>
              <w:ind w:firstLine="492"/>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c>
          <w:tcPr>
            <w:tcW w:w="236" w:type="dxa"/>
            <w:tcBorders/>
          </w:tcPr>
          <w:p>
            <w:pPr>
              <w:pStyle w:val="Normal"/>
              <w:widowControl w:val="false"/>
              <w:rPr/>
            </w:pPr>
            <w:r>
              <w:rPr/>
            </w:r>
          </w:p>
        </w:tc>
      </w:tr>
      <w:tr>
        <w:trPr>
          <w:trHeight w:val="1380" w:hRule="atLeast"/>
        </w:trPr>
        <w:tc>
          <w:tcPr>
            <w:tcW w:w="4543" w:type="dxa"/>
            <w:gridSpan w:val="5"/>
            <w:tcBorders/>
            <w:shd w:color="auto" w:fill="auto" w:val="clear"/>
          </w:tcPr>
          <w:p>
            <w:pPr>
              <w:pStyle w:val="Normal"/>
              <w:widowControl w:val="false"/>
              <w:spacing w:lineRule="auto" w:line="240"/>
              <w:ind w:hanging="0"/>
              <w:rPr>
                <w:b/>
                <w:sz w:val="24"/>
                <w:szCs w:val="24"/>
              </w:rPr>
            </w:pPr>
            <w:r>
              <w:rPr>
                <w:b/>
                <w:sz w:val="24"/>
                <w:szCs w:val="24"/>
              </w:rPr>
            </w:r>
          </w:p>
        </w:tc>
        <w:tc>
          <w:tcPr>
            <w:tcW w:w="5093" w:type="dxa"/>
            <w:gridSpan w:val="2"/>
            <w:tcBorders/>
            <w:shd w:color="auto" w:fill="auto" w:val="clear"/>
          </w:tcPr>
          <w:p>
            <w:pPr>
              <w:pStyle w:val="Normal"/>
              <w:widowControl w:val="false"/>
              <w:spacing w:lineRule="auto" w:line="240"/>
              <w:ind w:hanging="0"/>
              <w:rPr>
                <w:b/>
                <w:sz w:val="24"/>
                <w:szCs w:val="24"/>
              </w:rPr>
            </w:pPr>
            <w:r>
              <w:rPr>
                <w:b/>
                <w:sz w:val="24"/>
                <w:szCs w:val="24"/>
              </w:rPr>
            </w:r>
          </w:p>
        </w:tc>
      </w:tr>
    </w:tbl>
    <w:p>
      <w:pPr>
        <w:pStyle w:val="Normal"/>
        <w:spacing w:lineRule="auto" w:line="240"/>
        <w:ind w:hanging="0"/>
        <w:rPr>
          <w:sz w:val="24"/>
          <w:szCs w:val="24"/>
        </w:rPr>
      </w:pPr>
      <w:r>
        <w:rPr>
          <w:sz w:val="24"/>
          <w:szCs w:val="24"/>
        </w:rPr>
      </w:r>
    </w:p>
    <w:tbl>
      <w:tblPr>
        <w:tblW w:w="963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2"/>
        <w:gridCol w:w="4994"/>
      </w:tblGrid>
      <w:tr>
        <w:trPr>
          <w:trHeight w:val="1380" w:hRule="atLeast"/>
        </w:trPr>
        <w:tc>
          <w:tcPr>
            <w:tcW w:w="4642" w:type="dxa"/>
            <w:tcBorders/>
            <w:shd w:color="auto" w:fill="auto" w:val="clear"/>
          </w:tcPr>
          <w:p>
            <w:pPr>
              <w:pStyle w:val="Normal"/>
              <w:widowControl w:val="false"/>
              <w:spacing w:lineRule="auto" w:line="240"/>
              <w:ind w:hanging="0"/>
              <w:rPr>
                <w:b/>
                <w:sz w:val="24"/>
              </w:rPr>
            </w:pPr>
            <w:r>
              <w:rPr>
                <w:b/>
                <w:sz w:val="24"/>
              </w:rPr>
              <w:t xml:space="preserve">         </w:t>
            </w:r>
            <w:r>
              <w:rPr>
                <w:b/>
                <w:sz w:val="24"/>
              </w:rPr>
              <w:t>От Заказчика:</w:t>
            </w:r>
          </w:p>
          <w:p>
            <w:pPr>
              <w:pStyle w:val="Normal"/>
              <w:widowControl w:val="false"/>
              <w:rPr>
                <w:color w:val="000000"/>
                <w:sz w:val="24"/>
                <w:szCs w:val="24"/>
              </w:rPr>
            </w:pPr>
            <w:r>
              <w:rPr>
                <w:color w:val="000000"/>
                <w:sz w:val="24"/>
                <w:szCs w:val="24"/>
              </w:rPr>
            </w:r>
          </w:p>
        </w:tc>
        <w:tc>
          <w:tcPr>
            <w:tcW w:w="4994" w:type="dxa"/>
            <w:tcBorders/>
            <w:shd w:color="auto" w:fill="auto" w:val="clear"/>
          </w:tcPr>
          <w:p>
            <w:pPr>
              <w:pStyle w:val="Normal"/>
              <w:widowControl w:val="false"/>
              <w:spacing w:lineRule="auto" w:line="240"/>
              <w:ind w:hanging="0"/>
              <w:rPr>
                <w:b/>
                <w:sz w:val="24"/>
                <w:szCs w:val="24"/>
              </w:rPr>
            </w:pPr>
            <w:r>
              <w:rPr>
                <w:b/>
                <w:sz w:val="24"/>
                <w:szCs w:val="24"/>
              </w:rPr>
              <w:t xml:space="preserve">         </w:t>
            </w:r>
            <w:r>
              <w:rPr>
                <w:b/>
                <w:sz w:val="24"/>
                <w:szCs w:val="24"/>
              </w:rPr>
              <w:t>От Подрядчика:</w:t>
            </w:r>
          </w:p>
          <w:p>
            <w:pPr>
              <w:pStyle w:val="Normal"/>
              <w:widowControl w:val="false"/>
              <w:rPr>
                <w:color w:val="000000"/>
                <w:sz w:val="24"/>
                <w:szCs w:val="24"/>
              </w:rPr>
            </w:pPr>
            <w:r>
              <w:rPr>
                <w:color w:val="000000"/>
                <w:sz w:val="24"/>
                <w:szCs w:val="24"/>
              </w:rPr>
            </w:r>
          </w:p>
        </w:tc>
      </w:tr>
    </w:tbl>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jc w:val="center"/>
        <w:rPr/>
      </w:pPr>
      <w:r>
        <w:rPr/>
      </w:r>
    </w:p>
    <w:p>
      <w:pPr>
        <w:pStyle w:val="Normal"/>
        <w:tabs>
          <w:tab w:val="clear" w:pos="708"/>
          <w:tab w:val="left" w:pos="1134" w:leader="none"/>
        </w:tabs>
        <w:spacing w:lineRule="auto" w:line="240"/>
        <w:ind w:hanging="0"/>
        <w:rPr/>
      </w:pPr>
      <w:r>
        <w:rPr/>
      </w:r>
    </w:p>
    <w:p>
      <w:pPr>
        <w:pStyle w:val="Normal"/>
        <w:snapToGrid w:val="false"/>
        <w:spacing w:lineRule="auto" w:line="240"/>
        <w:ind w:firstLine="5387"/>
        <w:jc w:val="right"/>
        <w:rPr>
          <w:sz w:val="22"/>
          <w:szCs w:val="22"/>
        </w:rPr>
      </w:pPr>
      <w:r>
        <w:rPr>
          <w:sz w:val="22"/>
          <w:szCs w:val="22"/>
        </w:rPr>
        <w:t>Приложение № 10</w:t>
      </w:r>
    </w:p>
    <w:p>
      <w:pPr>
        <w:pStyle w:val="Normal"/>
        <w:spacing w:lineRule="auto" w:line="240"/>
        <w:ind w:left="720" w:firstLine="4820"/>
        <w:jc w:val="right"/>
        <w:rPr>
          <w:sz w:val="22"/>
          <w:szCs w:val="22"/>
        </w:rPr>
      </w:pPr>
      <w:r>
        <w:rPr>
          <w:sz w:val="22"/>
          <w:szCs w:val="22"/>
        </w:rPr>
        <w:t>к Договору подряда</w:t>
      </w:r>
    </w:p>
    <w:p>
      <w:pPr>
        <w:pStyle w:val="Normal"/>
        <w:tabs>
          <w:tab w:val="clear" w:pos="708"/>
          <w:tab w:val="left" w:pos="1134" w:leader="none"/>
        </w:tabs>
        <w:spacing w:lineRule="auto" w:line="240"/>
        <w:jc w:val="right"/>
        <w:rPr>
          <w:bCs/>
          <w:color w:val="000000"/>
          <w:sz w:val="22"/>
          <w:szCs w:val="22"/>
        </w:rPr>
      </w:pPr>
      <w:r>
        <w:rPr>
          <w:bCs/>
          <w:color w:val="000000"/>
          <w:sz w:val="22"/>
          <w:szCs w:val="22"/>
        </w:rPr>
        <w:t>от «____» __________ 2026 г. №  __________</w:t>
      </w:r>
    </w:p>
    <w:p>
      <w:pPr>
        <w:pStyle w:val="Normal"/>
        <w:tabs>
          <w:tab w:val="clear" w:pos="708"/>
          <w:tab w:val="left" w:pos="1134" w:leader="none"/>
        </w:tabs>
        <w:spacing w:lineRule="auto" w:line="240"/>
        <w:jc w:val="right"/>
        <w:rPr>
          <w:bCs/>
          <w:color w:val="000000"/>
          <w:sz w:val="22"/>
          <w:szCs w:val="22"/>
        </w:rPr>
      </w:pPr>
      <w:r>
        <w:rPr>
          <w:bCs/>
          <w:color w:val="000000"/>
          <w:sz w:val="22"/>
          <w:szCs w:val="22"/>
        </w:rPr>
      </w:r>
    </w:p>
    <w:p>
      <w:pPr>
        <w:pStyle w:val="Normal"/>
        <w:spacing w:lineRule="auto" w:line="276"/>
        <w:ind w:firstLine="709"/>
        <w:jc w:val="center"/>
        <w:rPr>
          <w:sz w:val="24"/>
          <w:szCs w:val="24"/>
        </w:rPr>
      </w:pPr>
      <w:r>
        <w:rPr>
          <w:sz w:val="24"/>
          <w:szCs w:val="24"/>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t>
      </w:r>
    </w:p>
    <w:p>
      <w:pPr>
        <w:pStyle w:val="Normal"/>
        <w:spacing w:lineRule="auto" w:line="276"/>
        <w:ind w:firstLine="709"/>
        <w:jc w:val="center"/>
        <w:rPr>
          <w:sz w:val="24"/>
          <w:szCs w:val="24"/>
        </w:rPr>
      </w:pPr>
      <w:r>
        <w:rPr>
          <w:sz w:val="24"/>
          <w:szCs w:val="24"/>
        </w:rPr>
      </w:r>
    </w:p>
    <w:p>
      <w:pPr>
        <w:pStyle w:val="Normal"/>
        <w:spacing w:lineRule="auto" w:line="276" w:before="20" w:after="20"/>
        <w:ind w:firstLine="709"/>
        <w:rPr>
          <w:sz w:val="24"/>
          <w:szCs w:val="24"/>
        </w:rPr>
      </w:pPr>
      <w:r>
        <w:rPr>
          <w:sz w:val="24"/>
          <w:szCs w:val="24"/>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spacing w:lineRule="auto" w:line="276" w:before="120" w:after="20"/>
        <w:ind w:firstLine="709"/>
        <w:rPr>
          <w:sz w:val="24"/>
          <w:szCs w:val="24"/>
        </w:rPr>
      </w:pPr>
      <w:r>
        <w:rPr>
          <w:sz w:val="24"/>
          <w:szCs w:val="24"/>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2, 3,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Филиала АО «СО ЕЭС» ОДУ Востока» (далее – Положение).</w:t>
      </w:r>
    </w:p>
    <w:p>
      <w:pPr>
        <w:pStyle w:val="Normal"/>
        <w:spacing w:lineRule="auto" w:line="276" w:before="20" w:after="20"/>
        <w:ind w:firstLine="709"/>
        <w:rPr>
          <w:bCs/>
          <w:sz w:val="24"/>
          <w:szCs w:val="24"/>
        </w:rPr>
      </w:pPr>
      <w:r>
        <w:rPr>
          <w:sz w:val="24"/>
          <w:szCs w:val="24"/>
        </w:rPr>
        <w:t xml:space="preserve"> </w:t>
      </w:r>
      <w:r>
        <w:rPr>
          <w:sz w:val="24"/>
          <w:szCs w:val="24"/>
        </w:rPr>
        <w:t xml:space="preserve">В заявках должны быть указаны: </w:t>
      </w:r>
    </w:p>
    <w:p>
      <w:pPr>
        <w:pStyle w:val="Normal"/>
        <w:numPr>
          <w:ilvl w:val="0"/>
          <w:numId w:val="31"/>
        </w:numPr>
        <w:suppressAutoHyphens w:val="false"/>
        <w:spacing w:lineRule="auto" w:line="276" w:before="0" w:after="160"/>
        <w:ind w:left="0" w:firstLine="709"/>
        <w:rPr>
          <w:bCs/>
          <w:sz w:val="24"/>
          <w:szCs w:val="24"/>
        </w:rPr>
      </w:pPr>
      <w:r>
        <w:rPr>
          <w:bCs/>
          <w:sz w:val="24"/>
          <w:szCs w:val="24"/>
        </w:rPr>
        <w:t>номер заявки;</w:t>
      </w:r>
    </w:p>
    <w:p>
      <w:pPr>
        <w:pStyle w:val="Normal"/>
        <w:numPr>
          <w:ilvl w:val="0"/>
          <w:numId w:val="31"/>
        </w:numPr>
        <w:suppressAutoHyphens w:val="false"/>
        <w:spacing w:lineRule="auto" w:line="276" w:before="0" w:after="160"/>
        <w:ind w:left="0" w:firstLine="709"/>
        <w:rPr>
          <w:bCs/>
          <w:sz w:val="24"/>
          <w:szCs w:val="24"/>
        </w:rPr>
      </w:pPr>
      <w:r>
        <w:rPr>
          <w:bCs/>
          <w:sz w:val="24"/>
          <w:szCs w:val="24"/>
        </w:rPr>
        <w:t>подающее предприятие;</w:t>
      </w:r>
    </w:p>
    <w:p>
      <w:pPr>
        <w:pStyle w:val="Normal"/>
        <w:numPr>
          <w:ilvl w:val="0"/>
          <w:numId w:val="31"/>
        </w:numPr>
        <w:suppressAutoHyphens w:val="false"/>
        <w:spacing w:lineRule="auto" w:line="276" w:before="0" w:after="160"/>
        <w:ind w:left="0" w:firstLine="709"/>
        <w:rPr>
          <w:bCs/>
          <w:sz w:val="24"/>
          <w:szCs w:val="24"/>
        </w:rPr>
      </w:pPr>
      <w:r>
        <w:rPr>
          <w:bCs/>
          <w:sz w:val="24"/>
          <w:szCs w:val="24"/>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31"/>
        </w:numPr>
        <w:suppressAutoHyphens w:val="false"/>
        <w:spacing w:lineRule="auto" w:line="276" w:before="0" w:after="160"/>
        <w:ind w:left="0" w:firstLine="709"/>
        <w:rPr>
          <w:bCs/>
          <w:sz w:val="24"/>
          <w:szCs w:val="24"/>
        </w:rPr>
      </w:pPr>
      <w:r>
        <w:rPr>
          <w:bCs/>
          <w:sz w:val="24"/>
          <w:szCs w:val="24"/>
        </w:rPr>
        <w:t>вид ремонта, вид и категория заявки;</w:t>
      </w:r>
    </w:p>
    <w:p>
      <w:pPr>
        <w:pStyle w:val="Normal"/>
        <w:numPr>
          <w:ilvl w:val="0"/>
          <w:numId w:val="31"/>
        </w:numPr>
        <w:suppressAutoHyphens w:val="false"/>
        <w:spacing w:lineRule="auto" w:line="276" w:before="0" w:after="160"/>
        <w:ind w:left="0" w:firstLine="709"/>
        <w:rPr>
          <w:bCs/>
          <w:sz w:val="24"/>
          <w:szCs w:val="24"/>
        </w:rPr>
      </w:pPr>
      <w:r>
        <w:rPr>
          <w:bCs/>
          <w:sz w:val="24"/>
          <w:szCs w:val="24"/>
        </w:rPr>
        <w:t>величина снижения максимальной мощности;</w:t>
      </w:r>
    </w:p>
    <w:p>
      <w:pPr>
        <w:pStyle w:val="Normal"/>
        <w:numPr>
          <w:ilvl w:val="0"/>
          <w:numId w:val="31"/>
        </w:numPr>
        <w:suppressAutoHyphens w:val="false"/>
        <w:spacing w:lineRule="auto" w:line="276" w:before="0" w:after="160"/>
        <w:ind w:left="0" w:firstLine="709"/>
        <w:rPr>
          <w:bCs/>
          <w:sz w:val="24"/>
          <w:szCs w:val="24"/>
        </w:rPr>
      </w:pPr>
      <w:r>
        <w:rPr>
          <w:bCs/>
          <w:sz w:val="24"/>
          <w:szCs w:val="24"/>
        </w:rPr>
        <w:t>содержание работ;</w:t>
      </w:r>
    </w:p>
    <w:p>
      <w:pPr>
        <w:pStyle w:val="Normal"/>
        <w:numPr>
          <w:ilvl w:val="0"/>
          <w:numId w:val="31"/>
        </w:numPr>
        <w:suppressAutoHyphens w:val="false"/>
        <w:spacing w:lineRule="auto" w:line="276" w:before="0" w:after="160"/>
        <w:ind w:left="0" w:firstLine="709"/>
        <w:rPr>
          <w:bCs/>
          <w:sz w:val="24"/>
          <w:szCs w:val="24"/>
        </w:rPr>
      </w:pPr>
      <w:r>
        <w:rPr>
          <w:bCs/>
          <w:sz w:val="24"/>
          <w:szCs w:val="24"/>
        </w:rPr>
        <w:t>время подачи заявки;</w:t>
      </w:r>
    </w:p>
    <w:p>
      <w:pPr>
        <w:pStyle w:val="Normal"/>
        <w:numPr>
          <w:ilvl w:val="0"/>
          <w:numId w:val="31"/>
        </w:numPr>
        <w:suppressAutoHyphens w:val="false"/>
        <w:spacing w:lineRule="auto" w:line="276" w:before="0" w:after="160"/>
        <w:ind w:left="0" w:firstLine="709"/>
        <w:rPr>
          <w:sz w:val="24"/>
          <w:szCs w:val="24"/>
        </w:rPr>
      </w:pPr>
      <w:r>
        <w:rPr>
          <w:bCs/>
          <w:sz w:val="24"/>
          <w:szCs w:val="24"/>
        </w:rPr>
        <w:t>время начала и конца действия заявки и другое, согласно приложения № 6 к Положению.</w:t>
      </w:r>
    </w:p>
    <w:p>
      <w:pPr>
        <w:pStyle w:val="Normal"/>
        <w:spacing w:lineRule="auto" w:line="276" w:before="120" w:after="20"/>
        <w:ind w:firstLine="709"/>
        <w:rPr>
          <w:sz w:val="24"/>
          <w:szCs w:val="24"/>
        </w:rPr>
      </w:pPr>
      <w:r>
        <w:rPr>
          <w:sz w:val="24"/>
          <w:szCs w:val="24"/>
        </w:rPr>
        <w:t>2.</w:t>
        <w:tab/>
        <w:t xml:space="preserve"> Данные о параметрах готовности генерирующего оборудования к выработке электроэнергии (далее – ГРМ), а также информация о фактической нагрузке по данным СОТИАССО на конец каждого часа отчетного месяца по ГТП, сформированные Системным оператором в соответствии с п. 6  «Технических требований к генерирующему оборудованию участников оптового рынка», п. 5 «Порядка установления соответствия генерирующего оборудования участников оптового рынка техническим требованиям»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p>
    <w:p>
      <w:pPr>
        <w:pStyle w:val="Normal"/>
        <w:spacing w:lineRule="auto" w:line="276" w:before="120" w:after="20"/>
        <w:ind w:firstLine="709"/>
        <w:rPr>
          <w:sz w:val="24"/>
          <w:szCs w:val="24"/>
        </w:rPr>
      </w:pPr>
      <w:r>
        <w:rPr/>
        <w:drawing>
          <wp:inline distT="0" distB="0" distL="0" distR="0">
            <wp:extent cx="330835" cy="25273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4"/>
                    <a:stretch>
                      <a:fillRect/>
                    </a:stretch>
                  </pic:blipFill>
                  <pic:spPr bwMode="auto">
                    <a:xfrm>
                      <a:off x="0" y="0"/>
                      <a:ext cx="330835" cy="252730"/>
                    </a:xfrm>
                    <a:prstGeom prst="rect">
                      <a:avLst/>
                    </a:prstGeom>
                  </pic:spPr>
                </pic:pic>
              </a:graphicData>
            </a:graphic>
          </wp:inline>
        </w:drawing>
      </w:r>
      <w:r>
        <w:rPr>
          <w:sz w:val="24"/>
          <w:szCs w:val="24"/>
        </w:rPr>
        <w:t xml:space="preserve"> – </w:t>
      </w:r>
      <w:r>
        <w:rPr>
          <w:sz w:val="24"/>
          <w:szCs w:val="24"/>
        </w:rPr>
        <w:t xml:space="preserve">величина согласованных ограничений установленной мощности в пределах, заявленных по процедуре конкурентного отбора мощности (КОМ); </w:t>
      </w:r>
    </w:p>
    <w:p>
      <w:pPr>
        <w:pStyle w:val="Normal"/>
        <w:spacing w:lineRule="auto" w:line="276" w:before="120" w:after="20"/>
        <w:ind w:firstLine="709"/>
        <w:rPr>
          <w:sz w:val="24"/>
          <w:szCs w:val="24"/>
        </w:rPr>
      </w:pPr>
      <w:r>
        <w:rPr/>
        <w:drawing>
          <wp:inline distT="0" distB="0" distL="0" distR="0">
            <wp:extent cx="330835" cy="252730"/>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25"/>
                    <a:stretch>
                      <a:fillRect/>
                    </a:stretch>
                  </pic:blipFill>
                  <pic:spPr bwMode="auto">
                    <a:xfrm>
                      <a:off x="0" y="0"/>
                      <a:ext cx="330835" cy="252730"/>
                    </a:xfrm>
                    <a:prstGeom prst="rect">
                      <a:avLst/>
                    </a:prstGeom>
                  </pic:spPr>
                </pic:pic>
              </a:graphicData>
            </a:graphic>
          </wp:inline>
        </w:drawing>
      </w:r>
      <w:r>
        <w:rPr>
          <w:sz w:val="24"/>
          <w:szCs w:val="24"/>
        </w:rPr>
        <w:t xml:space="preserve"> – </w:t>
      </w:r>
      <w:r>
        <w:rPr>
          <w:sz w:val="24"/>
          <w:szCs w:val="24"/>
        </w:rPr>
        <w:t>величина согласованных ограничений установленной мощности сверх, заявленных в КОМ;</w:t>
      </w:r>
    </w:p>
    <w:p>
      <w:pPr>
        <w:pStyle w:val="Normal"/>
        <w:spacing w:lineRule="auto" w:line="276" w:before="20" w:after="20"/>
        <w:ind w:firstLine="709"/>
        <w:rPr>
          <w:sz w:val="24"/>
          <w:szCs w:val="24"/>
        </w:rPr>
      </w:pPr>
      <w:r>
        <w:rPr/>
        <w:drawing>
          <wp:inline distT="0" distB="0" distL="0" distR="0">
            <wp:extent cx="318770" cy="223520"/>
            <wp:effectExtent l="0" t="0" r="0" b="0"/>
            <wp:docPr id="3" name="Рисунок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1" descr=""/>
                    <pic:cNvPicPr>
                      <a:picLocks noChangeAspect="1" noChangeArrowheads="1"/>
                    </pic:cNvPicPr>
                  </pic:nvPicPr>
                  <pic:blipFill>
                    <a:blip r:embed="rId26"/>
                    <a:stretch>
                      <a:fillRect/>
                    </a:stretch>
                  </pic:blipFill>
                  <pic:spPr bwMode="auto">
                    <a:xfrm>
                      <a:off x="0" y="0"/>
                      <a:ext cx="318770" cy="223520"/>
                    </a:xfrm>
                    <a:prstGeom prst="rect">
                      <a:avLst/>
                    </a:prstGeom>
                  </pic:spPr>
                </pic:pic>
              </a:graphicData>
            </a:graphic>
          </wp:inline>
        </w:drawing>
      </w:r>
      <w:r>
        <w:rPr>
          <w:sz w:val="24"/>
          <w:szCs w:val="24"/>
        </w:rPr>
        <w:t xml:space="preserve"> – </w:t>
      </w:r>
      <w:r>
        <w:rPr>
          <w:sz w:val="24"/>
          <w:szCs w:val="24"/>
        </w:rPr>
        <w:t>величина согласованного планового ремонтного снижения мощности;</w:t>
      </w:r>
    </w:p>
    <w:p>
      <w:pPr>
        <w:pStyle w:val="Normal"/>
        <w:spacing w:lineRule="auto" w:line="276" w:before="20" w:after="20"/>
        <w:ind w:firstLine="709"/>
        <w:rPr>
          <w:sz w:val="24"/>
          <w:szCs w:val="24"/>
        </w:rPr>
      </w:pPr>
      <w:r>
        <mc:AlternateContent>
          <mc:Choice Requires="wps">
            <w:drawing>
              <wp:anchor behindDoc="0" distT="5080" distB="5080" distL="5080" distR="5080" simplePos="0" locked="0" layoutInCell="0" allowOverlap="1" relativeHeight="52" wp14:anchorId="67963C1B">
                <wp:simplePos x="0" y="0"/>
                <wp:positionH relativeFrom="column">
                  <wp:posOffset>0</wp:posOffset>
                </wp:positionH>
                <wp:positionV relativeFrom="paragraph">
                  <wp:posOffset>5080</wp:posOffset>
                </wp:positionV>
                <wp:extent cx="635000" cy="629920"/>
                <wp:effectExtent l="5080" t="5080" r="5080" b="5080"/>
                <wp:wrapNone/>
                <wp:docPr id="4" name="Прямоугольник 54" hidden="1"/>
                <a:graphic xmlns:a="http://schemas.openxmlformats.org/drawingml/2006/main">
                  <a:graphicData uri="http://schemas.microsoft.com/office/word/2010/wordprocessingShape">
                    <wps:wsp>
                      <wps:cNvSpPr/>
                      <wps:spPr>
                        <a:xfrm>
                          <a:off x="0" y="0"/>
                          <a:ext cx="635040" cy="630000"/>
                        </a:xfrm>
                        <a:prstGeom prst="rect">
                          <a:avLst/>
                        </a:prstGeom>
                        <a:solidFill>
                          <a:srgbClr val="ffffff"/>
                        </a:solidFill>
                        <a:ln w="9360">
                          <a:solidFill>
                            <a:srgbClr val="000000"/>
                          </a:solidFill>
                          <a:round/>
                        </a:ln>
                      </wps:spPr>
                      <wps:style>
                        <a:lnRef idx="0"/>
                        <a:fillRef idx="0"/>
                        <a:effectRef idx="0"/>
                        <a:fontRef idx="minor"/>
                      </wps:style>
                      <wps:bodyPr/>
                    </wps:wsp>
                  </a:graphicData>
                </a:graphic>
              </wp:anchor>
            </w:drawing>
          </mc:Choice>
          <mc:Fallback>
            <w:pict>
              <v:rect id="shape_0" ID="Прямоугольник 54" path="m0,0l-2147483645,0l-2147483645,-2147483646l0,-2147483646xe" fillcolor="white" stroked="t" o:allowincell="f" style="position:absolute;margin-left:0pt;margin-top:0.4pt;width:49.95pt;height:49.55pt;mso-wrap-style:none;v-text-anchor:middle" wp14:anchorId="67963C1B">
                <v:fill o:detectmouseclick="t" type="solid" color2="black"/>
                <v:stroke color="black" weight="9360" joinstyle="round" endcap="flat"/>
                <w10:wrap type="none"/>
              </v:rect>
            </w:pict>
          </mc:Fallback>
        </mc:AlternateContent>
      </w:r>
      <w:r>
        <w:rPr/>
        <w:drawing>
          <wp:inline distT="0" distB="0" distL="0" distR="0">
            <wp:extent cx="340360" cy="262890"/>
            <wp:effectExtent l="0" t="0" r="0" b="0"/>
            <wp:docPr id="5"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3" descr=""/>
                    <pic:cNvPicPr>
                      <a:picLocks noChangeAspect="1" noChangeArrowheads="1"/>
                    </pic:cNvPicPr>
                  </pic:nvPicPr>
                  <pic:blipFill>
                    <a:blip r:embed="rId27"/>
                    <a:stretch>
                      <a:fillRect/>
                    </a:stretch>
                  </pic:blipFill>
                  <pic:spPr bwMode="auto">
                    <a:xfrm>
                      <a:off x="0" y="0"/>
                      <a:ext cx="340360" cy="262890"/>
                    </a:xfrm>
                    <a:prstGeom prst="rect">
                      <a:avLst/>
                    </a:prstGeom>
                  </pic:spPr>
                </pic:pic>
              </a:graphicData>
            </a:graphic>
          </wp:inline>
        </w:drawing>
      </w:r>
      <w:r>
        <w:rPr>
          <w:sz w:val="24"/>
          <w:szCs w:val="24"/>
        </w:rPr>
        <w:t xml:space="preserve"> – </w:t>
      </w:r>
      <w:r>
        <w:rPr>
          <w:sz w:val="24"/>
          <w:szCs w:val="24"/>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lineRule="auto" w:line="276" w:before="20" w:after="20"/>
        <w:ind w:firstLine="709"/>
        <w:rPr>
          <w:sz w:val="24"/>
          <w:szCs w:val="24"/>
        </w:rPr>
      </w:pPr>
      <w:r>
        <mc:AlternateContent>
          <mc:Choice Requires="wps">
            <w:drawing>
              <wp:anchor behindDoc="0" distT="5080" distB="5080" distL="5080" distR="5080" simplePos="0" locked="0" layoutInCell="0" allowOverlap="1" relativeHeight="53" wp14:anchorId="098CD624">
                <wp:simplePos x="0" y="0"/>
                <wp:positionH relativeFrom="column">
                  <wp:posOffset>0</wp:posOffset>
                </wp:positionH>
                <wp:positionV relativeFrom="paragraph">
                  <wp:posOffset>5080</wp:posOffset>
                </wp:positionV>
                <wp:extent cx="635000" cy="629920"/>
                <wp:effectExtent l="5080" t="5080" r="5080" b="5080"/>
                <wp:wrapNone/>
                <wp:docPr id="6" name="Прямоугольник 53" hidden="1"/>
                <a:graphic xmlns:a="http://schemas.openxmlformats.org/drawingml/2006/main">
                  <a:graphicData uri="http://schemas.microsoft.com/office/word/2010/wordprocessingShape">
                    <wps:wsp>
                      <wps:cNvSpPr/>
                      <wps:spPr>
                        <a:xfrm>
                          <a:off x="0" y="0"/>
                          <a:ext cx="635040" cy="630000"/>
                        </a:xfrm>
                        <a:prstGeom prst="rect">
                          <a:avLst/>
                        </a:prstGeom>
                        <a:solidFill>
                          <a:srgbClr val="ffffff"/>
                        </a:solidFill>
                        <a:ln w="9360">
                          <a:solidFill>
                            <a:srgbClr val="000000"/>
                          </a:solidFill>
                          <a:round/>
                        </a:ln>
                      </wps:spPr>
                      <wps:style>
                        <a:lnRef idx="0"/>
                        <a:fillRef idx="0"/>
                        <a:effectRef idx="0"/>
                        <a:fontRef idx="minor"/>
                      </wps:style>
                      <wps:bodyPr/>
                    </wps:wsp>
                  </a:graphicData>
                </a:graphic>
              </wp:anchor>
            </w:drawing>
          </mc:Choice>
          <mc:Fallback>
            <w:pict>
              <v:rect id="shape_0" ID="Прямоугольник 53" path="m0,0l-2147483645,0l-2147483645,-2147483646l0,-2147483646xe" fillcolor="white" stroked="t" o:allowincell="f" style="position:absolute;margin-left:0pt;margin-top:0.4pt;width:49.95pt;height:49.55pt;mso-wrap-style:none;v-text-anchor:middle" wp14:anchorId="098CD624">
                <v:fill o:detectmouseclick="t" type="solid" color2="black"/>
                <v:stroke color="black" weight="9360" joinstyle="round" endcap="flat"/>
                <w10:wrap type="none"/>
              </v:rect>
            </w:pict>
          </mc:Fallback>
        </mc:AlternateContent>
      </w:r>
      <w:r>
        <w:rPr/>
        <w:drawing>
          <wp:inline distT="0" distB="0" distL="0" distR="0">
            <wp:extent cx="19685" cy="252730"/>
            <wp:effectExtent l="0" t="0" r="0" b="0"/>
            <wp:docPr id="7"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4" descr=""/>
                    <pic:cNvPicPr>
                      <a:picLocks noChangeAspect="1" noChangeArrowheads="1"/>
                    </pic:cNvPicPr>
                  </pic:nvPicPr>
                  <pic:blipFill>
                    <a:blip r:embed="rId28"/>
                    <a:stretch>
                      <a:fillRect/>
                    </a:stretch>
                  </pic:blipFill>
                  <pic:spPr bwMode="auto">
                    <a:xfrm>
                      <a:off x="0" y="0"/>
                      <a:ext cx="19685" cy="252730"/>
                    </a:xfrm>
                    <a:prstGeom prst="rect">
                      <a:avLst/>
                    </a:prstGeom>
                  </pic:spPr>
                </pic:pic>
              </a:graphicData>
            </a:graphic>
          </wp:inline>
        </w:drawing>
      </w:r>
      <w:r>
        <w:rPr>
          <w:sz w:val="24"/>
          <w:szCs w:val="24"/>
        </w:rPr>
        <w:t xml:space="preserve"> – </w:t>
      </w:r>
      <w:r>
        <w:rPr>
          <w:sz w:val="24"/>
          <w:szCs w:val="24"/>
        </w:rPr>
        <w:t>итоговое значение согласованного планового ремонтного снижения располагаемой мощности;</w:t>
      </w:r>
    </w:p>
    <w:p>
      <w:pPr>
        <w:pStyle w:val="Normal"/>
        <w:spacing w:lineRule="auto" w:line="276" w:before="20" w:after="20"/>
        <w:ind w:firstLine="709"/>
        <w:rPr>
          <w:sz w:val="24"/>
          <w:szCs w:val="24"/>
        </w:rPr>
      </w:pPr>
      <w:r>
        <w:rPr>
          <w:sz w:val="24"/>
          <w:szCs w:val="24"/>
        </w:rPr>
        <w:t xml:space="preserve"> </w:t>
      </w:r>
      <w:r>
        <w:rPr/>
        <w:drawing>
          <wp:inline distT="0" distB="0" distL="0" distR="0">
            <wp:extent cx="311150" cy="213995"/>
            <wp:effectExtent l="0" t="0" r="0" b="0"/>
            <wp:docPr id="8"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5" descr=""/>
                    <pic:cNvPicPr>
                      <a:picLocks noChangeAspect="1" noChangeArrowheads="1"/>
                    </pic:cNvPicPr>
                  </pic:nvPicPr>
                  <pic:blipFill>
                    <a:blip r:embed="rId29"/>
                    <a:stretch>
                      <a:fillRect/>
                    </a:stretch>
                  </pic:blipFill>
                  <pic:spPr bwMode="auto">
                    <a:xfrm>
                      <a:off x="0" y="0"/>
                      <a:ext cx="311150" cy="213995"/>
                    </a:xfrm>
                    <a:prstGeom prst="rect">
                      <a:avLst/>
                    </a:prstGeom>
                  </pic:spPr>
                </pic:pic>
              </a:graphicData>
            </a:graphic>
          </wp:inline>
        </w:drawing>
      </w:r>
      <w:r>
        <w:rPr>
          <w:sz w:val="24"/>
          <w:szCs w:val="24"/>
        </w:rPr>
        <w:t xml:space="preserve"> – </w:t>
      </w:r>
      <w:r>
        <w:rPr>
          <w:sz w:val="24"/>
          <w:szCs w:val="24"/>
        </w:rPr>
        <w:t>плановое ремонтное снижение мощности по модернизируемым генерирующим объектом вне установленных сроков;</w:t>
      </w:r>
    </w:p>
    <w:p>
      <w:pPr>
        <w:pStyle w:val="Normal"/>
        <w:spacing w:lineRule="auto" w:line="276" w:before="20" w:after="20"/>
        <w:ind w:firstLine="709"/>
        <w:rPr>
          <w:sz w:val="24"/>
          <w:szCs w:val="24"/>
        </w:rPr>
      </w:pPr>
      <w:r>
        <w:rPr/>
        <w:drawing>
          <wp:inline distT="0" distB="0" distL="0" distR="0">
            <wp:extent cx="542290" cy="276225"/>
            <wp:effectExtent l="0" t="0" r="0" b="0"/>
            <wp:docPr id="9" name="Рисунок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50" descr=""/>
                    <pic:cNvPicPr>
                      <a:picLocks noChangeAspect="1" noChangeArrowheads="1"/>
                    </pic:cNvPicPr>
                  </pic:nvPicPr>
                  <pic:blipFill>
                    <a:blip r:embed="rId30"/>
                    <a:stretch>
                      <a:fillRect/>
                    </a:stretch>
                  </pic:blipFill>
                  <pic:spPr bwMode="auto">
                    <a:xfrm>
                      <a:off x="0" y="0"/>
                      <a:ext cx="542290" cy="276225"/>
                    </a:xfrm>
                    <a:prstGeom prst="rect">
                      <a:avLst/>
                    </a:prstGeom>
                  </pic:spPr>
                </pic:pic>
              </a:graphicData>
            </a:graphic>
          </wp:inline>
        </w:drawing>
      </w:r>
      <w:r>
        <w:rPr>
          <w:sz w:val="24"/>
          <w:szCs w:val="24"/>
        </w:rPr>
        <w:t xml:space="preserve"> – </w:t>
      </w:r>
      <w:r>
        <w:rPr>
          <w:sz w:val="24"/>
          <w:szCs w:val="24"/>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pPr>
        <w:pStyle w:val="Normal"/>
        <w:spacing w:lineRule="auto" w:line="276" w:before="20" w:after="20"/>
        <w:ind w:firstLine="709"/>
        <w:rPr>
          <w:sz w:val="24"/>
          <w:szCs w:val="24"/>
        </w:rPr>
      </w:pPr>
      <w:r>
        <w:rPr/>
        <w:drawing>
          <wp:inline distT="0" distB="0" distL="0" distR="0">
            <wp:extent cx="520700" cy="266065"/>
            <wp:effectExtent l="0" t="0" r="0" b="0"/>
            <wp:docPr id="10" name="Рисунок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49" descr=""/>
                    <pic:cNvPicPr>
                      <a:picLocks noChangeAspect="1" noChangeArrowheads="1"/>
                    </pic:cNvPicPr>
                  </pic:nvPicPr>
                  <pic:blipFill>
                    <a:blip r:embed="rId31"/>
                    <a:stretch>
                      <a:fillRect/>
                    </a:stretch>
                  </pic:blipFill>
                  <pic:spPr bwMode="auto">
                    <a:xfrm>
                      <a:off x="0" y="0"/>
                      <a:ext cx="520700" cy="266065"/>
                    </a:xfrm>
                    <a:prstGeom prst="rect">
                      <a:avLst/>
                    </a:prstGeom>
                  </pic:spPr>
                </pic:pic>
              </a:graphicData>
            </a:graphic>
          </wp:inline>
        </w:drawing>
      </w:r>
      <w:r>
        <w:rPr>
          <w:sz w:val="24"/>
          <w:szCs w:val="24"/>
        </w:rPr>
        <w:t xml:space="preserve"> – </w:t>
      </w:r>
      <w:r>
        <w:rPr>
          <w:sz w:val="24"/>
          <w:szCs w:val="24"/>
        </w:rPr>
        <w: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lineRule="auto" w:line="276" w:before="20" w:after="20"/>
        <w:ind w:firstLine="709"/>
        <w:rPr>
          <w:sz w:val="24"/>
          <w:szCs w:val="24"/>
        </w:rPr>
      </w:pPr>
      <w:r>
        <mc:AlternateContent>
          <mc:Choice Requires="wps">
            <w:drawing>
              <wp:anchor behindDoc="0" distT="5080" distB="5080" distL="5080" distR="5080" simplePos="0" locked="0" layoutInCell="0" allowOverlap="1" relativeHeight="54" wp14:anchorId="7AFFDFFE">
                <wp:simplePos x="0" y="0"/>
                <wp:positionH relativeFrom="column">
                  <wp:posOffset>0</wp:posOffset>
                </wp:positionH>
                <wp:positionV relativeFrom="paragraph">
                  <wp:posOffset>5080</wp:posOffset>
                </wp:positionV>
                <wp:extent cx="635000" cy="629920"/>
                <wp:effectExtent l="5080" t="5080" r="5080" b="5080"/>
                <wp:wrapNone/>
                <wp:docPr id="11" name="Прямоугольник 52" hidden="1"/>
                <a:graphic xmlns:a="http://schemas.openxmlformats.org/drawingml/2006/main">
                  <a:graphicData uri="http://schemas.microsoft.com/office/word/2010/wordprocessingShape">
                    <wps:wsp>
                      <wps:cNvSpPr/>
                      <wps:spPr>
                        <a:xfrm>
                          <a:off x="0" y="0"/>
                          <a:ext cx="635040" cy="630000"/>
                        </a:xfrm>
                        <a:prstGeom prst="rect">
                          <a:avLst/>
                        </a:prstGeom>
                        <a:solidFill>
                          <a:srgbClr val="ffffff"/>
                        </a:solidFill>
                        <a:ln w="9360">
                          <a:solidFill>
                            <a:srgbClr val="000000"/>
                          </a:solidFill>
                          <a:round/>
                        </a:ln>
                      </wps:spPr>
                      <wps:style>
                        <a:lnRef idx="0"/>
                        <a:fillRef idx="0"/>
                        <a:effectRef idx="0"/>
                        <a:fontRef idx="minor"/>
                      </wps:style>
                      <wps:bodyPr/>
                    </wps:wsp>
                  </a:graphicData>
                </a:graphic>
              </wp:anchor>
            </w:drawing>
          </mc:Choice>
          <mc:Fallback>
            <w:pict>
              <v:rect id="shape_0" ID="Прямоугольник 52" path="m0,0l-2147483645,0l-2147483645,-2147483646l0,-2147483646xe" fillcolor="white" stroked="t" o:allowincell="f" style="position:absolute;margin-left:0pt;margin-top:0.4pt;width:49.95pt;height:49.55pt;mso-wrap-style:none;v-text-anchor:middle" wp14:anchorId="7AFFDFFE">
                <v:fill o:detectmouseclick="t" type="solid" color2="black"/>
                <v:stroke color="black" weight="9360" joinstyle="round" endcap="flat"/>
                <w10:wrap type="none"/>
              </v:rect>
            </w:pict>
          </mc:Fallback>
        </mc:AlternateContent>
      </w:r>
      <w:r>
        <w:rPr/>
        <w:drawing>
          <wp:inline distT="0" distB="0" distL="0" distR="0">
            <wp:extent cx="554355" cy="262890"/>
            <wp:effectExtent l="0" t="0" r="0" b="0"/>
            <wp:docPr id="12"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6" descr=""/>
                    <pic:cNvPicPr>
                      <a:picLocks noChangeAspect="1" noChangeArrowheads="1"/>
                    </pic:cNvPicPr>
                  </pic:nvPicPr>
                  <pic:blipFill>
                    <a:blip r:embed="rId32"/>
                    <a:stretch>
                      <a:fillRect/>
                    </a:stretch>
                  </pic:blipFill>
                  <pic:spPr bwMode="auto">
                    <a:xfrm>
                      <a:off x="0" y="0"/>
                      <a:ext cx="554355" cy="262890"/>
                    </a:xfrm>
                    <a:prstGeom prst="rect">
                      <a:avLst/>
                    </a:prstGeom>
                  </pic:spPr>
                </pic:pic>
              </a:graphicData>
            </a:graphic>
          </wp:inline>
        </w:drawing>
      </w:r>
      <w:r>
        <w:rPr>
          <w:sz w:val="24"/>
          <w:szCs w:val="24"/>
        </w:rPr>
        <w:t xml:space="preserve"> – </w:t>
      </w:r>
      <w:r>
        <w:rPr>
          <w:sz w:val="24"/>
          <w:szCs w:val="24"/>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spacing w:lineRule="auto" w:line="276" w:before="20" w:after="20"/>
        <w:ind w:firstLine="709"/>
        <w:rPr>
          <w:sz w:val="24"/>
          <w:szCs w:val="24"/>
        </w:rPr>
      </w:pPr>
      <w:r>
        <w:rPr/>
        <w:drawing>
          <wp:inline distT="0" distB="0" distL="0" distR="0">
            <wp:extent cx="531495" cy="276225"/>
            <wp:effectExtent l="0" t="0" r="0" b="0"/>
            <wp:docPr id="13" name="Рисунок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48" descr=""/>
                    <pic:cNvPicPr>
                      <a:picLocks noChangeAspect="1" noChangeArrowheads="1"/>
                    </pic:cNvPicPr>
                  </pic:nvPicPr>
                  <pic:blipFill>
                    <a:blip r:embed="rId33"/>
                    <a:stretch>
                      <a:fillRect/>
                    </a:stretch>
                  </pic:blipFill>
                  <pic:spPr bwMode="auto">
                    <a:xfrm>
                      <a:off x="0" y="0"/>
                      <a:ext cx="531495" cy="276225"/>
                    </a:xfrm>
                    <a:prstGeom prst="rect">
                      <a:avLst/>
                    </a:prstGeom>
                  </pic:spPr>
                </pic:pic>
              </a:graphicData>
            </a:graphic>
          </wp:inline>
        </w:drawing>
      </w:r>
      <w:r>
        <w:rPr>
          <w:sz w:val="24"/>
          <w:szCs w:val="24"/>
        </w:rPr>
        <w:t xml:space="preserve"> – </w:t>
      </w:r>
      <w:r>
        <w:rPr>
          <w:sz w:val="24"/>
          <w:szCs w:val="24"/>
        </w:rPr>
        <w: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pPr>
        <w:pStyle w:val="Normal"/>
        <w:spacing w:lineRule="auto" w:line="276" w:before="20" w:after="20"/>
        <w:ind w:firstLine="709"/>
        <w:rPr>
          <w:sz w:val="24"/>
          <w:szCs w:val="24"/>
        </w:rPr>
      </w:pPr>
      <w:r>
        <w:rPr/>
        <w:drawing>
          <wp:inline distT="0" distB="0" distL="0" distR="0">
            <wp:extent cx="531495" cy="266065"/>
            <wp:effectExtent l="0" t="0" r="0" b="0"/>
            <wp:docPr id="14" name="Рисунок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47" descr=""/>
                    <pic:cNvPicPr>
                      <a:picLocks noChangeAspect="1" noChangeArrowheads="1"/>
                    </pic:cNvPicPr>
                  </pic:nvPicPr>
                  <pic:blipFill>
                    <a:blip r:embed="rId34"/>
                    <a:stretch>
                      <a:fillRect/>
                    </a:stretch>
                  </pic:blipFill>
                  <pic:spPr bwMode="auto">
                    <a:xfrm>
                      <a:off x="0" y="0"/>
                      <a:ext cx="531495" cy="266065"/>
                    </a:xfrm>
                    <a:prstGeom prst="rect">
                      <a:avLst/>
                    </a:prstGeom>
                  </pic:spPr>
                </pic:pic>
              </a:graphicData>
            </a:graphic>
          </wp:inline>
        </w:drawing>
      </w:r>
      <w:r>
        <w:rPr>
          <w:sz w:val="24"/>
          <w:szCs w:val="24"/>
        </w:rPr>
        <w:t xml:space="preserve"> – </w:t>
      </w:r>
      <w:r>
        <w:rPr>
          <w:sz w:val="24"/>
          <w:szCs w:val="24"/>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lineRule="auto" w:line="276" w:before="20" w:after="20"/>
        <w:ind w:firstLine="709"/>
        <w:rPr>
          <w:sz w:val="24"/>
          <w:szCs w:val="24"/>
        </w:rPr>
      </w:pPr>
      <w:r>
        <w:rPr/>
        <w:drawing>
          <wp:inline distT="0" distB="0" distL="0" distR="0">
            <wp:extent cx="616585" cy="318770"/>
            <wp:effectExtent l="0" t="0" r="0" b="0"/>
            <wp:docPr id="15" name="Рисунок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46" descr=""/>
                    <pic:cNvPicPr>
                      <a:picLocks noChangeAspect="1" noChangeArrowheads="1"/>
                    </pic:cNvPicPr>
                  </pic:nvPicPr>
                  <pic:blipFill>
                    <a:blip r:embed="rId35"/>
                    <a:stretch>
                      <a:fillRect/>
                    </a:stretch>
                  </pic:blipFill>
                  <pic:spPr bwMode="auto">
                    <a:xfrm>
                      <a:off x="0" y="0"/>
                      <a:ext cx="616585" cy="318770"/>
                    </a:xfrm>
                    <a:prstGeom prst="rect">
                      <a:avLst/>
                    </a:prstGeom>
                  </pic:spPr>
                </pic:pic>
              </a:graphicData>
            </a:graphic>
          </wp:inline>
        </w:drawing>
      </w:r>
      <w:r>
        <w:rPr>
          <w:sz w:val="24"/>
          <w:szCs w:val="24"/>
        </w:rPr>
        <w:t xml:space="preserve"> – </w:t>
      </w:r>
      <w:r>
        <w:rPr>
          <w:sz w:val="24"/>
          <w:szCs w:val="24"/>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rPr>
          <w:sz w:val="24"/>
          <w:szCs w:val="24"/>
        </w:rPr>
      </w:pPr>
      <w:r>
        <w:rPr/>
        <w:drawing>
          <wp:inline distT="0" distB="0" distL="0" distR="0">
            <wp:extent cx="531495" cy="266065"/>
            <wp:effectExtent l="0" t="0" r="0" b="0"/>
            <wp:docPr id="16" name="Рисунок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45" descr=""/>
                    <pic:cNvPicPr>
                      <a:picLocks noChangeAspect="1" noChangeArrowheads="1"/>
                    </pic:cNvPicPr>
                  </pic:nvPicPr>
                  <pic:blipFill>
                    <a:blip r:embed="rId36"/>
                    <a:stretch>
                      <a:fillRect/>
                    </a:stretch>
                  </pic:blipFill>
                  <pic:spPr bwMode="auto">
                    <a:xfrm>
                      <a:off x="0" y="0"/>
                      <a:ext cx="531495" cy="266065"/>
                    </a:xfrm>
                    <a:prstGeom prst="rect">
                      <a:avLst/>
                    </a:prstGeom>
                  </pic:spPr>
                </pic:pic>
              </a:graphicData>
            </a:graphic>
          </wp:inline>
        </w:drawing>
      </w:r>
      <w:r>
        <w:rPr>
          <w:sz w:val="24"/>
          <w:szCs w:val="24"/>
        </w:rPr>
        <w:t xml:space="preserve"> – </w:t>
      </w:r>
      <w:r>
        <w:rPr>
          <w:sz w:val="24"/>
          <w:szCs w:val="24"/>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rPr>
          <w:sz w:val="24"/>
          <w:szCs w:val="24"/>
        </w:rPr>
      </w:pPr>
      <w:r>
        <w:rPr/>
        <w:drawing>
          <wp:inline distT="0" distB="0" distL="0" distR="0">
            <wp:extent cx="510540" cy="244475"/>
            <wp:effectExtent l="0" t="0" r="0" b="0"/>
            <wp:docPr id="17" name="Рисунок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44" descr=""/>
                    <pic:cNvPicPr>
                      <a:picLocks noChangeAspect="1" noChangeArrowheads="1"/>
                    </pic:cNvPicPr>
                  </pic:nvPicPr>
                  <pic:blipFill>
                    <a:blip r:embed="rId37"/>
                    <a:stretch>
                      <a:fillRect/>
                    </a:stretch>
                  </pic:blipFill>
                  <pic:spPr bwMode="auto">
                    <a:xfrm>
                      <a:off x="0" y="0"/>
                      <a:ext cx="510540" cy="244475"/>
                    </a:xfrm>
                    <a:prstGeom prst="rect">
                      <a:avLst/>
                    </a:prstGeom>
                  </pic:spPr>
                </pic:pic>
              </a:graphicData>
            </a:graphic>
          </wp:inline>
        </w:drawing>
      </w:r>
      <w:r>
        <w:rPr>
          <w:sz w:val="24"/>
          <w:szCs w:val="24"/>
        </w:rPr>
        <w:t xml:space="preserve"> – </w:t>
      </w:r>
      <w:r>
        <w:rPr>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lineRule="auto" w:line="276" w:before="20" w:after="20"/>
        <w:ind w:firstLine="709"/>
        <w:rPr>
          <w:sz w:val="24"/>
          <w:szCs w:val="24"/>
        </w:rPr>
      </w:pPr>
      <w:r>
        <w:rPr/>
        <w:drawing>
          <wp:inline distT="0" distB="0" distL="0" distR="0">
            <wp:extent cx="499745" cy="244475"/>
            <wp:effectExtent l="0" t="0" r="0" b="0"/>
            <wp:docPr id="18" name="Рисунок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43" descr=""/>
                    <pic:cNvPicPr>
                      <a:picLocks noChangeAspect="1" noChangeArrowheads="1"/>
                    </pic:cNvPicPr>
                  </pic:nvPicPr>
                  <pic:blipFill>
                    <a:blip r:embed="rId38"/>
                    <a:stretch>
                      <a:fillRect/>
                    </a:stretch>
                  </pic:blipFill>
                  <pic:spPr bwMode="auto">
                    <a:xfrm>
                      <a:off x="0" y="0"/>
                      <a:ext cx="499745" cy="244475"/>
                    </a:xfrm>
                    <a:prstGeom prst="rect">
                      <a:avLst/>
                    </a:prstGeom>
                  </pic:spPr>
                </pic:pic>
              </a:graphicData>
            </a:graphic>
          </wp:inline>
        </w:drawing>
      </w:r>
      <w:r>
        <w:rPr>
          <w:sz w:val="24"/>
          <w:szCs w:val="24"/>
        </w:rPr>
        <w:t xml:space="preserve"> – </w:t>
      </w:r>
      <w:r>
        <w:rPr>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lineRule="auto" w:line="276" w:before="20" w:after="20"/>
        <w:ind w:firstLine="709"/>
        <w:rPr>
          <w:sz w:val="24"/>
          <w:szCs w:val="24"/>
        </w:rPr>
      </w:pPr>
      <w:r>
        <w:rPr/>
        <w:drawing>
          <wp:inline distT="0" distB="0" distL="0" distR="0">
            <wp:extent cx="914400" cy="287020"/>
            <wp:effectExtent l="0" t="0" r="0" b="0"/>
            <wp:docPr id="19" name="Рисунок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42" descr=""/>
                    <pic:cNvPicPr>
                      <a:picLocks noChangeAspect="1" noChangeArrowheads="1"/>
                    </pic:cNvPicPr>
                  </pic:nvPicPr>
                  <pic:blipFill>
                    <a:blip r:embed="rId39"/>
                    <a:stretch>
                      <a:fillRect/>
                    </a:stretch>
                  </pic:blipFill>
                  <pic:spPr bwMode="auto">
                    <a:xfrm>
                      <a:off x="0" y="0"/>
                      <a:ext cx="914400" cy="287020"/>
                    </a:xfrm>
                    <a:prstGeom prst="rect">
                      <a:avLst/>
                    </a:prstGeom>
                  </pic:spPr>
                </pic:pic>
              </a:graphicData>
            </a:graphic>
          </wp:inline>
        </w:drawing>
      </w:r>
      <w:r>
        <w:rPr>
          <w:sz w:val="24"/>
          <w:szCs w:val="24"/>
        </w:rPr>
        <w:t xml:space="preserve"> – </w:t>
      </w:r>
      <w:r>
        <w:rPr>
          <w:sz w:val="24"/>
          <w:szCs w:val="24"/>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lineRule="auto" w:line="276" w:before="20" w:after="20"/>
        <w:ind w:firstLine="709"/>
        <w:rPr>
          <w:sz w:val="24"/>
          <w:szCs w:val="24"/>
        </w:rPr>
      </w:pPr>
      <w:r>
        <w:rPr/>
        <w:drawing>
          <wp:inline distT="0" distB="0" distL="0" distR="0">
            <wp:extent cx="1052830" cy="361315"/>
            <wp:effectExtent l="0" t="0" r="0" b="0"/>
            <wp:docPr id="20" name="Рисунок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41" descr=""/>
                    <pic:cNvPicPr>
                      <a:picLocks noChangeAspect="1" noChangeArrowheads="1"/>
                    </pic:cNvPicPr>
                  </pic:nvPicPr>
                  <pic:blipFill>
                    <a:blip r:embed="rId40"/>
                    <a:stretch>
                      <a:fillRect/>
                    </a:stretch>
                  </pic:blipFill>
                  <pic:spPr bwMode="auto">
                    <a:xfrm>
                      <a:off x="0" y="0"/>
                      <a:ext cx="1052830" cy="361315"/>
                    </a:xfrm>
                    <a:prstGeom prst="rect">
                      <a:avLst/>
                    </a:prstGeom>
                  </pic:spPr>
                </pic:pic>
              </a:graphicData>
            </a:graphic>
          </wp:inline>
        </w:drawing>
      </w:r>
      <w:r>
        <w:rPr>
          <w:sz w:val="24"/>
          <w:szCs w:val="24"/>
        </w:rPr>
        <w:t xml:space="preserve"> – </w:t>
      </w:r>
      <w:r>
        <w:rPr>
          <w:sz w:val="24"/>
          <w:szCs w:val="24"/>
        </w:rPr>
        <w:t>регистрируется при согласованном увеличении времени включения в сеть;</w:t>
      </w:r>
    </w:p>
    <w:p>
      <w:pPr>
        <w:pStyle w:val="Normal"/>
        <w:spacing w:lineRule="auto" w:line="276" w:before="20" w:after="20"/>
        <w:ind w:firstLine="709"/>
        <w:rPr>
          <w:sz w:val="24"/>
          <w:szCs w:val="24"/>
        </w:rPr>
      </w:pPr>
      <w:r>
        <w:rPr/>
        <w:drawing>
          <wp:inline distT="0" distB="0" distL="0" distR="0">
            <wp:extent cx="956945" cy="318770"/>
            <wp:effectExtent l="0" t="0" r="0" b="0"/>
            <wp:docPr id="21" name="Рисунок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40" descr=""/>
                    <pic:cNvPicPr>
                      <a:picLocks noChangeAspect="1" noChangeArrowheads="1"/>
                    </pic:cNvPicPr>
                  </pic:nvPicPr>
                  <pic:blipFill>
                    <a:blip r:embed="rId41"/>
                    <a:stretch>
                      <a:fillRect/>
                    </a:stretch>
                  </pic:blipFill>
                  <pic:spPr bwMode="auto">
                    <a:xfrm>
                      <a:off x="0" y="0"/>
                      <a:ext cx="956945" cy="318770"/>
                    </a:xfrm>
                    <a:prstGeom prst="rect">
                      <a:avLst/>
                    </a:prstGeom>
                  </pic:spPr>
                </pic:pic>
              </a:graphicData>
            </a:graphic>
          </wp:inline>
        </w:drawing>
      </w:r>
      <w:r>
        <w:rPr>
          <w:sz w:val="24"/>
          <w:szCs w:val="24"/>
        </w:rPr>
        <w:t xml:space="preserve"> – </w:t>
      </w:r>
      <w:r>
        <w:rPr>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lineRule="auto" w:line="276" w:before="20" w:after="20"/>
        <w:ind w:firstLine="709"/>
        <w:rPr>
          <w:sz w:val="24"/>
          <w:szCs w:val="24"/>
        </w:rPr>
      </w:pPr>
      <w:r>
        <w:rPr/>
        <w:drawing>
          <wp:inline distT="0" distB="0" distL="0" distR="0">
            <wp:extent cx="372110" cy="287020"/>
            <wp:effectExtent l="0" t="0" r="0" b="0"/>
            <wp:docPr id="22" name="Рисунок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39" descr=""/>
                    <pic:cNvPicPr>
                      <a:picLocks noChangeAspect="1" noChangeArrowheads="1"/>
                    </pic:cNvPicPr>
                  </pic:nvPicPr>
                  <pic:blipFill>
                    <a:blip r:embed="rId42"/>
                    <a:stretch>
                      <a:fillRect/>
                    </a:stretch>
                  </pic:blipFill>
                  <pic:spPr bwMode="auto">
                    <a:xfrm>
                      <a:off x="0" y="0"/>
                      <a:ext cx="372110" cy="287020"/>
                    </a:xfrm>
                    <a:prstGeom prst="rect">
                      <a:avLst/>
                    </a:prstGeom>
                  </pic:spPr>
                </pic:pic>
              </a:graphicData>
            </a:graphic>
          </wp:inline>
        </w:drawing>
      </w:r>
      <w:r>
        <w:rPr>
          <w:sz w:val="24"/>
          <w:szCs w:val="24"/>
        </w:rPr>
        <w:t xml:space="preserve"> – </w:t>
      </w:r>
      <w:r>
        <w:rPr>
          <w:sz w:val="24"/>
          <w:szCs w:val="24"/>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lineRule="auto" w:line="276" w:before="120" w:after="20"/>
        <w:ind w:firstLine="709"/>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40360" cy="266065"/>
            <wp:effectExtent l="0" t="0" r="0" b="0"/>
            <wp:docPr id="23" name="Рисунок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38" descr=""/>
                    <pic:cNvPicPr>
                      <a:picLocks noChangeAspect="1" noChangeArrowheads="1"/>
                    </pic:cNvPicPr>
                  </pic:nvPicPr>
                  <pic:blipFill>
                    <a:blip r:embed="rId43"/>
                    <a:stretch>
                      <a:fillRect/>
                    </a:stretch>
                  </pic:blipFill>
                  <pic:spPr bwMode="auto">
                    <a:xfrm>
                      <a:off x="0" y="0"/>
                      <a:ext cx="340360" cy="266065"/>
                    </a:xfrm>
                    <a:prstGeom prst="rect">
                      <a:avLst/>
                    </a:prstGeom>
                  </pic:spPr>
                </pic:pic>
              </a:graphicData>
            </a:graphic>
          </wp:inline>
        </w:drawing>
      </w:r>
      <w:r>
        <w:rPr>
          <w:sz w:val="24"/>
          <w:szCs w:val="24"/>
        </w:rPr>
        <w:t>, соответствующие объемам невыполнения требований в месяце, определяется по формуле:</w:t>
      </w:r>
    </w:p>
    <w:p>
      <w:pPr>
        <w:pStyle w:val="Normal"/>
        <w:spacing w:lineRule="auto" w:line="276" w:before="20" w:after="20"/>
        <w:jc w:val="center"/>
        <w:rPr>
          <w:sz w:val="24"/>
          <w:szCs w:val="24"/>
        </w:rPr>
      </w:pPr>
      <w:r>
        <w:rPr/>
        <w:drawing>
          <wp:inline distT="0" distB="0" distL="0" distR="0">
            <wp:extent cx="1371600" cy="669925"/>
            <wp:effectExtent l="0" t="0" r="0" b="0"/>
            <wp:docPr id="24" name="Рисунок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37" descr=""/>
                    <pic:cNvPicPr>
                      <a:picLocks noChangeAspect="1" noChangeArrowheads="1"/>
                    </pic:cNvPicPr>
                  </pic:nvPicPr>
                  <pic:blipFill>
                    <a:blip r:embed="rId44"/>
                    <a:stretch>
                      <a:fillRect/>
                    </a:stretch>
                  </pic:blipFill>
                  <pic:spPr bwMode="auto">
                    <a:xfrm>
                      <a:off x="0" y="0"/>
                      <a:ext cx="1371600" cy="669925"/>
                    </a:xfrm>
                    <a:prstGeom prst="rect">
                      <a:avLst/>
                    </a:prstGeom>
                  </pic:spPr>
                </pic:pic>
              </a:graphicData>
            </a:graphic>
          </wp:inline>
        </w:drawing>
      </w:r>
    </w:p>
    <w:p>
      <w:pPr>
        <w:pStyle w:val="Normal"/>
        <w:spacing w:lineRule="auto" w:line="276" w:before="20" w:after="20"/>
        <w:ind w:firstLine="709"/>
        <w:rPr>
          <w:sz w:val="24"/>
          <w:szCs w:val="24"/>
        </w:rPr>
      </w:pPr>
      <w:r>
        <w:rPr>
          <w:sz w:val="24"/>
          <w:szCs w:val="24"/>
        </w:rPr>
        <w:t>где:</w:t>
      </w:r>
    </w:p>
    <w:p>
      <w:pPr>
        <w:pStyle w:val="Normal"/>
        <w:spacing w:lineRule="auto" w:line="276" w:before="20" w:after="20"/>
        <w:ind w:firstLine="709"/>
        <w:rPr>
          <w:sz w:val="24"/>
          <w:szCs w:val="24"/>
        </w:rPr>
      </w:pPr>
      <w:r>
        <w:rPr/>
        <w:drawing>
          <wp:inline distT="0" distB="0" distL="0" distR="0">
            <wp:extent cx="297815" cy="266065"/>
            <wp:effectExtent l="0" t="0" r="0" b="0"/>
            <wp:docPr id="25" name="Рисунок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36" descr=""/>
                    <pic:cNvPicPr>
                      <a:picLocks noChangeAspect="1" noChangeArrowheads="1"/>
                    </pic:cNvPicPr>
                  </pic:nvPicPr>
                  <pic:blipFill>
                    <a:blip r:embed="rId45"/>
                    <a:stretch>
                      <a:fillRect/>
                    </a:stretch>
                  </pic:blipFill>
                  <pic:spPr bwMode="auto">
                    <a:xfrm>
                      <a:off x="0" y="0"/>
                      <a:ext cx="297815" cy="266065"/>
                    </a:xfrm>
                    <a:prstGeom prst="rect">
                      <a:avLst/>
                    </a:prstGeom>
                  </pic:spPr>
                </pic:pic>
              </a:graphicData>
            </a:graphic>
          </wp:inline>
        </w:drawing>
      </w:r>
      <w:r>
        <w:rPr>
          <w:sz w:val="24"/>
          <w:szCs w:val="24"/>
        </w:rPr>
        <w:t xml:space="preserve"> – </w:t>
      </w:r>
      <w:r>
        <w:rPr>
          <w:sz w:val="24"/>
          <w:szCs w:val="24"/>
        </w:rPr>
        <w:t>значения снижения мощности ГТПГ, определенные Системным оператором в ГРМ;</w:t>
      </w:r>
    </w:p>
    <w:p>
      <w:pPr>
        <w:pStyle w:val="Normal"/>
        <w:spacing w:lineRule="auto" w:line="276" w:before="20" w:after="20"/>
        <w:ind w:firstLine="709"/>
        <w:rPr>
          <w:sz w:val="24"/>
          <w:szCs w:val="24"/>
        </w:rPr>
      </w:pPr>
      <w:r>
        <w:rPr>
          <w:sz w:val="24"/>
          <w:szCs w:val="24"/>
        </w:rPr>
        <w:t xml:space="preserve">Н – количество часов, соответствующее расчетному месяцу m. </w:t>
      </w:r>
    </w:p>
    <w:p>
      <w:pPr>
        <w:pStyle w:val="Normal"/>
        <w:spacing w:lineRule="auto" w:line="276" w:before="20" w:after="20"/>
        <w:ind w:firstLine="709"/>
        <w:rPr>
          <w:sz w:val="24"/>
          <w:szCs w:val="24"/>
        </w:rPr>
      </w:pPr>
      <w:r>
        <w:rPr>
          <w:sz w:val="24"/>
          <w:szCs w:val="24"/>
        </w:rPr>
      </w:r>
    </w:p>
    <w:p>
      <w:pPr>
        <w:pStyle w:val="Normal"/>
        <w:spacing w:lineRule="auto" w:line="276" w:before="20" w:after="20"/>
        <w:ind w:firstLine="709"/>
        <w:rPr>
          <w:sz w:val="24"/>
          <w:szCs w:val="24"/>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lineRule="auto" w:line="276" w:before="120" w:after="20"/>
        <w:ind w:firstLine="709"/>
        <w:rPr>
          <w:sz w:val="24"/>
          <w:szCs w:val="24"/>
        </w:rPr>
      </w:pPr>
      <w:r>
        <w:rPr>
          <w:sz w:val="24"/>
          <w:szCs w:val="24"/>
        </w:rPr>
        <w: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t>
      </w:r>
    </w:p>
    <w:p>
      <w:pPr>
        <w:pStyle w:val="Normal"/>
        <w:spacing w:lineRule="auto" w:line="276" w:before="20" w:after="20"/>
        <w:ind w:firstLine="709"/>
        <w:rPr>
          <w:sz w:val="24"/>
          <w:szCs w:val="24"/>
        </w:rPr>
      </w:pPr>
      <w:r>
        <w:rPr>
          <w:sz w:val="24"/>
          <w:szCs w:val="24"/>
        </w:rPr>
      </w:r>
    </w:p>
    <w:p>
      <w:pPr>
        <w:pStyle w:val="Normal"/>
        <w:spacing w:lineRule="auto" w:line="276" w:before="20" w:after="20"/>
        <w:ind w:firstLine="709"/>
        <w:jc w:val="center"/>
        <w:rPr>
          <w:rFonts w:eastAsia="Arial"/>
          <w:sz w:val="24"/>
          <w:szCs w:val="24"/>
        </w:rPr>
      </w:pPr>
      <w:r>
        <w:rPr/>
        <w:drawing>
          <wp:inline distT="0" distB="0" distL="0" distR="0">
            <wp:extent cx="3385185" cy="466725"/>
            <wp:effectExtent l="0" t="0" r="0" b="0"/>
            <wp:docPr id="2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7" descr=""/>
                    <pic:cNvPicPr>
                      <a:picLocks noChangeAspect="1" noChangeArrowheads="1"/>
                    </pic:cNvPicPr>
                  </pic:nvPicPr>
                  <pic:blipFill>
                    <a:blip r:embed="rId46"/>
                    <a:stretch>
                      <a:fillRect/>
                    </a:stretch>
                  </pic:blipFill>
                  <pic:spPr bwMode="auto">
                    <a:xfrm>
                      <a:off x="0" y="0"/>
                      <a:ext cx="3385185" cy="466725"/>
                    </a:xfrm>
                    <a:prstGeom prst="rect">
                      <a:avLst/>
                    </a:prstGeom>
                  </pic:spPr>
                </pic:pic>
              </a:graphicData>
            </a:graphic>
          </wp:inline>
        </w:drawing>
      </w:r>
    </w:p>
    <w:p>
      <w:pPr>
        <w:pStyle w:val="Normal"/>
        <w:spacing w:lineRule="auto" w:line="276" w:before="0" w:after="200"/>
        <w:ind w:firstLine="709"/>
        <w:rPr>
          <w:sz w:val="24"/>
          <w:szCs w:val="24"/>
        </w:rPr>
      </w:pPr>
      <w:r>
        <w:rPr>
          <w:rFonts w:eastAsia="Arial"/>
          <w:sz w:val="24"/>
          <w:szCs w:val="24"/>
        </w:rPr>
        <w:t>где:</w:t>
        <w:tab/>
      </w:r>
    </w:p>
    <w:p>
      <w:pPr>
        <w:pStyle w:val="Normal"/>
        <w:numPr>
          <w:ilvl w:val="0"/>
          <w:numId w:val="0"/>
        </w:numPr>
        <w:spacing w:lineRule="auto" w:line="276" w:before="120" w:after="120"/>
        <w:ind w:left="0" w:firstLine="567"/>
        <w:outlineLvl w:val="3"/>
        <w:rPr>
          <w:sz w:val="24"/>
          <w:szCs w:val="24"/>
        </w:rPr>
      </w:pPr>
      <w:r>
        <w:rPr/>
        <w:drawing>
          <wp:inline distT="0" distB="0" distL="0" distR="0">
            <wp:extent cx="180975" cy="233680"/>
            <wp:effectExtent l="0" t="0" r="0" b="0"/>
            <wp:docPr id="27" name="Рисунок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35" descr=""/>
                    <pic:cNvPicPr>
                      <a:picLocks noChangeAspect="1" noChangeArrowheads="1"/>
                    </pic:cNvPicPr>
                  </pic:nvPicPr>
                  <pic:blipFill>
                    <a:blip r:embed="rId47"/>
                    <a:stretch>
                      <a:fillRect/>
                    </a:stretch>
                  </pic:blipFill>
                  <pic:spPr bwMode="auto">
                    <a:xfrm>
                      <a:off x="0" y="0"/>
                      <a:ext cx="180975" cy="233680"/>
                    </a:xfrm>
                    <a:prstGeom prst="rect">
                      <a:avLst/>
                    </a:prstGeom>
                  </pic:spPr>
                </pic:pic>
              </a:graphicData>
            </a:graphic>
          </wp:inline>
        </w:drawing>
      </w:r>
      <w:r>
        <w:rPr>
          <w:rFonts w:eastAsia="Arial"/>
          <w:sz w:val="24"/>
          <w:szCs w:val="24"/>
        </w:rPr>
        <w:t xml:space="preserve"> ― </w:t>
      </w:r>
      <w:r>
        <w:rPr>
          <w:rFonts w:eastAsia="Arial"/>
          <w:sz w:val="24"/>
          <w:szCs w:val="24"/>
        </w:rPr>
        <w:t xml:space="preserve">коэффициенты </w:t>
      </w:r>
      <w:r>
        <w:rPr>
          <w:sz w:val="24"/>
          <w:szCs w:val="24"/>
        </w:rPr>
        <w:t>(</w:t>
      </w:r>
      <w:r>
        <w:rPr/>
        <w:drawing>
          <wp:inline distT="0" distB="0" distL="0" distR="0">
            <wp:extent cx="262890" cy="262890"/>
            <wp:effectExtent l="0" t="0" r="0" b="0"/>
            <wp:docPr id="28"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8" descr=""/>
                    <pic:cNvPicPr>
                      <a:picLocks noChangeAspect="1" noChangeArrowheads="1"/>
                    </pic:cNvPicPr>
                  </pic:nvPicPr>
                  <pic:blipFill>
                    <a:blip r:embed="rId48"/>
                    <a:stretch>
                      <a:fillRect/>
                    </a:stretch>
                  </pic:blipFill>
                  <pic:spPr bwMode="auto">
                    <a:xfrm>
                      <a:off x="0" y="0"/>
                      <a:ext cx="262890" cy="262890"/>
                    </a:xfrm>
                    <a:prstGeom prst="rect">
                      <a:avLst/>
                    </a:prstGeom>
                  </pic:spPr>
                </pic:pic>
              </a:graphicData>
            </a:graphic>
          </wp:inline>
        </w:drawing>
      </w:r>
      <w:r>
        <w:rPr>
          <w:sz w:val="24"/>
          <w:szCs w:val="24"/>
        </w:rPr>
        <w:t>,</w:t>
      </w:r>
      <w:r>
        <w:rPr/>
        <w:drawing>
          <wp:inline distT="0" distB="0" distL="0" distR="0">
            <wp:extent cx="262890" cy="262890"/>
            <wp:effectExtent l="0" t="0" r="0" b="0"/>
            <wp:docPr id="29"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9" descr=""/>
                    <pic:cNvPicPr>
                      <a:picLocks noChangeAspect="1" noChangeArrowheads="1"/>
                    </pic:cNvPicPr>
                  </pic:nvPicPr>
                  <pic:blipFill>
                    <a:blip r:embed="rId49"/>
                    <a:stretch>
                      <a:fillRect/>
                    </a:stretch>
                  </pic:blipFill>
                  <pic:spPr bwMode="auto">
                    <a:xfrm>
                      <a:off x="0" y="0"/>
                      <a:ext cx="262890" cy="262890"/>
                    </a:xfrm>
                    <a:prstGeom prst="rect">
                      <a:avLst/>
                    </a:prstGeom>
                  </pic:spPr>
                </pic:pic>
              </a:graphicData>
            </a:graphic>
          </wp:inline>
        </w:drawing>
      </w:r>
      <w:r>
        <w:rPr>
          <w:sz w:val="24"/>
          <w:szCs w:val="24"/>
        </w:rPr>
        <w:t>,</w:t>
      </w:r>
      <w:r>
        <w:rPr/>
        <w:drawing>
          <wp:inline distT="0" distB="0" distL="0" distR="0">
            <wp:extent cx="184785" cy="262890"/>
            <wp:effectExtent l="0" t="0" r="0" b="0"/>
            <wp:docPr id="30"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10" descr=""/>
                    <pic:cNvPicPr>
                      <a:picLocks noChangeAspect="1" noChangeArrowheads="1"/>
                    </pic:cNvPicPr>
                  </pic:nvPicPr>
                  <pic:blipFill>
                    <a:blip r:embed="rId50"/>
                    <a:stretch>
                      <a:fillRect/>
                    </a:stretch>
                  </pic:blipFill>
                  <pic:spPr bwMode="auto">
                    <a:xfrm>
                      <a:off x="0" y="0"/>
                      <a:ext cx="184785" cy="262890"/>
                    </a:xfrm>
                    <a:prstGeom prst="rect">
                      <a:avLst/>
                    </a:prstGeom>
                  </pic:spPr>
                </pic:pic>
              </a:graphicData>
            </a:graphic>
          </wp:inline>
        </w:drawing>
      </w:r>
      <w:r>
        <w:rPr>
          <w:sz w:val="24"/>
          <w:szCs w:val="24"/>
        </w:rPr>
        <w:t>,</w:t>
      </w:r>
      <w:r>
        <w:rPr/>
        <w:drawing>
          <wp:inline distT="0" distB="0" distL="0" distR="0">
            <wp:extent cx="262890" cy="262890"/>
            <wp:effectExtent l="0" t="0" r="0" b="0"/>
            <wp:docPr id="3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11" descr=""/>
                    <pic:cNvPicPr>
                      <a:picLocks noChangeAspect="1" noChangeArrowheads="1"/>
                    </pic:cNvPicPr>
                  </pic:nvPicPr>
                  <pic:blipFill>
                    <a:blip r:embed="rId51"/>
                    <a:stretch>
                      <a:fillRect/>
                    </a:stretch>
                  </pic:blipFill>
                  <pic:spPr bwMode="auto">
                    <a:xfrm>
                      <a:off x="0" y="0"/>
                      <a:ext cx="262890" cy="262890"/>
                    </a:xfrm>
                    <a:prstGeom prst="rect">
                      <a:avLst/>
                    </a:prstGeom>
                  </pic:spPr>
                </pic:pic>
              </a:graphicData>
            </a:graphic>
          </wp:inline>
        </w:drawing>
      </w:r>
      <w:r>
        <w:rPr>
          <w:sz w:val="24"/>
          <w:szCs w:val="24"/>
        </w:rPr>
        <w:t>)</w:t>
      </w:r>
    </w:p>
    <w:p>
      <w:pPr>
        <w:pStyle w:val="Normal"/>
        <w:numPr>
          <w:ilvl w:val="0"/>
          <w:numId w:val="0"/>
        </w:numPr>
        <w:spacing w:lineRule="auto" w:line="276" w:before="120" w:after="120"/>
        <w:ind w:left="0" w:firstLine="567"/>
        <w:outlineLvl w:val="3"/>
        <w:rPr>
          <w:rFonts w:eastAsia="Arial"/>
          <w:sz w:val="24"/>
          <w:szCs w:val="24"/>
        </w:rPr>
      </w:pPr>
      <w:r>
        <w:rPr/>
        <w:drawing>
          <wp:inline distT="0" distB="0" distL="0" distR="0">
            <wp:extent cx="180975" cy="276225"/>
            <wp:effectExtent l="0" t="0" r="0" b="0"/>
            <wp:docPr id="32"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4" descr=""/>
                    <pic:cNvPicPr>
                      <a:picLocks noChangeAspect="1" noChangeArrowheads="1"/>
                    </pic:cNvPicPr>
                  </pic:nvPicPr>
                  <pic:blipFill>
                    <a:blip r:embed="rId52"/>
                    <a:stretch>
                      <a:fillRect/>
                    </a:stretch>
                  </pic:blipFill>
                  <pic:spPr bwMode="auto">
                    <a:xfrm>
                      <a:off x="0" y="0"/>
                      <a:ext cx="180975" cy="276225"/>
                    </a:xfrm>
                    <a:prstGeom prst="rect">
                      <a:avLst/>
                    </a:prstGeom>
                  </pic:spPr>
                </pic:pic>
              </a:graphicData>
            </a:graphic>
          </wp:inline>
        </w:drawing>
      </w:r>
      <w:r>
        <w:rPr>
          <w:rFonts w:eastAsia="Arial"/>
          <w:sz w:val="24"/>
          <w:szCs w:val="24"/>
        </w:rPr>
        <w:t xml:space="preserve"> ― </w:t>
      </w:r>
      <w:r>
        <w:rPr>
          <w:rFonts w:eastAsia="Arial"/>
          <w:sz w:val="24"/>
          <w:szCs w:val="24"/>
        </w:rPr>
        <w:t>коэффициенты (</w:t>
      </w:r>
      <w:r>
        <w:rPr/>
        <w:drawing>
          <wp:inline distT="0" distB="0" distL="0" distR="0">
            <wp:extent cx="262890" cy="262890"/>
            <wp:effectExtent l="0" t="0" r="0" b="0"/>
            <wp:docPr id="33"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12" descr=""/>
                    <pic:cNvPicPr>
                      <a:picLocks noChangeAspect="1" noChangeArrowheads="1"/>
                    </pic:cNvPicPr>
                  </pic:nvPicPr>
                  <pic:blipFill>
                    <a:blip r:embed="rId53"/>
                    <a:stretch>
                      <a:fillRect/>
                    </a:stretch>
                  </pic:blipFill>
                  <pic:spPr bwMode="auto">
                    <a:xfrm>
                      <a:off x="0" y="0"/>
                      <a:ext cx="262890" cy="262890"/>
                    </a:xfrm>
                    <a:prstGeom prst="rect">
                      <a:avLst/>
                    </a:prstGeom>
                  </pic:spPr>
                </pic:pic>
              </a:graphicData>
            </a:graphic>
          </wp:inline>
        </w:drawing>
      </w:r>
      <w:r>
        <w:rPr>
          <w:rFonts w:eastAsia="Arial"/>
          <w:sz w:val="24"/>
          <w:szCs w:val="24"/>
        </w:rPr>
        <w:t>,</w:t>
      </w:r>
      <w:r>
        <w:rPr/>
        <w:drawing>
          <wp:inline distT="0" distB="0" distL="0" distR="0">
            <wp:extent cx="262890" cy="262890"/>
            <wp:effectExtent l="0" t="0" r="0" b="0"/>
            <wp:docPr id="34"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13" descr=""/>
                    <pic:cNvPicPr>
                      <a:picLocks noChangeAspect="1" noChangeArrowheads="1"/>
                    </pic:cNvPicPr>
                  </pic:nvPicPr>
                  <pic:blipFill>
                    <a:blip r:embed="rId54"/>
                    <a:stretch>
                      <a:fillRect/>
                    </a:stretch>
                  </pic:blipFill>
                  <pic:spPr bwMode="auto">
                    <a:xfrm>
                      <a:off x="0" y="0"/>
                      <a:ext cx="262890" cy="262890"/>
                    </a:xfrm>
                    <a:prstGeom prst="rect">
                      <a:avLst/>
                    </a:prstGeom>
                  </pic:spPr>
                </pic:pic>
              </a:graphicData>
            </a:graphic>
          </wp:inline>
        </w:drawing>
      </w:r>
      <w:r>
        <w:rPr>
          <w:rFonts w:eastAsia="Arial"/>
          <w:sz w:val="24"/>
          <w:szCs w:val="24"/>
        </w:rPr>
        <w:t>,</w:t>
      </w:r>
      <w:r>
        <w:rPr/>
        <w:drawing>
          <wp:inline distT="0" distB="0" distL="0" distR="0">
            <wp:extent cx="252730" cy="262890"/>
            <wp:effectExtent l="0" t="0" r="0" b="0"/>
            <wp:docPr id="35"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14" descr=""/>
                    <pic:cNvPicPr>
                      <a:picLocks noChangeAspect="1" noChangeArrowheads="1"/>
                    </pic:cNvPicPr>
                  </pic:nvPicPr>
                  <pic:blipFill>
                    <a:blip r:embed="rId55"/>
                    <a:stretch>
                      <a:fillRect/>
                    </a:stretch>
                  </pic:blipFill>
                  <pic:spPr bwMode="auto">
                    <a:xfrm>
                      <a:off x="0" y="0"/>
                      <a:ext cx="252730" cy="262890"/>
                    </a:xfrm>
                    <a:prstGeom prst="rect">
                      <a:avLst/>
                    </a:prstGeom>
                  </pic:spPr>
                </pic:pic>
              </a:graphicData>
            </a:graphic>
          </wp:inline>
        </w:drawing>
      </w:r>
      <w:r>
        <w:rPr>
          <w:rFonts w:eastAsia="Arial"/>
          <w:sz w:val="24"/>
          <w:szCs w:val="24"/>
        </w:rPr>
        <w:t>,</w:t>
      </w:r>
      <w:r>
        <w:rPr/>
        <w:drawing>
          <wp:inline distT="0" distB="0" distL="0" distR="0">
            <wp:extent cx="292100" cy="262890"/>
            <wp:effectExtent l="0" t="0" r="0" b="0"/>
            <wp:docPr id="36"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15" descr=""/>
                    <pic:cNvPicPr>
                      <a:picLocks noChangeAspect="1" noChangeArrowheads="1"/>
                    </pic:cNvPicPr>
                  </pic:nvPicPr>
                  <pic:blipFill>
                    <a:blip r:embed="rId56"/>
                    <a:stretch>
                      <a:fillRect/>
                    </a:stretch>
                  </pic:blipFill>
                  <pic:spPr bwMode="auto">
                    <a:xfrm>
                      <a:off x="0" y="0"/>
                      <a:ext cx="292100" cy="262890"/>
                    </a:xfrm>
                    <a:prstGeom prst="rect">
                      <a:avLst/>
                    </a:prstGeom>
                  </pic:spPr>
                </pic:pic>
              </a:graphicData>
            </a:graphic>
          </wp:inline>
        </w:drawing>
      </w:r>
      <w:r>
        <w:rPr>
          <w:rFonts w:eastAsia="Arial"/>
          <w:sz w:val="24"/>
          <w:szCs w:val="24"/>
        </w:rPr>
        <w:t>,</w:t>
      </w:r>
      <w:r>
        <w:rPr/>
        <w:drawing>
          <wp:inline distT="0" distB="0" distL="0" distR="0">
            <wp:extent cx="292100" cy="262890"/>
            <wp:effectExtent l="0" t="0" r="0" b="0"/>
            <wp:docPr id="37"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16" descr=""/>
                    <pic:cNvPicPr>
                      <a:picLocks noChangeAspect="1" noChangeArrowheads="1"/>
                    </pic:cNvPicPr>
                  </pic:nvPicPr>
                  <pic:blipFill>
                    <a:blip r:embed="rId57"/>
                    <a:stretch>
                      <a:fillRect/>
                    </a:stretch>
                  </pic:blipFill>
                  <pic:spPr bwMode="auto">
                    <a:xfrm>
                      <a:off x="0" y="0"/>
                      <a:ext cx="292100" cy="262890"/>
                    </a:xfrm>
                    <a:prstGeom prst="rect">
                      <a:avLst/>
                    </a:prstGeom>
                  </pic:spPr>
                </pic:pic>
              </a:graphicData>
            </a:graphic>
          </wp:inline>
        </w:drawing>
      </w:r>
      <w:r>
        <w:rPr>
          <w:rFonts w:eastAsia="Arial"/>
          <w:sz w:val="24"/>
          <w:szCs w:val="24"/>
        </w:rPr>
        <w:t>,</w:t>
      </w:r>
      <w:r>
        <w:rPr/>
        <w:drawing>
          <wp:inline distT="0" distB="0" distL="0" distR="0">
            <wp:extent cx="243205" cy="262890"/>
            <wp:effectExtent l="0" t="0" r="0" b="0"/>
            <wp:docPr id="38"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17" descr=""/>
                    <pic:cNvPicPr>
                      <a:picLocks noChangeAspect="1" noChangeArrowheads="1"/>
                    </pic:cNvPicPr>
                  </pic:nvPicPr>
                  <pic:blipFill>
                    <a:blip r:embed="rId58"/>
                    <a:stretch>
                      <a:fillRect/>
                    </a:stretch>
                  </pic:blipFill>
                  <pic:spPr bwMode="auto">
                    <a:xfrm>
                      <a:off x="0" y="0"/>
                      <a:ext cx="243205" cy="262890"/>
                    </a:xfrm>
                    <a:prstGeom prst="rect">
                      <a:avLst/>
                    </a:prstGeom>
                  </pic:spPr>
                </pic:pic>
              </a:graphicData>
            </a:graphic>
          </wp:inline>
        </w:drawing>
      </w:r>
      <w:r>
        <w:rPr>
          <w:rFonts w:eastAsia="Arial"/>
          <w:sz w:val="24"/>
          <w:szCs w:val="24"/>
        </w:rPr>
        <w:t>,</w:t>
      </w:r>
      <w:r>
        <w:rPr/>
        <w:drawing>
          <wp:inline distT="0" distB="0" distL="0" distR="0">
            <wp:extent cx="204470" cy="262890"/>
            <wp:effectExtent l="0" t="0" r="0" b="0"/>
            <wp:docPr id="39"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18" descr=""/>
                    <pic:cNvPicPr>
                      <a:picLocks noChangeAspect="1" noChangeArrowheads="1"/>
                    </pic:cNvPicPr>
                  </pic:nvPicPr>
                  <pic:blipFill>
                    <a:blip r:embed="rId59"/>
                    <a:stretch>
                      <a:fillRect/>
                    </a:stretch>
                  </pic:blipFill>
                  <pic:spPr bwMode="auto">
                    <a:xfrm>
                      <a:off x="0" y="0"/>
                      <a:ext cx="204470" cy="262890"/>
                    </a:xfrm>
                    <a:prstGeom prst="rect">
                      <a:avLst/>
                    </a:prstGeom>
                  </pic:spPr>
                </pic:pic>
              </a:graphicData>
            </a:graphic>
          </wp:inline>
        </w:drawing>
      </w:r>
      <w:r>
        <w:rPr>
          <w:rFonts w:eastAsia="Arial"/>
          <w:sz w:val="24"/>
          <w:szCs w:val="24"/>
        </w:rPr>
        <w:t>,</w:t>
      </w:r>
      <w:r>
        <w:rPr/>
        <w:drawing>
          <wp:inline distT="0" distB="0" distL="0" distR="0">
            <wp:extent cx="292100" cy="252730"/>
            <wp:effectExtent l="0" t="0" r="0" b="0"/>
            <wp:docPr id="40"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19" descr=""/>
                    <pic:cNvPicPr>
                      <a:picLocks noChangeAspect="1" noChangeArrowheads="1"/>
                    </pic:cNvPicPr>
                  </pic:nvPicPr>
                  <pic:blipFill>
                    <a:blip r:embed="rId60"/>
                    <a:stretch>
                      <a:fillRect/>
                    </a:stretch>
                  </pic:blipFill>
                  <pic:spPr bwMode="auto">
                    <a:xfrm>
                      <a:off x="0" y="0"/>
                      <a:ext cx="292100" cy="252730"/>
                    </a:xfrm>
                    <a:prstGeom prst="rect">
                      <a:avLst/>
                    </a:prstGeom>
                  </pic:spPr>
                </pic:pic>
              </a:graphicData>
            </a:graphic>
          </wp:inline>
        </w:drawing>
      </w:r>
      <w:r>
        <w:rPr>
          <w:rFonts w:eastAsia="Arial"/>
          <w:sz w:val="24"/>
          <w:szCs w:val="24"/>
        </w:rPr>
        <w:t>,</w:t>
      </w:r>
      <w:r>
        <w:rPr/>
        <w:drawing>
          <wp:inline distT="0" distB="0" distL="0" distR="0">
            <wp:extent cx="204470" cy="262890"/>
            <wp:effectExtent l="0" t="0" r="0" b="0"/>
            <wp:docPr id="41"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20" descr=""/>
                    <pic:cNvPicPr>
                      <a:picLocks noChangeAspect="1" noChangeArrowheads="1"/>
                    </pic:cNvPicPr>
                  </pic:nvPicPr>
                  <pic:blipFill>
                    <a:blip r:embed="rId61"/>
                    <a:stretch>
                      <a:fillRect/>
                    </a:stretch>
                  </pic:blipFill>
                  <pic:spPr bwMode="auto">
                    <a:xfrm>
                      <a:off x="0" y="0"/>
                      <a:ext cx="204470" cy="262890"/>
                    </a:xfrm>
                    <a:prstGeom prst="rect">
                      <a:avLst/>
                    </a:prstGeom>
                  </pic:spPr>
                </pic:pic>
              </a:graphicData>
            </a:graphic>
          </wp:inline>
        </w:drawing>
      </w:r>
      <w:r>
        <w:rPr>
          <w:rFonts w:eastAsia="Arial"/>
          <w:sz w:val="24"/>
          <w:szCs w:val="24"/>
        </w:rPr>
        <w:t>,</w:t>
      </w:r>
      <w:r>
        <w:rPr/>
        <w:drawing>
          <wp:inline distT="0" distB="0" distL="0" distR="0">
            <wp:extent cx="204470" cy="262890"/>
            <wp:effectExtent l="0" t="0" r="0" b="0"/>
            <wp:docPr id="42"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21" descr=""/>
                    <pic:cNvPicPr>
                      <a:picLocks noChangeAspect="1" noChangeArrowheads="1"/>
                    </pic:cNvPicPr>
                  </pic:nvPicPr>
                  <pic:blipFill>
                    <a:blip r:embed="rId62"/>
                    <a:stretch>
                      <a:fillRect/>
                    </a:stretch>
                  </pic:blipFill>
                  <pic:spPr bwMode="auto">
                    <a:xfrm>
                      <a:off x="0" y="0"/>
                      <a:ext cx="204470" cy="262890"/>
                    </a:xfrm>
                    <a:prstGeom prst="rect">
                      <a:avLst/>
                    </a:prstGeom>
                  </pic:spPr>
                </pic:pic>
              </a:graphicData>
            </a:graphic>
          </wp:inline>
        </w:drawing>
      </w:r>
      <w:r>
        <w:rPr>
          <w:rFonts w:eastAsia="Arial"/>
          <w:sz w:val="24"/>
          <w:szCs w:val="24"/>
        </w:rPr>
        <w:t>,</w:t>
      </w:r>
      <w:r>
        <w:rPr/>
        <w:drawing>
          <wp:inline distT="0" distB="0" distL="0" distR="0">
            <wp:extent cx="204470" cy="262890"/>
            <wp:effectExtent l="0" t="0" r="0" b="0"/>
            <wp:docPr id="43"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22" descr=""/>
                    <pic:cNvPicPr>
                      <a:picLocks noChangeAspect="1" noChangeArrowheads="1"/>
                    </pic:cNvPicPr>
                  </pic:nvPicPr>
                  <pic:blipFill>
                    <a:blip r:embed="rId63"/>
                    <a:stretch>
                      <a:fillRect/>
                    </a:stretch>
                  </pic:blipFill>
                  <pic:spPr bwMode="auto">
                    <a:xfrm>
                      <a:off x="0" y="0"/>
                      <a:ext cx="204470" cy="262890"/>
                    </a:xfrm>
                    <a:prstGeom prst="rect">
                      <a:avLst/>
                    </a:prstGeom>
                  </pic:spPr>
                </pic:pic>
              </a:graphicData>
            </a:graphic>
          </wp:inline>
        </w:drawing>
      </w:r>
      <w:r>
        <w:rPr>
          <w:rFonts w:eastAsia="Arial"/>
          <w:sz w:val="24"/>
          <w:szCs w:val="24"/>
        </w:rPr>
        <w:t>,</w:t>
      </w:r>
      <w:r>
        <w:rPr/>
        <w:drawing>
          <wp:inline distT="0" distB="0" distL="0" distR="0">
            <wp:extent cx="262890" cy="262890"/>
            <wp:effectExtent l="0" t="0" r="0" b="0"/>
            <wp:docPr id="44"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23" descr=""/>
                    <pic:cNvPicPr>
                      <a:picLocks noChangeAspect="1" noChangeArrowheads="1"/>
                    </pic:cNvPicPr>
                  </pic:nvPicPr>
                  <pic:blipFill>
                    <a:blip r:embed="rId64"/>
                    <a:stretch>
                      <a:fillRect/>
                    </a:stretch>
                  </pic:blipFill>
                  <pic:spPr bwMode="auto">
                    <a:xfrm>
                      <a:off x="0" y="0"/>
                      <a:ext cx="262890" cy="262890"/>
                    </a:xfrm>
                    <a:prstGeom prst="rect">
                      <a:avLst/>
                    </a:prstGeom>
                  </pic:spPr>
                </pic:pic>
              </a:graphicData>
            </a:graphic>
          </wp:inline>
        </w:drawing>
      </w:r>
      <w:r>
        <w:rPr>
          <w:rFonts w:eastAsia="Arial"/>
          <w:sz w:val="24"/>
          <w:szCs w:val="24"/>
        </w:rPr>
        <w:t>,</w:t>
      </w:r>
      <w:r>
        <w:rPr/>
        <w:drawing>
          <wp:inline distT="0" distB="0" distL="0" distR="0">
            <wp:extent cx="262890" cy="262890"/>
            <wp:effectExtent l="0" t="0" r="0" b="0"/>
            <wp:docPr id="45"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24" descr=""/>
                    <pic:cNvPicPr>
                      <a:picLocks noChangeAspect="1" noChangeArrowheads="1"/>
                    </pic:cNvPicPr>
                  </pic:nvPicPr>
                  <pic:blipFill>
                    <a:blip r:embed="rId65"/>
                    <a:stretch>
                      <a:fillRect/>
                    </a:stretch>
                  </pic:blipFill>
                  <pic:spPr bwMode="auto">
                    <a:xfrm>
                      <a:off x="0" y="0"/>
                      <a:ext cx="262890" cy="262890"/>
                    </a:xfrm>
                    <a:prstGeom prst="rect">
                      <a:avLst/>
                    </a:prstGeom>
                  </pic:spPr>
                </pic:pic>
              </a:graphicData>
            </a:graphic>
          </wp:inline>
        </w:drawing>
      </w:r>
      <w:r>
        <w:rPr>
          <w:rFonts w:eastAsia="Arial"/>
          <w:sz w:val="24"/>
          <w:szCs w:val="24"/>
        </w:rPr>
        <w:t>,</w:t>
      </w:r>
      <w:r>
        <w:rPr/>
        <w:drawing>
          <wp:inline distT="0" distB="0" distL="0" distR="0">
            <wp:extent cx="204470" cy="262890"/>
            <wp:effectExtent l="0" t="0" r="0" b="0"/>
            <wp:docPr id="46"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25" descr=""/>
                    <pic:cNvPicPr>
                      <a:picLocks noChangeAspect="1" noChangeArrowheads="1"/>
                    </pic:cNvPicPr>
                  </pic:nvPicPr>
                  <pic:blipFill>
                    <a:blip r:embed="rId66"/>
                    <a:stretch>
                      <a:fillRect/>
                    </a:stretch>
                  </pic:blipFill>
                  <pic:spPr bwMode="auto">
                    <a:xfrm>
                      <a:off x="0" y="0"/>
                      <a:ext cx="204470" cy="262890"/>
                    </a:xfrm>
                    <a:prstGeom prst="rect">
                      <a:avLst/>
                    </a:prstGeom>
                  </pic:spPr>
                </pic:pic>
              </a:graphicData>
            </a:graphic>
          </wp:inline>
        </w:drawing>
      </w:r>
      <w:r>
        <w:rPr>
          <w:rFonts w:eastAsia="Arial"/>
          <w:sz w:val="24"/>
          <w:szCs w:val="24"/>
        </w:rPr>
        <w:t xml:space="preserve">), </w:t>
      </w:r>
    </w:p>
    <w:p>
      <w:pPr>
        <w:pStyle w:val="Normal"/>
        <w:numPr>
          <w:ilvl w:val="0"/>
          <w:numId w:val="0"/>
        </w:numPr>
        <w:spacing w:lineRule="auto" w:line="276" w:before="120" w:after="120"/>
        <w:ind w:left="0" w:firstLine="567"/>
        <w:outlineLvl w:val="3"/>
        <w:rPr>
          <w:rFonts w:eastAsia="Arial"/>
          <w:sz w:val="24"/>
          <w:szCs w:val="24"/>
        </w:rPr>
      </w:pPr>
      <w:r>
        <w:rPr>
          <w:rFonts w:eastAsia="Arial"/>
          <w:sz w:val="24"/>
          <w:szCs w:val="24"/>
        </w:rPr>
        <w:t xml:space="preserve">определяемые для каждого из соответствующих им объемов невыполнения требований по готовности </w:t>
      </w:r>
      <w:r>
        <w:rPr/>
        <w:drawing>
          <wp:inline distT="0" distB="0" distL="0" distR="0">
            <wp:extent cx="276225" cy="276225"/>
            <wp:effectExtent l="0" t="0" r="0" b="0"/>
            <wp:docPr id="47"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33" descr=""/>
                    <pic:cNvPicPr>
                      <a:picLocks noChangeAspect="1" noChangeArrowheads="1"/>
                    </pic:cNvPicPr>
                  </pic:nvPicPr>
                  <pic:blipFill>
                    <a:blip r:embed="rId67"/>
                    <a:stretch>
                      <a:fillRect/>
                    </a:stretch>
                  </pic:blipFill>
                  <pic:spPr bwMode="auto">
                    <a:xfrm>
                      <a:off x="0" y="0"/>
                      <a:ext cx="276225" cy="276225"/>
                    </a:xfrm>
                    <a:prstGeom prst="rect">
                      <a:avLst/>
                    </a:prstGeom>
                  </pic:spPr>
                </pic:pic>
              </a:graphicData>
            </a:graphic>
          </wp:inline>
        </w:drawing>
      </w:r>
      <w:r>
        <w:rPr>
          <w:rFonts w:eastAsia="Arial"/>
          <w:sz w:val="24"/>
          <w:szCs w:val="24"/>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pPr>
        <w:pStyle w:val="Normal"/>
        <w:numPr>
          <w:ilvl w:val="0"/>
          <w:numId w:val="0"/>
        </w:numPr>
        <w:spacing w:lineRule="auto" w:line="276" w:before="120" w:after="120"/>
        <w:ind w:left="0" w:firstLine="567"/>
        <w:outlineLvl w:val="2"/>
        <w:rPr>
          <w:rFonts w:eastAsia="Arial"/>
          <w:sz w:val="24"/>
          <w:szCs w:val="24"/>
        </w:rPr>
      </w:pPr>
      <w:r>
        <w:rPr>
          <w:rFonts w:eastAsia="Arial"/>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8175" cy="276225"/>
            <wp:effectExtent l="0" t="0" r="0" b="0"/>
            <wp:docPr id="48"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32" descr=""/>
                    <pic:cNvPicPr>
                      <a:picLocks noChangeAspect="1" noChangeArrowheads="1"/>
                    </pic:cNvPicPr>
                  </pic:nvPicPr>
                  <pic:blipFill>
                    <a:blip r:embed="rId68"/>
                    <a:stretch>
                      <a:fillRect/>
                    </a:stretch>
                  </pic:blipFill>
                  <pic:spPr bwMode="auto">
                    <a:xfrm>
                      <a:off x="0" y="0"/>
                      <a:ext cx="638175" cy="276225"/>
                    </a:xfrm>
                    <a:prstGeom prst="rect">
                      <a:avLst/>
                    </a:prstGeom>
                  </pic:spPr>
                </pic:pic>
              </a:graphicData>
            </a:graphic>
          </wp:inline>
        </w:drawing>
      </w:r>
      <w:r>
        <w:rPr>
          <w:rFonts w:eastAsia="Arial"/>
          <w:sz w:val="24"/>
          <w:szCs w:val="24"/>
        </w:rPr>
        <w:t>.</w:t>
      </w:r>
    </w:p>
    <w:p>
      <w:pPr>
        <w:pStyle w:val="Normal"/>
        <w:spacing w:lineRule="auto" w:line="276" w:before="0" w:after="200"/>
        <w:rPr>
          <w:rFonts w:eastAsia="Arial"/>
          <w:sz w:val="24"/>
          <w:szCs w:val="24"/>
        </w:rPr>
      </w:pPr>
      <w:r>
        <w:rPr>
          <w:rFonts w:eastAsia="Arial"/>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spacing w:lineRule="auto" w:line="276" w:before="0" w:after="200"/>
        <w:rPr>
          <w:rFonts w:eastAsia="Arial"/>
          <w:sz w:val="24"/>
          <w:szCs w:val="24"/>
        </w:rPr>
      </w:pPr>
      <w:r>
        <w:rPr>
          <w:rFonts w:eastAsia="Arial"/>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spacing w:lineRule="auto" w:line="276" w:before="0" w:after="200"/>
        <w:rPr>
          <w:rFonts w:eastAsia="Arial"/>
          <w:sz w:val="24"/>
          <w:szCs w:val="24"/>
        </w:rPr>
      </w:pPr>
      <w:r>
        <w:rPr>
          <w:rFonts w:eastAsia="Arial"/>
          <w:sz w:val="24"/>
          <w:szCs w:val="24"/>
        </w:rPr>
        <w:t xml:space="preserve">  </w:t>
      </w:r>
      <w:r>
        <w:rPr>
          <w:rFonts w:eastAsia="Arial"/>
          <w:sz w:val="24"/>
          <w:szCs w:val="24"/>
        </w:rPr>
        <w:t xml:space="preserve">- </w:t>
      </w:r>
      <w:r>
        <w:rPr/>
        <w:drawing>
          <wp:inline distT="0" distB="0" distL="0" distR="0">
            <wp:extent cx="478155" cy="297815"/>
            <wp:effectExtent l="0" t="0" r="0" b="0"/>
            <wp:docPr id="49"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31" descr=""/>
                    <pic:cNvPicPr>
                      <a:picLocks noChangeAspect="1" noChangeArrowheads="1"/>
                    </pic:cNvPicPr>
                  </pic:nvPicPr>
                  <pic:blipFill>
                    <a:blip r:embed="rId69"/>
                    <a:stretch>
                      <a:fillRect/>
                    </a:stretch>
                  </pic:blipFill>
                  <pic:spPr bwMode="auto">
                    <a:xfrm>
                      <a:off x="0" y="0"/>
                      <a:ext cx="478155" cy="297815"/>
                    </a:xfrm>
                    <a:prstGeom prst="rect">
                      <a:avLst/>
                    </a:prstGeom>
                  </pic:spPr>
                </pic:pic>
              </a:graphicData>
            </a:graphic>
          </wp:inline>
        </w:drawing>
      </w:r>
      <w:r>
        <w:rPr>
          <w:rFonts w:eastAsia="Arial"/>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t>
      </w:r>
    </w:p>
    <w:p>
      <w:pPr>
        <w:pStyle w:val="Normal"/>
        <w:spacing w:lineRule="auto" w:line="276" w:before="0" w:after="200"/>
        <w:rPr>
          <w:rFonts w:eastAsia="Arial"/>
          <w:sz w:val="24"/>
          <w:szCs w:val="24"/>
        </w:rPr>
      </w:pPr>
      <w:r>
        <w:rPr>
          <w:rFonts w:eastAsia="Arial"/>
          <w:sz w:val="24"/>
          <w:szCs w:val="24"/>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widowControl w:val="false"/>
        <w:spacing w:lineRule="auto" w:line="276" w:before="240" w:after="200"/>
        <w:rPr>
          <w:rFonts w:eastAsia="Arial"/>
          <w:sz w:val="24"/>
          <w:szCs w:val="24"/>
        </w:rPr>
      </w:pPr>
      <w:r>
        <w:rPr>
          <w:rFonts w:eastAsia="Arial"/>
          <w:sz w:val="24"/>
          <w:szCs w:val="24"/>
        </w:rPr>
        <w:t xml:space="preserve">- </w:t>
      </w:r>
      <w:r>
        <w:rPr/>
        <w:drawing>
          <wp:inline distT="0" distB="0" distL="0" distR="0">
            <wp:extent cx="457200" cy="297815"/>
            <wp:effectExtent l="0" t="0" r="0" b="0"/>
            <wp:docPr id="5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30" descr=""/>
                    <pic:cNvPicPr>
                      <a:picLocks noChangeAspect="1" noChangeArrowheads="1"/>
                    </pic:cNvPicPr>
                  </pic:nvPicPr>
                  <pic:blipFill>
                    <a:blip r:embed="rId70"/>
                    <a:stretch>
                      <a:fillRect/>
                    </a:stretch>
                  </pic:blipFill>
                  <pic:spPr bwMode="auto">
                    <a:xfrm>
                      <a:off x="0" y="0"/>
                      <a:ext cx="457200" cy="297815"/>
                    </a:xfrm>
                    <a:prstGeom prst="rect">
                      <a:avLst/>
                    </a:prstGeom>
                  </pic:spPr>
                </pic:pic>
              </a:graphicData>
            </a:graphic>
          </wp:inline>
        </w:drawing>
      </w:r>
      <w:r>
        <w:rPr>
          <w:rFonts w:eastAsia="Arial"/>
          <w:sz w:val="24"/>
          <w:szCs w:val="24"/>
        </w:rPr>
        <w:t xml:space="preserve"> - сезонный коэффициент, рассчитанный для ценовой зоны оптового рынка (z) месяца (m); </w:t>
      </w:r>
    </w:p>
    <w:p>
      <w:pPr>
        <w:pStyle w:val="Normal"/>
        <w:spacing w:lineRule="auto" w:line="276" w:before="20" w:after="20"/>
        <w:ind w:firstLine="709"/>
        <w:rPr>
          <w:sz w:val="24"/>
          <w:szCs w:val="24"/>
        </w:rPr>
      </w:pPr>
      <w:r>
        <w:rPr>
          <w:rFonts w:eastAsia="Arial"/>
          <w:sz w:val="24"/>
          <w:szCs w:val="24"/>
        </w:rPr>
        <w:t xml:space="preserve">Стоимость недопоставки мощности (снижение оплаты мощности) рассчитывается как произведение объема недопоставки мощности </w:t>
      </w:r>
      <w:r>
        <w:rPr/>
        <w:drawing>
          <wp:inline distT="0" distB="0" distL="0" distR="0">
            <wp:extent cx="651510" cy="262890"/>
            <wp:effectExtent l="0" t="0" r="0" b="0"/>
            <wp:docPr id="51" name="Изображение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26" descr=""/>
                    <pic:cNvPicPr>
                      <a:picLocks noChangeAspect="1" noChangeArrowheads="1"/>
                    </pic:cNvPicPr>
                  </pic:nvPicPr>
                  <pic:blipFill>
                    <a:blip r:embed="rId71"/>
                    <a:stretch>
                      <a:fillRect/>
                    </a:stretch>
                  </pic:blipFill>
                  <pic:spPr bwMode="auto">
                    <a:xfrm>
                      <a:off x="0" y="0"/>
                      <a:ext cx="651510" cy="262890"/>
                    </a:xfrm>
                    <a:prstGeom prst="rect">
                      <a:avLst/>
                    </a:prstGeom>
                  </pic:spPr>
                </pic:pic>
              </a:graphicData>
            </a:graphic>
          </wp:inline>
        </w:drawing>
      </w:r>
      <w:r>
        <w:rPr>
          <w:rFonts w:eastAsia="Arial"/>
          <w:sz w:val="24"/>
          <w:szCs w:val="24"/>
        </w:rPr>
        <w:t xml:space="preserve"> на цену </w:t>
      </w:r>
      <w:r>
        <w:rPr/>
        <w:drawing>
          <wp:inline distT="0" distB="0" distL="0" distR="0">
            <wp:extent cx="478155" cy="297815"/>
            <wp:effectExtent l="0" t="0" r="0" b="0"/>
            <wp:docPr id="52"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29" descr=""/>
                    <pic:cNvPicPr>
                      <a:picLocks noChangeAspect="1" noChangeArrowheads="1"/>
                    </pic:cNvPicPr>
                  </pic:nvPicPr>
                  <pic:blipFill>
                    <a:blip r:embed="rId72"/>
                    <a:stretch>
                      <a:fillRect/>
                    </a:stretch>
                  </pic:blipFill>
                  <pic:spPr bwMode="auto">
                    <a:xfrm>
                      <a:off x="0" y="0"/>
                      <a:ext cx="478155" cy="297815"/>
                    </a:xfrm>
                    <a:prstGeom prst="rect">
                      <a:avLst/>
                    </a:prstGeom>
                  </pic:spPr>
                </pic:pic>
              </a:graphicData>
            </a:graphic>
          </wp:inline>
        </w:drawing>
      </w:r>
      <w:r>
        <w:rPr>
          <w:rFonts w:eastAsia="Arial"/>
          <w:sz w:val="24"/>
          <w:szCs w:val="24"/>
        </w:rPr>
        <w:t xml:space="preserve"> и на коэффициент сезонности</w:t>
      </w:r>
      <w:r>
        <w:rPr/>
        <w:drawing>
          <wp:inline distT="0" distB="0" distL="0" distR="0">
            <wp:extent cx="457200" cy="297815"/>
            <wp:effectExtent l="0" t="0" r="0" b="0"/>
            <wp:docPr id="53"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28" descr=""/>
                    <pic:cNvPicPr>
                      <a:picLocks noChangeAspect="1" noChangeArrowheads="1"/>
                    </pic:cNvPicPr>
                  </pic:nvPicPr>
                  <pic:blipFill>
                    <a:blip r:embed="rId73"/>
                    <a:stretch>
                      <a:fillRect/>
                    </a:stretch>
                  </pic:blipFill>
                  <pic:spPr bwMode="auto">
                    <a:xfrm>
                      <a:off x="0" y="0"/>
                      <a:ext cx="457200" cy="297815"/>
                    </a:xfrm>
                    <a:prstGeom prst="rect">
                      <a:avLst/>
                    </a:prstGeom>
                  </pic:spPr>
                </pic:pic>
              </a:graphicData>
            </a:graphic>
          </wp:inline>
        </w:drawing>
      </w:r>
      <w:r>
        <w:rPr>
          <w:rFonts w:eastAsia="Arial"/>
          <w:sz w:val="24"/>
          <w:szCs w:val="24"/>
        </w:rPr>
        <w:t xml:space="preserve">.  </w:t>
      </w:r>
    </w:p>
    <w:p>
      <w:pPr>
        <w:pStyle w:val="Normal"/>
        <w:tabs>
          <w:tab w:val="clear" w:pos="708"/>
          <w:tab w:val="left" w:pos="1134" w:leader="none"/>
        </w:tabs>
        <w:spacing w:lineRule="auto" w:line="240"/>
        <w:jc w:val="right"/>
        <w:rPr>
          <w:rFonts w:eastAsia="Arial" w:cs="Tahoma"/>
          <w:sz w:val="24"/>
          <w:szCs w:val="24"/>
          <w:lang w:eastAsia="zh-CN"/>
        </w:rPr>
      </w:pPr>
      <w:r>
        <w:rPr>
          <w:rFonts w:eastAsia="Arial" w:cs="Tahoma"/>
          <w:sz w:val="24"/>
          <w:szCs w:val="24"/>
          <w:lang w:eastAsia="zh-CN"/>
        </w:rPr>
      </w:r>
    </w:p>
    <w:p>
      <w:pPr>
        <w:pStyle w:val="Normal"/>
        <w:tabs>
          <w:tab w:val="clear" w:pos="708"/>
          <w:tab w:val="left" w:pos="1134" w:leader="none"/>
        </w:tabs>
        <w:spacing w:lineRule="auto" w:line="240"/>
        <w:jc w:val="right"/>
        <w:rPr>
          <w:sz w:val="24"/>
          <w:szCs w:val="24"/>
        </w:rPr>
      </w:pPr>
      <w:r>
        <w:rPr>
          <w:sz w:val="24"/>
          <w:szCs w:val="24"/>
        </w:rPr>
      </w:r>
    </w:p>
    <w:tbl>
      <w:tblPr>
        <w:tblW w:w="963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2"/>
        <w:gridCol w:w="4994"/>
      </w:tblGrid>
      <w:tr>
        <w:trPr>
          <w:trHeight w:val="1380" w:hRule="atLeast"/>
        </w:trPr>
        <w:tc>
          <w:tcPr>
            <w:tcW w:w="4642" w:type="dxa"/>
            <w:tcBorders/>
            <w:shd w:color="auto" w:fill="auto" w:val="clear"/>
          </w:tcPr>
          <w:p>
            <w:pPr>
              <w:pStyle w:val="Normal"/>
              <w:widowControl w:val="false"/>
              <w:spacing w:lineRule="auto" w:line="240"/>
              <w:ind w:hanging="0"/>
              <w:rPr>
                <w:b/>
                <w:sz w:val="24"/>
                <w:szCs w:val="24"/>
              </w:rPr>
            </w:pPr>
            <w:r>
              <w:rPr>
                <w:b/>
                <w:sz w:val="24"/>
                <w:szCs w:val="24"/>
              </w:rPr>
              <w:t xml:space="preserve">         </w:t>
            </w:r>
            <w:r>
              <w:rPr>
                <w:b/>
                <w:sz w:val="24"/>
                <w:szCs w:val="24"/>
              </w:rPr>
              <w:t>От Заказчика:</w:t>
            </w:r>
          </w:p>
          <w:p>
            <w:pPr>
              <w:pStyle w:val="Normal"/>
              <w:widowControl w:val="false"/>
              <w:rPr>
                <w:color w:val="000000"/>
                <w:sz w:val="24"/>
                <w:szCs w:val="24"/>
              </w:rPr>
            </w:pPr>
            <w:r>
              <w:rPr>
                <w:color w:val="000000"/>
                <w:sz w:val="24"/>
                <w:szCs w:val="24"/>
              </w:rPr>
            </w:r>
          </w:p>
        </w:tc>
        <w:tc>
          <w:tcPr>
            <w:tcW w:w="4994" w:type="dxa"/>
            <w:tcBorders/>
            <w:shd w:color="auto" w:fill="auto" w:val="clear"/>
          </w:tcPr>
          <w:p>
            <w:pPr>
              <w:pStyle w:val="Normal"/>
              <w:widowControl w:val="false"/>
              <w:spacing w:lineRule="auto" w:line="240"/>
              <w:ind w:hanging="0"/>
              <w:rPr>
                <w:b/>
                <w:sz w:val="24"/>
                <w:szCs w:val="24"/>
              </w:rPr>
            </w:pPr>
            <w:r>
              <w:rPr>
                <w:b/>
                <w:sz w:val="24"/>
                <w:szCs w:val="24"/>
              </w:rPr>
              <w:t xml:space="preserve">         </w:t>
            </w:r>
            <w:r>
              <w:rPr>
                <w:b/>
                <w:sz w:val="24"/>
                <w:szCs w:val="24"/>
              </w:rPr>
              <w:t>От Подрядчика:</w:t>
            </w:r>
          </w:p>
          <w:p>
            <w:pPr>
              <w:pStyle w:val="Normal"/>
              <w:widowControl w:val="false"/>
              <w:rPr>
                <w:color w:val="000000"/>
                <w:sz w:val="24"/>
                <w:szCs w:val="24"/>
              </w:rPr>
            </w:pPr>
            <w:r>
              <w:rPr>
                <w:color w:val="000000"/>
                <w:sz w:val="24"/>
                <w:szCs w:val="24"/>
              </w:rPr>
            </w:r>
          </w:p>
        </w:tc>
      </w:tr>
    </w:tbl>
    <w:p>
      <w:pPr>
        <w:pStyle w:val="Normal"/>
        <w:spacing w:lineRule="auto" w:line="240"/>
        <w:ind w:left="5812" w:firstLine="567"/>
        <w:rPr>
          <w:sz w:val="22"/>
          <w:szCs w:val="22"/>
        </w:rPr>
      </w:pPr>
      <w:r>
        <w:rPr>
          <w:sz w:val="22"/>
          <w:szCs w:val="22"/>
        </w:rPr>
      </w:r>
    </w:p>
    <w:p>
      <w:pPr>
        <w:pStyle w:val="Normal"/>
        <w:spacing w:lineRule="auto" w:line="240"/>
        <w:ind w:left="5812" w:firstLine="567"/>
        <w:rPr>
          <w:sz w:val="22"/>
          <w:szCs w:val="22"/>
        </w:rPr>
      </w:pPr>
      <w:r>
        <w:rPr>
          <w:sz w:val="22"/>
          <w:szCs w:val="22"/>
        </w:rPr>
      </w:r>
    </w:p>
    <w:p>
      <w:pPr>
        <w:pStyle w:val="Normal"/>
        <w:spacing w:lineRule="auto" w:line="240"/>
        <w:ind w:left="5812" w:firstLine="567"/>
        <w:jc w:val="right"/>
        <w:rPr>
          <w:sz w:val="22"/>
          <w:szCs w:val="22"/>
        </w:rPr>
      </w:pPr>
      <w:r>
        <w:rPr>
          <w:sz w:val="22"/>
          <w:szCs w:val="22"/>
        </w:rPr>
      </w:r>
    </w:p>
    <w:p>
      <w:pPr>
        <w:pStyle w:val="Normal"/>
        <w:spacing w:lineRule="auto" w:line="240"/>
        <w:ind w:left="5812" w:firstLine="567"/>
        <w:jc w:val="right"/>
        <w:rPr>
          <w:sz w:val="22"/>
          <w:szCs w:val="22"/>
        </w:rPr>
      </w:pPr>
      <w:r>
        <w:rPr>
          <w:sz w:val="22"/>
          <w:szCs w:val="22"/>
        </w:rPr>
      </w:r>
    </w:p>
    <w:p>
      <w:pPr>
        <w:pStyle w:val="Normal"/>
        <w:spacing w:lineRule="auto" w:line="240"/>
        <w:ind w:left="5812" w:firstLine="567"/>
        <w:jc w:val="right"/>
        <w:rPr>
          <w:sz w:val="22"/>
          <w:szCs w:val="22"/>
        </w:rPr>
      </w:pPr>
      <w:r>
        <w:rPr>
          <w:sz w:val="22"/>
          <w:szCs w:val="22"/>
        </w:rPr>
      </w:r>
    </w:p>
    <w:p>
      <w:pPr>
        <w:pStyle w:val="Normal"/>
        <w:spacing w:lineRule="auto" w:line="240"/>
        <w:ind w:left="5812" w:firstLine="567"/>
        <w:jc w:val="right"/>
        <w:rPr>
          <w:sz w:val="22"/>
          <w:szCs w:val="22"/>
        </w:rPr>
      </w:pPr>
      <w:r>
        <w:rPr>
          <w:sz w:val="22"/>
          <w:szCs w:val="22"/>
        </w:rPr>
      </w:r>
    </w:p>
    <w:p>
      <w:pPr>
        <w:pStyle w:val="Normal"/>
        <w:spacing w:lineRule="auto" w:line="240"/>
        <w:ind w:left="5812" w:firstLine="567"/>
        <w:jc w:val="right"/>
        <w:rPr>
          <w:sz w:val="22"/>
          <w:szCs w:val="22"/>
        </w:rPr>
      </w:pPr>
      <w:r>
        <w:rPr>
          <w:sz w:val="22"/>
          <w:szCs w:val="22"/>
        </w:rPr>
      </w:r>
    </w:p>
    <w:p>
      <w:pPr>
        <w:pStyle w:val="Normal"/>
        <w:spacing w:lineRule="auto" w:line="240"/>
        <w:ind w:left="5812" w:firstLine="567"/>
        <w:jc w:val="right"/>
        <w:rPr>
          <w:sz w:val="22"/>
          <w:szCs w:val="22"/>
        </w:rPr>
      </w:pPr>
      <w:r>
        <w:rPr>
          <w:sz w:val="22"/>
          <w:szCs w:val="22"/>
        </w:rPr>
      </w:r>
    </w:p>
    <w:p>
      <w:pPr>
        <w:pStyle w:val="Normal"/>
        <w:spacing w:lineRule="auto" w:line="240"/>
        <w:ind w:left="5812" w:firstLine="567"/>
        <w:jc w:val="right"/>
        <w:rPr>
          <w:sz w:val="22"/>
          <w:szCs w:val="22"/>
        </w:rPr>
      </w:pPr>
      <w:r>
        <w:rPr>
          <w:sz w:val="22"/>
          <w:szCs w:val="22"/>
        </w:rPr>
        <w:t>Приложение № 11</w:t>
      </w:r>
    </w:p>
    <w:p>
      <w:pPr>
        <w:pStyle w:val="Normal"/>
        <w:spacing w:lineRule="auto" w:line="240"/>
        <w:ind w:left="720" w:firstLine="4820"/>
        <w:jc w:val="right"/>
        <w:rPr>
          <w:sz w:val="22"/>
          <w:szCs w:val="22"/>
        </w:rPr>
      </w:pPr>
      <w:r>
        <w:rPr>
          <w:sz w:val="22"/>
          <w:szCs w:val="22"/>
        </w:rPr>
        <w:t>к Договору подряда</w:t>
      </w:r>
    </w:p>
    <w:p>
      <w:pPr>
        <w:pStyle w:val="Normal"/>
        <w:tabs>
          <w:tab w:val="clear" w:pos="708"/>
          <w:tab w:val="left" w:pos="1134" w:leader="none"/>
        </w:tabs>
        <w:spacing w:lineRule="auto" w:line="240"/>
        <w:jc w:val="right"/>
        <w:rPr>
          <w:bCs/>
          <w:color w:val="000000"/>
          <w:sz w:val="22"/>
          <w:szCs w:val="22"/>
        </w:rPr>
      </w:pPr>
      <w:r>
        <w:rPr>
          <w:bCs/>
          <w:color w:val="000000"/>
          <w:sz w:val="22"/>
          <w:szCs w:val="22"/>
        </w:rPr>
        <w:t>от «____» __________ 2026 г. №  __________</w:t>
      </w:r>
    </w:p>
    <w:p>
      <w:pPr>
        <w:pStyle w:val="Normal"/>
        <w:spacing w:lineRule="auto" w:line="240"/>
        <w:ind w:hanging="0"/>
        <w:rPr>
          <w:b/>
        </w:rPr>
      </w:pPr>
      <w:r>
        <w:rPr>
          <w:b/>
        </w:rPr>
      </w:r>
    </w:p>
    <w:p>
      <w:pPr>
        <w:pStyle w:val="Normal"/>
        <w:spacing w:lineRule="auto" w:line="240"/>
        <w:rPr>
          <w:b/>
          <w:sz w:val="24"/>
          <w:szCs w:val="24"/>
        </w:rPr>
      </w:pPr>
      <w:r>
        <w:rPr>
          <w:b/>
          <w:sz w:val="24"/>
          <w:szCs w:val="24"/>
        </w:rPr>
        <w:t>Порядок возврата Подрядчиком Заказчику лома и отходов черных и цветных металлов, образовавшихся при производстве работ</w:t>
      </w:r>
    </w:p>
    <w:p>
      <w:pPr>
        <w:pStyle w:val="Normal"/>
        <w:spacing w:lineRule="auto" w:line="240"/>
        <w:rPr>
          <w:b/>
          <w:sz w:val="24"/>
          <w:szCs w:val="24"/>
        </w:rPr>
      </w:pPr>
      <w:r>
        <w:rPr>
          <w:b/>
          <w:sz w:val="24"/>
          <w:szCs w:val="24"/>
        </w:rPr>
      </w:r>
    </w:p>
    <w:p>
      <w:pPr>
        <w:pStyle w:val="Normal"/>
        <w:numPr>
          <w:ilvl w:val="0"/>
          <w:numId w:val="28"/>
        </w:numPr>
        <w:suppressAutoHyphens w:val="false"/>
        <w:spacing w:lineRule="auto" w:line="240"/>
        <w:ind w:left="0" w:firstLine="567"/>
        <w:rPr>
          <w:sz w:val="24"/>
          <w:szCs w:val="24"/>
        </w:rPr>
      </w:pPr>
      <w:r>
        <w:rPr>
          <w:sz w:val="24"/>
          <w:szCs w:val="24"/>
        </w:rPr>
        <w:t>По результатам обследования технического состояния демонтированных материальных ценностей Заказчик направит уведомление, содержащее сведения:</w:t>
      </w:r>
    </w:p>
    <w:p>
      <w:pPr>
        <w:pStyle w:val="Normal"/>
        <w:numPr>
          <w:ilvl w:val="1"/>
          <w:numId w:val="28"/>
        </w:numPr>
        <w:suppressAutoHyphens w:val="false"/>
        <w:spacing w:lineRule="auto" w:line="240"/>
        <w:ind w:left="0" w:firstLine="567"/>
        <w:rPr>
          <w:sz w:val="24"/>
          <w:szCs w:val="24"/>
        </w:rPr>
      </w:pPr>
      <w:r>
        <w:rPr>
          <w:sz w:val="24"/>
          <w:szCs w:val="24"/>
        </w:rPr>
        <w:t xml:space="preserve"> </w:t>
      </w:r>
      <w:r>
        <w:rPr>
          <w:sz w:val="24"/>
          <w:szCs w:val="24"/>
        </w:rPr>
        <w:t>о материальных ценностях, пригодных для дальнейшего использования, порядке и сроках их передачи Заказчику, в том числе:</w:t>
      </w:r>
    </w:p>
    <w:p>
      <w:pPr>
        <w:pStyle w:val="Normal"/>
        <w:numPr>
          <w:ilvl w:val="0"/>
          <w:numId w:val="29"/>
        </w:numPr>
        <w:suppressAutoHyphens w:val="false"/>
        <w:spacing w:lineRule="auto" w:line="240"/>
        <w:ind w:left="0" w:firstLine="567"/>
        <w:rPr>
          <w:sz w:val="24"/>
          <w:szCs w:val="24"/>
        </w:rPr>
      </w:pPr>
      <w:r>
        <w:rPr>
          <w:sz w:val="24"/>
          <w:szCs w:val="24"/>
        </w:rPr>
        <w:t>о необходимости разборки/разукрупнения материальных ценностей;</w:t>
      </w:r>
    </w:p>
    <w:p>
      <w:pPr>
        <w:pStyle w:val="Normal"/>
        <w:numPr>
          <w:ilvl w:val="0"/>
          <w:numId w:val="29"/>
        </w:numPr>
        <w:suppressAutoHyphens w:val="false"/>
        <w:spacing w:lineRule="auto" w:line="240"/>
        <w:ind w:left="0" w:firstLine="567"/>
        <w:rPr>
          <w:sz w:val="24"/>
          <w:szCs w:val="24"/>
        </w:rPr>
      </w:pPr>
      <w:r>
        <w:rPr>
          <w:sz w:val="24"/>
          <w:szCs w:val="24"/>
        </w:rPr>
        <w:t>о сроках передачи и складе/площадке для размещения материальных ценностей;</w:t>
      </w:r>
    </w:p>
    <w:p>
      <w:pPr>
        <w:pStyle w:val="Normal"/>
        <w:numPr>
          <w:ilvl w:val="0"/>
          <w:numId w:val="29"/>
        </w:numPr>
        <w:suppressAutoHyphens w:val="false"/>
        <w:spacing w:lineRule="auto" w:line="240"/>
        <w:ind w:left="0" w:firstLine="567"/>
        <w:rPr>
          <w:sz w:val="24"/>
          <w:szCs w:val="24"/>
        </w:rPr>
      </w:pPr>
      <w:r>
        <w:rPr>
          <w:sz w:val="24"/>
          <w:szCs w:val="24"/>
        </w:rPr>
        <w:t>о сроках и порядке проведения взвешивания (при необходимости).</w:t>
      </w:r>
    </w:p>
    <w:p>
      <w:pPr>
        <w:pStyle w:val="Normal"/>
        <w:numPr>
          <w:ilvl w:val="1"/>
          <w:numId w:val="28"/>
        </w:numPr>
        <w:suppressAutoHyphens w:val="false"/>
        <w:spacing w:lineRule="auto" w:line="240"/>
        <w:ind w:left="0" w:firstLine="567"/>
        <w:rPr>
          <w:sz w:val="24"/>
          <w:szCs w:val="24"/>
        </w:rPr>
      </w:pPr>
      <w:r>
        <w:rPr>
          <w:sz w:val="24"/>
          <w:szCs w:val="24"/>
        </w:rPr>
        <w:t xml:space="preserve"> </w:t>
      </w:r>
      <w:r>
        <w:rPr>
          <w:sz w:val="24"/>
          <w:szCs w:val="24"/>
        </w:rPr>
        <w:t>о непригодных для дальнейшего использования материальных ценностях, списываемых в лом и отходы черных и цветных металлов, порядке и сроках их передачи Заказчику, в том числе:</w:t>
      </w:r>
    </w:p>
    <w:p>
      <w:pPr>
        <w:pStyle w:val="Normal"/>
        <w:numPr>
          <w:ilvl w:val="0"/>
          <w:numId w:val="29"/>
        </w:numPr>
        <w:suppressAutoHyphens w:val="false"/>
        <w:spacing w:lineRule="auto" w:line="240"/>
        <w:ind w:left="0" w:firstLine="567"/>
        <w:rPr>
          <w:sz w:val="24"/>
          <w:szCs w:val="24"/>
        </w:rPr>
      </w:pPr>
      <w:r>
        <w:rPr>
          <w:sz w:val="24"/>
          <w:szCs w:val="24"/>
        </w:rPr>
        <w:t>о необходимости разделки лома металлов, сортировки по видам металлов, видам, группам и категориям металлолома;</w:t>
      </w:r>
    </w:p>
    <w:p>
      <w:pPr>
        <w:pStyle w:val="Normal"/>
        <w:numPr>
          <w:ilvl w:val="0"/>
          <w:numId w:val="29"/>
        </w:numPr>
        <w:suppressAutoHyphens w:val="false"/>
        <w:spacing w:lineRule="auto" w:line="240"/>
        <w:ind w:left="0" w:firstLine="567"/>
        <w:rPr>
          <w:sz w:val="24"/>
          <w:szCs w:val="24"/>
        </w:rPr>
      </w:pPr>
      <w:r>
        <w:rPr>
          <w:sz w:val="24"/>
          <w:szCs w:val="24"/>
        </w:rPr>
        <w:t xml:space="preserve">о допустимых габаритах отдельных кусков лома, маркировке демонтированных деталей; </w:t>
      </w:r>
    </w:p>
    <w:p>
      <w:pPr>
        <w:pStyle w:val="Normal"/>
        <w:numPr>
          <w:ilvl w:val="0"/>
          <w:numId w:val="29"/>
        </w:numPr>
        <w:suppressAutoHyphens w:val="false"/>
        <w:spacing w:lineRule="auto" w:line="240"/>
        <w:ind w:left="0" w:firstLine="567"/>
        <w:rPr>
          <w:sz w:val="24"/>
          <w:szCs w:val="24"/>
        </w:rPr>
      </w:pPr>
      <w:r>
        <w:rPr>
          <w:sz w:val="24"/>
          <w:szCs w:val="24"/>
        </w:rPr>
        <w:t>об условиях размещения лома и месте накопления отходов;</w:t>
      </w:r>
    </w:p>
    <w:p>
      <w:pPr>
        <w:pStyle w:val="Normal"/>
        <w:numPr>
          <w:ilvl w:val="0"/>
          <w:numId w:val="29"/>
        </w:numPr>
        <w:suppressAutoHyphens w:val="false"/>
        <w:spacing w:lineRule="auto" w:line="240"/>
        <w:ind w:left="0" w:firstLine="567"/>
        <w:rPr>
          <w:sz w:val="24"/>
          <w:szCs w:val="24"/>
        </w:rPr>
      </w:pPr>
      <w:r>
        <w:rPr>
          <w:sz w:val="24"/>
          <w:szCs w:val="24"/>
        </w:rPr>
        <w:t>о сроках и условиях размещения лома в месте накопления отходов и взвешивания лома;</w:t>
      </w:r>
    </w:p>
    <w:p>
      <w:pPr>
        <w:pStyle w:val="Normal"/>
        <w:numPr>
          <w:ilvl w:val="0"/>
          <w:numId w:val="29"/>
        </w:numPr>
        <w:suppressAutoHyphens w:val="false"/>
        <w:spacing w:lineRule="auto" w:line="240"/>
        <w:ind w:left="0" w:firstLine="567"/>
        <w:rPr>
          <w:sz w:val="24"/>
          <w:szCs w:val="24"/>
        </w:rPr>
      </w:pPr>
      <w:r>
        <w:rPr>
          <w:sz w:val="24"/>
          <w:szCs w:val="24"/>
        </w:rPr>
        <w:t>о необходимости определения засоренности и требованиях к порядку и срокам определения засоренности лома цветных металлов;</w:t>
      </w:r>
    </w:p>
    <w:p>
      <w:pPr>
        <w:pStyle w:val="Normal"/>
        <w:numPr>
          <w:ilvl w:val="0"/>
          <w:numId w:val="28"/>
        </w:numPr>
        <w:suppressAutoHyphens w:val="false"/>
        <w:spacing w:lineRule="auto" w:line="240"/>
        <w:ind w:left="0" w:firstLine="567"/>
        <w:rPr>
          <w:sz w:val="24"/>
          <w:szCs w:val="24"/>
        </w:rPr>
      </w:pPr>
      <w:r>
        <w:rPr>
          <w:sz w:val="24"/>
          <w:szCs w:val="24"/>
        </w:rPr>
        <w:t>Подрядчик должен передать Заказчику в полном объеме лом черных и цветных металлов, образовавшийся в ходе выполнения Работ в порядке и сроки, указанные в обращении Заказчика направленного в соответствии с пунктом 1.2, по акту приема передачи с предварительным взвешиванием лома и определением засоренности лома цветных металлов, в т.ч.:</w:t>
      </w:r>
    </w:p>
    <w:p>
      <w:pPr>
        <w:pStyle w:val="Normal"/>
        <w:numPr>
          <w:ilvl w:val="1"/>
          <w:numId w:val="28"/>
        </w:numPr>
        <w:suppressAutoHyphens w:val="false"/>
        <w:spacing w:lineRule="auto" w:line="240"/>
        <w:ind w:left="0" w:firstLine="567"/>
        <w:rPr>
          <w:sz w:val="24"/>
          <w:szCs w:val="24"/>
        </w:rPr>
      </w:pPr>
      <w:r>
        <w:rPr>
          <w:sz w:val="24"/>
          <w:szCs w:val="24"/>
        </w:rPr>
        <w:t>Подготовить заявку на сдачу лома, по форме, установленной Заказчиком, определить наименование, вид, группу и общее обозначение лома металлов в соответствии с ГОСТ;</w:t>
      </w:r>
    </w:p>
    <w:p>
      <w:pPr>
        <w:pStyle w:val="Normal"/>
        <w:numPr>
          <w:ilvl w:val="1"/>
          <w:numId w:val="28"/>
        </w:numPr>
        <w:suppressAutoHyphens w:val="false"/>
        <w:spacing w:lineRule="auto" w:line="240"/>
        <w:ind w:left="0" w:firstLine="567"/>
        <w:rPr>
          <w:sz w:val="24"/>
          <w:szCs w:val="24"/>
        </w:rPr>
      </w:pPr>
      <w:r>
        <w:rPr>
          <w:sz w:val="24"/>
          <w:szCs w:val="24"/>
        </w:rPr>
        <w:t>Выполнить разделку крупногабаритного демонтированного лома металлов;</w:t>
      </w:r>
    </w:p>
    <w:p>
      <w:pPr>
        <w:pStyle w:val="Normal"/>
        <w:numPr>
          <w:ilvl w:val="1"/>
          <w:numId w:val="28"/>
        </w:numPr>
        <w:suppressAutoHyphens w:val="false"/>
        <w:spacing w:lineRule="auto" w:line="240"/>
        <w:ind w:left="0" w:firstLine="567"/>
        <w:rPr>
          <w:sz w:val="24"/>
          <w:szCs w:val="24"/>
        </w:rPr>
      </w:pPr>
      <w:r>
        <w:rPr>
          <w:sz w:val="24"/>
          <w:szCs w:val="24"/>
        </w:rPr>
        <w:t>Выполнить перемещение лома металлов в место накопления отходов и размещение лома в месте накопления отходов;</w:t>
      </w:r>
    </w:p>
    <w:p>
      <w:pPr>
        <w:pStyle w:val="Normal"/>
        <w:numPr>
          <w:ilvl w:val="1"/>
          <w:numId w:val="28"/>
        </w:numPr>
        <w:suppressAutoHyphens w:val="false"/>
        <w:spacing w:lineRule="auto" w:line="240"/>
        <w:ind w:left="0" w:firstLine="567"/>
        <w:rPr>
          <w:sz w:val="24"/>
          <w:szCs w:val="24"/>
        </w:rPr>
      </w:pPr>
      <w:r>
        <w:rPr>
          <w:sz w:val="24"/>
          <w:szCs w:val="24"/>
        </w:rPr>
        <w:t>Произвести взвешивание демонтированного лома металлов. При взвешивании крупных узлов/деталей не допускается подмешивание мелких деталей/материалов;</w:t>
      </w:r>
    </w:p>
    <w:p>
      <w:pPr>
        <w:pStyle w:val="Normal"/>
        <w:numPr>
          <w:ilvl w:val="1"/>
          <w:numId w:val="28"/>
        </w:numPr>
        <w:suppressAutoHyphens w:val="false"/>
        <w:spacing w:lineRule="auto" w:line="240"/>
        <w:ind w:left="0" w:firstLine="567"/>
        <w:rPr>
          <w:sz w:val="24"/>
          <w:szCs w:val="24"/>
        </w:rPr>
      </w:pPr>
      <w:r>
        <w:rPr>
          <w:sz w:val="24"/>
          <w:szCs w:val="24"/>
        </w:rPr>
        <w:t>Выполнить очистку от засора образцов лома цветных металлов для определения засоренности.</w:t>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spacing w:lineRule="auto" w:line="240"/>
              <w:rPr>
                <w:b/>
                <w:sz w:val="24"/>
                <w:szCs w:val="24"/>
              </w:rPr>
            </w:pPr>
            <w:r>
              <w:rPr>
                <w:b/>
                <w:sz w:val="24"/>
                <w:szCs w:val="24"/>
              </w:rPr>
              <w:t>Заказчик:</w:t>
            </w:r>
          </w:p>
        </w:tc>
        <w:tc>
          <w:tcPr>
            <w:tcW w:w="8789" w:type="dxa"/>
            <w:tcBorders/>
          </w:tcPr>
          <w:p>
            <w:pPr>
              <w:pStyle w:val="Normal"/>
              <w:widowControl w:val="false"/>
              <w:spacing w:lineRule="auto" w:line="240"/>
              <w:rPr>
                <w:b/>
                <w:sz w:val="24"/>
                <w:szCs w:val="24"/>
              </w:rPr>
            </w:pPr>
            <w:r>
              <w:rPr>
                <w:b/>
                <w:sz w:val="24"/>
                <w:szCs w:val="24"/>
              </w:rPr>
              <w:t>Подрядчик:</w:t>
            </w:r>
          </w:p>
        </w:tc>
      </w:tr>
      <w:tr>
        <w:trPr>
          <w:trHeight w:val="253" w:hRule="atLeast"/>
        </w:trPr>
        <w:tc>
          <w:tcPr>
            <w:tcW w:w="4961" w:type="dxa"/>
            <w:tcBorders/>
          </w:tcPr>
          <w:p>
            <w:pPr>
              <w:pStyle w:val="Normal"/>
              <w:widowControl w:val="false"/>
              <w:spacing w:lineRule="auto" w:line="240"/>
              <w:rPr>
                <w:sz w:val="24"/>
                <w:szCs w:val="24"/>
              </w:rPr>
            </w:pPr>
            <w:r>
              <w:rPr>
                <w:sz w:val="24"/>
                <w:szCs w:val="24"/>
              </w:rPr>
            </w:r>
          </w:p>
          <w:p>
            <w:pPr>
              <w:pStyle w:val="Normal"/>
              <w:widowControl w:val="false"/>
              <w:rPr>
                <w:sz w:val="24"/>
                <w:szCs w:val="24"/>
              </w:rPr>
            </w:pPr>
            <w:r>
              <w:rPr>
                <w:sz w:val="24"/>
                <w:szCs w:val="24"/>
              </w:rPr>
            </w:r>
          </w:p>
        </w:tc>
        <w:tc>
          <w:tcPr>
            <w:tcW w:w="8789" w:type="dxa"/>
            <w:tcBorders/>
          </w:tcPr>
          <w:p>
            <w:pPr>
              <w:pStyle w:val="Normal"/>
              <w:widowControl w:val="false"/>
              <w:spacing w:lineRule="auto" w:line="240"/>
              <w:rPr>
                <w:sz w:val="24"/>
                <w:szCs w:val="24"/>
              </w:rPr>
            </w:pPr>
            <w:r>
              <w:rPr>
                <w:sz w:val="24"/>
                <w:szCs w:val="24"/>
              </w:rPr>
              <w:t xml:space="preserve">_______________ / _______________ </w:t>
            </w:r>
          </w:p>
          <w:p>
            <w:pPr>
              <w:pStyle w:val="Normal"/>
              <w:widowControl w:val="false"/>
              <w:spacing w:lineRule="auto" w:line="240"/>
              <w:rPr>
                <w:sz w:val="24"/>
                <w:szCs w:val="24"/>
              </w:rPr>
            </w:pPr>
            <w:r>
              <w:rPr>
                <w:sz w:val="24"/>
                <w:szCs w:val="24"/>
              </w:rPr>
            </w:r>
          </w:p>
        </w:tc>
      </w:tr>
    </w:tbl>
    <w:p>
      <w:pPr>
        <w:pStyle w:val="Normal"/>
        <w:tabs>
          <w:tab w:val="clear" w:pos="708"/>
          <w:tab w:val="left" w:pos="1134" w:leader="none"/>
        </w:tabs>
        <w:spacing w:lineRule="auto" w:line="240"/>
        <w:ind w:hanging="0"/>
        <w:rPr/>
      </w:pPr>
      <w:r>
        <w:rPr/>
      </w:r>
    </w:p>
    <w:sectPr>
      <w:headerReference w:type="default" r:id="rId74"/>
      <w:headerReference w:type="first" r:id="rId75"/>
      <w:footerReference w:type="default" r:id="rId76"/>
      <w:footnotePr>
        <w:numFmt w:val="decimal"/>
      </w:footnotePr>
      <w:type w:val="nextPage"/>
      <w:pgSz w:w="11906" w:h="16838"/>
      <w:pgMar w:left="1418" w:right="851" w:gutter="0" w:header="567" w:top="1021" w:footer="284" w:bottom="226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Calibri Light">
    <w:charset w:val="01"/>
    <w:family w:val="roman"/>
    <w:pitch w:val="variable"/>
  </w:font>
  <w:font w:name="Tahoma">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8"/>
        </w:rPr>
        <w:footnoteRef/>
      </w:r>
      <w:r>
        <w:rPr/>
        <w:t xml:space="preserve"> </w:t>
      </w:r>
      <w:r>
        <w:rPr/>
        <w:t>Договор страхования строительно-монтажных рисков Объекта заключается Заказчиком по механизму «Страхование Заказчиком».</w:t>
      </w:r>
    </w:p>
  </w:footnote>
  <w:footnote w:id="3">
    <w:p>
      <w:pPr>
        <w:pStyle w:val="FootnoteText"/>
        <w:jc w:val="both"/>
        <w:rPr/>
      </w:pPr>
      <w:r>
        <w:rPr>
          <w:rStyle w:val="Style8"/>
        </w:rPr>
        <w:footnoteRef/>
      </w:r>
      <w:r>
        <w:rPr/>
        <w:t xml:space="preserve"> </w:t>
      </w:r>
      <w:r>
        <w:rPr/>
        <w:t>Для договоров, заключенных в рамках реализации инвестиционной программы Заказчика.</w:t>
      </w:r>
    </w:p>
  </w:footnote>
  <w:footnote w:id="4">
    <w:p>
      <w:pPr>
        <w:pStyle w:val="FootnoteText"/>
        <w:jc w:val="both"/>
        <w:rPr/>
      </w:pPr>
      <w:r>
        <w:rPr>
          <w:rStyle w:val="Style8"/>
        </w:rPr>
        <w:footnoteRef/>
      </w:r>
      <w:r>
        <w:rPr/>
        <w:t xml:space="preserve"> </w:t>
      </w:r>
      <w:r>
        <w:rPr/>
        <w:t>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jc w:val="both"/>
        <w:rPr/>
      </w:pPr>
      <w:r>
        <w:rPr>
          <w:rStyle w:val="Style8"/>
        </w:rPr>
        <w:footnoteRef/>
      </w:r>
      <w:r>
        <w:rPr/>
        <w:t xml:space="preserve"> </w:t>
      </w:r>
      <w:r>
        <w:rPr/>
        <w:t>Для договоров, заключенных в рамках реализации инвестиционной программы Заказчика.</w:t>
      </w:r>
    </w:p>
  </w:footnote>
  <w:footnote w:id="6">
    <w:p>
      <w:pPr>
        <w:pStyle w:val="FootnoteText"/>
        <w:jc w:val="both"/>
        <w:rPr/>
      </w:pPr>
      <w:r>
        <w:rPr>
          <w:rStyle w:val="Style8"/>
        </w:rPr>
        <w:footnoteRef/>
      </w:r>
      <w:r>
        <w:rPr/>
        <w:t xml:space="preserve"> </w:t>
      </w:r>
      <w:r>
        <w:rPr/>
        <w:t>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FootnoteText"/>
        <w:jc w:val="both"/>
        <w:rPr/>
      </w:pPr>
      <w:r>
        <w:rPr>
          <w:rStyle w:val="Style8"/>
        </w:rPr>
        <w:footnoteRef/>
      </w:r>
      <w:r>
        <w:rPr>
          <w:highlight w:val="lightGray"/>
        </w:rPr>
        <w:t>В случае, если контрагент является субъектом МСП, при этом Заказчик подпадает под действие постановления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8">
    <w:p>
      <w:pPr>
        <w:pStyle w:val="FootnoteText"/>
        <w:jc w:val="both"/>
        <w:rPr/>
      </w:pPr>
      <w:r>
        <w:rPr>
          <w:rStyle w:val="Style8"/>
        </w:rPr>
        <w:footnoteRef/>
      </w:r>
      <w:r>
        <w:rPr>
          <w:highlight w:val="lightGray"/>
        </w:rPr>
        <w:t>В случае, если контрагент является субъектом МСП, при этом Заказчик подпадает под действие постановления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8"/>
        </w:rPr>
        <w:footnoteRef/>
      </w:r>
      <w:r>
        <w:rPr/>
        <w:t xml:space="preserve"> </w:t>
      </w:r>
      <w:r>
        <w:rPr/>
        <w:t>Для договоров, заключенных в рамках реализации инвестиционной программы Заказчика.</w:t>
      </w:r>
    </w:p>
  </w:footnote>
  <w:footnote w:id="10">
    <w:p>
      <w:pPr>
        <w:pStyle w:val="FootnoteText"/>
        <w:jc w:val="both"/>
        <w:rPr/>
      </w:pPr>
      <w:r>
        <w:rPr>
          <w:rStyle w:val="Style8"/>
        </w:rPr>
        <w:footnoteRef/>
      </w:r>
      <w:r>
        <w:rPr/>
        <w:t xml:space="preserve"> </w:t>
      </w:r>
      <w:r>
        <w:rPr/>
        <w:t>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1">
    <w:p>
      <w:pPr>
        <w:pStyle w:val="FootnoteText"/>
        <w:jc w:val="both"/>
        <w:rPr/>
      </w:pPr>
      <w:r>
        <w:rPr>
          <w:rStyle w:val="Style8"/>
        </w:rPr>
        <w:footnoteRef/>
      </w:r>
      <w:r>
        <w:rPr/>
        <w:t xml:space="preserve"> </w:t>
      </w:r>
      <w:r>
        <w:rPr/>
        <w:t>Для договоров, заключенных в рамках реализации инвестиционной программы Заказчика.</w:t>
      </w:r>
    </w:p>
  </w:footnote>
  <w:footnote w:id="12">
    <w:p>
      <w:pPr>
        <w:pStyle w:val="FootnoteText"/>
        <w:jc w:val="both"/>
        <w:rPr/>
      </w:pPr>
      <w:r>
        <w:rPr>
          <w:rStyle w:val="Style8"/>
        </w:rPr>
        <w:footnoteRef/>
      </w:r>
      <w:r>
        <w:rPr/>
        <w:t xml:space="preserve"> </w:t>
      </w:r>
      <w:r>
        <w:rPr/>
        <w:t>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3">
    <w:p>
      <w:pPr>
        <w:pStyle w:val="FootnoteText"/>
        <w:jc w:val="both"/>
        <w:rPr/>
      </w:pPr>
      <w:r>
        <w:rPr>
          <w:rStyle w:val="Style8"/>
        </w:rPr>
        <w:footnoteRef/>
      </w:r>
      <w:r>
        <w:rPr/>
        <w:t xml:space="preserve"> </w:t>
      </w:r>
      <w:r>
        <w:rPr/>
        <w:t>Для договоров, заключенных в рамках реализации инвестиционной программы Заказчика.</w:t>
      </w:r>
    </w:p>
  </w:footnote>
  <w:footnote w:id="14">
    <w:p>
      <w:pPr>
        <w:pStyle w:val="FootnoteText"/>
        <w:jc w:val="both"/>
        <w:rPr/>
      </w:pPr>
      <w:r>
        <w:rPr>
          <w:rStyle w:val="Style8"/>
        </w:rPr>
        <w:footnoteRef/>
      </w:r>
      <w:r>
        <w:rPr/>
        <w:t xml:space="preserve"> </w:t>
      </w:r>
      <w:r>
        <w:rPr/>
        <w:t>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5">
    <w:p>
      <w:pPr>
        <w:pStyle w:val="FootnoteText"/>
        <w:rPr/>
      </w:pPr>
      <w:r>
        <w:rPr>
          <w:rStyle w:val="Style8"/>
        </w:rPr>
        <w:footnoteRef/>
      </w:r>
      <w:r>
        <w:rPr/>
        <w:t xml:space="preserve"> </w:t>
      </w:r>
      <w:r>
        <w:rPr/>
        <w:t>В случае непредоставления Подрядчиком новой Банковской гарантии возврата авансового платежа.</w:t>
      </w:r>
    </w:p>
  </w:footnote>
  <w:footnote w:id="16">
    <w:p>
      <w:pPr>
        <w:pStyle w:val="FootnoteText"/>
        <w:rPr/>
      </w:pPr>
      <w:r>
        <w:rPr>
          <w:rStyle w:val="Style8"/>
        </w:rPr>
        <w:footnoteRef/>
      </w:r>
      <w:r>
        <w:rPr/>
        <w:t xml:space="preserve"> </w:t>
      </w:r>
      <w:r>
        <w:rPr/>
        <w:t>В случае непредоставления Подрядчиком Банковской гарантии надлежащего исполнения Договора.</w:t>
      </w:r>
    </w:p>
  </w:footnote>
  <w:footnote w:id="17">
    <w:p>
      <w:pPr>
        <w:pStyle w:val="FootnoteText"/>
        <w:jc w:val="both"/>
        <w:rPr/>
      </w:pPr>
      <w:r>
        <w:rPr>
          <w:rStyle w:val="Style8"/>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дополнительного соглашения является типовой (ТФД № 12.3)</w:t>
      </w:r>
    </w:p>
  </w:footnote>
  <w:footnote w:id="18">
    <w:p>
      <w:pPr>
        <w:pStyle w:val="FootnoteText"/>
        <w:jc w:val="both"/>
        <w:rPr/>
      </w:pPr>
      <w:r>
        <w:rPr>
          <w:rStyle w:val="Style8"/>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9">
    <w:p>
      <w:pPr>
        <w:pStyle w:val="Normal"/>
        <w:spacing w:lineRule="auto" w:line="240"/>
        <w:ind w:hanging="0"/>
        <w:rPr>
          <w:sz w:val="16"/>
          <w:szCs w:val="16"/>
        </w:rPr>
      </w:pPr>
      <w:r>
        <w:rPr>
          <w:rStyle w:val="Style8"/>
        </w:rPr>
        <w:t></w:t>
      </w:r>
      <w:r>
        <w:rPr>
          <w:rStyle w:val="Style8"/>
        </w:rPr>
        <w:t></w:t>
      </w:r>
      <w:r>
        <w:rPr>
          <w:rStyle w:val="Style8"/>
        </w:rPr>
        <w:t>*</w:t>
      </w:r>
      <w:r>
        <w:rPr>
          <w:sz w:val="16"/>
          <w:szCs w:val="16"/>
        </w:rPr>
        <w:t xml:space="preserve">В соответствии со статьей 4 Федерального закона от 24.07.2007 № 209-ФЗ «О развитии малого и среднего предпринимательства в Российской Федерации» Подрядчик определяет и указывает критерий отнесения организации из числа: микропредприятия, малые предприятия и средние предприятия.   </w:t>
      </w:r>
    </w:p>
    <w:p>
      <w:pPr>
        <w:pStyle w:val="FootnoteText"/>
        <w:rPr>
          <w:sz w:val="16"/>
          <w:szCs w:val="16"/>
        </w:rPr>
      </w:pPr>
      <w:r>
        <w:rPr/>
      </w:r>
    </w:p>
  </w:footnote>
  <w:footnote w:id="20">
    <w:p>
      <w:pPr>
        <w:pStyle w:val="FootnoteText"/>
        <w:jc w:val="both"/>
        <w:rPr/>
      </w:pPr>
      <w:r>
        <w:rPr>
          <w:rStyle w:val="Style8"/>
        </w:rPr>
        <w:footnoteRef/>
      </w:r>
      <w:r>
        <w:rPr/>
        <w:t xml:space="preserve"> </w:t>
      </w:r>
      <w:r>
        <w:rPr/>
        <w:t>Актуальный Перечень Банков-Гарантов Группы РусГидро размещен на официальном сайте ПАО «РусГидро» http://zakupki.rushydro.ru/PublicContent/Section/6</w:t>
      </w:r>
    </w:p>
  </w:footnote>
  <w:footnote w:id="21">
    <w:p>
      <w:pPr>
        <w:pStyle w:val="FootnoteText"/>
        <w:jc w:val="both"/>
        <w:rPr/>
      </w:pPr>
      <w:r>
        <w:rPr>
          <w:rStyle w:val="Style8"/>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22">
    <w:p>
      <w:pPr>
        <w:pStyle w:val="FootnoteText"/>
        <w:jc w:val="both"/>
        <w:rPr/>
      </w:pPr>
      <w:r>
        <w:rPr>
          <w:rStyle w:val="Style8"/>
        </w:rPr>
        <w:footnoteRef/>
      </w:r>
      <w:r>
        <w:rPr/>
        <w:t xml:space="preserve"> </w:t>
      </w:r>
      <w:r>
        <w:rPr/>
        <w:t>Данное требование не применяется в отношении небанковских кредитных организаций.</w:t>
      </w:r>
    </w:p>
  </w:footnote>
  <w:footnote w:id="23">
    <w:p>
      <w:pPr>
        <w:pStyle w:val="FootnoteText"/>
        <w:jc w:val="both"/>
        <w:rPr/>
      </w:pPr>
      <w:r>
        <w:rPr>
          <w:rStyle w:val="Style8"/>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24">
    <w:p>
      <w:pPr>
        <w:pStyle w:val="FootnoteText"/>
        <w:jc w:val="both"/>
        <w:rPr/>
      </w:pPr>
      <w:r>
        <w:rPr>
          <w:rStyle w:val="Style8"/>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39</w:t>
    </w:r>
    <w:r>
      <w:rPr>
        <w:sz w:val="16"/>
        <w:szCs w:val="16"/>
      </w:rPr>
      <w:fldChar w:fldCharType="end"/>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98</w:t>
    </w:r>
    <w:r>
      <w:rPr>
        <w:sz w:val="16"/>
        <w:szCs w:val="16"/>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100</w:t>
    </w:r>
    <w:r>
      <w:rPr>
        <w:sz w:val="16"/>
        <w:szCs w:val="16"/>
      </w:rPr>
      <w:fldChar w:fldCharType="end"/>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104</w:t>
    </w:r>
    <w:r>
      <w:rPr>
        <w:sz w:val="16"/>
        <w:szCs w:val="16"/>
      </w:rPr>
      <w:fldChar w:fldCharType="end"/>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807835601"/>
    </w:sdtPr>
    <w:sdtContent>
      <w:p>
        <w:pPr>
          <w:pStyle w:val="Header"/>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114</w:t>
        </w:r>
        <w:r>
          <w:rPr>
            <w:sz w:val="16"/>
            <w:szCs w:val="16"/>
          </w:rPr>
          <w:fldChar w:fldCharType="end"/>
        </w:r>
      </w:p>
      <w:p>
        <w:pPr>
          <w:pStyle w:val="Header"/>
          <w:ind w:hanging="0"/>
          <w:rPr/>
        </w:pPr>
        <w:r>
          <w:rPr/>
        </w:r>
      </w:p>
    </w:sdtContent>
  </w:sdt>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40</w:t>
    </w:r>
    <w:r>
      <w:rPr>
        <w:sz w:val="16"/>
        <w:szCs w:val="16"/>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96</w:t>
    </w:r>
    <w:r>
      <w:rPr>
        <w:sz w:val="16"/>
        <w:szCs w:val="16"/>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96</w:t>
    </w:r>
    <w:r>
      <w:rPr>
        <w:sz w:val="16"/>
        <w:szCs w:val="16"/>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97</w:t>
    </w:r>
    <w:r>
      <w:rPr>
        <w:sz w:val="16"/>
        <w:szCs w:val="16"/>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2">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4616"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7"/>
      <w:numFmt w:val="decimal"/>
      <w:lvlText w:val="%1."/>
      <w:lvlJc w:val="left"/>
      <w:pPr>
        <w:tabs>
          <w:tab w:val="num" w:pos="0"/>
        </w:tabs>
        <w:ind w:left="885" w:hanging="885"/>
      </w:pPr>
      <w:rPr>
        <w:b/>
      </w:rPr>
    </w:lvl>
    <w:lvl w:ilvl="1">
      <w:start w:val="1"/>
      <w:numFmt w:val="decimal"/>
      <w:lvlText w:val="%1.%2."/>
      <w:lvlJc w:val="left"/>
      <w:pPr>
        <w:tabs>
          <w:tab w:val="num" w:pos="0"/>
        </w:tabs>
        <w:ind w:left="885" w:hanging="885"/>
      </w:pPr>
      <w:rPr/>
    </w:lvl>
    <w:lvl w:ilvl="2">
      <w:start w:val="1"/>
      <w:numFmt w:val="decimal"/>
      <w:lvlText w:val="%1.%2.%3."/>
      <w:lvlJc w:val="left"/>
      <w:pPr>
        <w:tabs>
          <w:tab w:val="num" w:pos="0"/>
        </w:tabs>
        <w:ind w:left="1263" w:hanging="885"/>
      </w:pPr>
      <w:rPr/>
    </w:lvl>
    <w:lvl w:ilvl="3">
      <w:start w:val="8"/>
      <w:numFmt w:val="decimal"/>
      <w:lvlText w:val="%1.%2.%3.%4."/>
      <w:lvlJc w:val="left"/>
      <w:pPr>
        <w:tabs>
          <w:tab w:val="num" w:pos="0"/>
        </w:tabs>
        <w:ind w:left="1647" w:hanging="1080"/>
      </w:pPr>
      <w:rPr/>
    </w:lvl>
    <w:lvl w:ilvl="4">
      <w:start w:val="1"/>
      <w:numFmt w:val="decimal"/>
      <w:lvlText w:val="%1.%2.%3.%4.%5."/>
      <w:lvlJc w:val="left"/>
      <w:pPr>
        <w:tabs>
          <w:tab w:val="num" w:pos="0"/>
        </w:tabs>
        <w:ind w:left="1836" w:hanging="1080"/>
      </w:pPr>
      <w:rPr/>
    </w:lvl>
    <w:lvl w:ilvl="5">
      <w:start w:val="1"/>
      <w:numFmt w:val="decimal"/>
      <w:lvlText w:val="%1.%2.%3.%4.%5.%6."/>
      <w:lvlJc w:val="left"/>
      <w:pPr>
        <w:tabs>
          <w:tab w:val="num" w:pos="0"/>
        </w:tabs>
        <w:ind w:left="2385" w:hanging="1440"/>
      </w:pPr>
      <w:rPr/>
    </w:lvl>
    <w:lvl w:ilvl="6">
      <w:start w:val="1"/>
      <w:numFmt w:val="decimal"/>
      <w:lvlText w:val="%1.%2.%3.%4.%5.%6.%7."/>
      <w:lvlJc w:val="left"/>
      <w:pPr>
        <w:tabs>
          <w:tab w:val="num" w:pos="0"/>
        </w:tabs>
        <w:ind w:left="2934" w:hanging="1800"/>
      </w:pPr>
      <w:rPr/>
    </w:lvl>
    <w:lvl w:ilvl="7">
      <w:start w:val="1"/>
      <w:numFmt w:val="decimal"/>
      <w:lvlText w:val="%1.%2.%3.%4.%5.%6.%7.%8."/>
      <w:lvlJc w:val="left"/>
      <w:pPr>
        <w:tabs>
          <w:tab w:val="num" w:pos="0"/>
        </w:tabs>
        <w:ind w:left="3123" w:hanging="1800"/>
      </w:pPr>
      <w:rPr/>
    </w:lvl>
    <w:lvl w:ilvl="8">
      <w:start w:val="1"/>
      <w:numFmt w:val="decimal"/>
      <w:lvlText w:val="%1.%2.%3.%4.%5.%6.%7.%8.%9."/>
      <w:lvlJc w:val="left"/>
      <w:pPr>
        <w:tabs>
          <w:tab w:val="num" w:pos="0"/>
        </w:tabs>
        <w:ind w:left="3672" w:hanging="2160"/>
      </w:pPr>
      <w:rPr/>
    </w:lvl>
  </w:abstractNum>
  <w:abstractNum w:abstractNumId="24">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5">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26">
    <w:lvl w:ilvl="0">
      <w:start w:val="12"/>
      <w:numFmt w:val="decimal"/>
      <w:lvlText w:val="%1."/>
      <w:lvlJc w:val="left"/>
      <w:pPr>
        <w:tabs>
          <w:tab w:val="num" w:pos="720"/>
        </w:tabs>
        <w:ind w:left="720" w:hanging="360"/>
      </w:pPr>
      <w:rPr/>
    </w:lvl>
    <w:lvl w:ilvl="1">
      <w:start w:val="1"/>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7">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4"/>
      <w:numFmt w:val="decimal"/>
      <w:lvlText w:val="%1."/>
      <w:lvlJc w:val="left"/>
      <w:pPr>
        <w:tabs>
          <w:tab w:val="num" w:pos="0"/>
        </w:tabs>
        <w:ind w:left="4278" w:hanging="450"/>
      </w:pPr>
      <w:rPr>
        <w:b/>
      </w:rPr>
    </w:lvl>
    <w:lvl w:ilvl="1">
      <w:start w:val="1"/>
      <w:numFmt w:val="decimal"/>
      <w:lvlText w:val="%1.%2."/>
      <w:lvlJc w:val="left"/>
      <w:pPr>
        <w:tabs>
          <w:tab w:val="num" w:pos="284"/>
        </w:tabs>
        <w:ind w:left="1571"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1">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98"/>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44808"/>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
    <w:qFormat/>
    <w:rsid w:val="00c44808"/>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rsid w:val="00c44808"/>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c44808"/>
    <w:pPr>
      <w:keepNext w:val="true"/>
      <w:spacing w:lineRule="auto" w:line="240" w:before="120" w:after="120"/>
      <w:ind w:hanging="0"/>
      <w:jc w:val="left"/>
      <w:outlineLvl w:val="2"/>
    </w:pPr>
    <w:rPr>
      <w:b/>
      <w:szCs w:val="20"/>
      <w:lang w:val="x-none" w:eastAsia="x-none"/>
    </w:rPr>
  </w:style>
  <w:style w:type="paragraph" w:styleId="Heading4">
    <w:name w:val="Heading 4"/>
    <w:basedOn w:val="Normal"/>
    <w:next w:val="Normal"/>
    <w:link w:val="41"/>
    <w:uiPriority w:val="9"/>
    <w:semiHidden/>
    <w:unhideWhenUsed/>
    <w:qFormat/>
    <w:rsid w:val="00c44808"/>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c44808"/>
    <w:rPr>
      <w:rFonts w:ascii="Cambria" w:hAnsi="Cambria" w:eastAsia="Times New Roman" w:cs="Times New Roman"/>
      <w:b/>
      <w:bCs/>
      <w:kern w:val="2"/>
      <w:sz w:val="32"/>
      <w:szCs w:val="32"/>
      <w:lang w:val="x-none" w:eastAsia="x-none"/>
    </w:rPr>
  </w:style>
  <w:style w:type="character" w:styleId="2" w:customStyle="1">
    <w:name w:val="Заголовок 2 Знак"/>
    <w:basedOn w:val="DefaultParagraphFont"/>
    <w:qFormat/>
    <w:rsid w:val="00c44808"/>
    <w:rPr>
      <w:rFonts w:ascii="Cambria" w:hAnsi="Cambria" w:eastAsia="Times New Roman" w:cs="Times New Roman"/>
      <w:b/>
      <w:bCs/>
      <w:i/>
      <w:iCs/>
      <w:sz w:val="28"/>
      <w:szCs w:val="28"/>
      <w:lang w:val="x-none" w:eastAsia="x-none"/>
    </w:rPr>
  </w:style>
  <w:style w:type="character" w:styleId="3" w:customStyle="1">
    <w:name w:val="Заголовок 3 Знак"/>
    <w:basedOn w:val="DefaultParagraphFont"/>
    <w:uiPriority w:val="9"/>
    <w:qFormat/>
    <w:rsid w:val="00c44808"/>
    <w:rPr>
      <w:rFonts w:ascii="Times New Roman" w:hAnsi="Times New Roman" w:eastAsia="Times New Roman" w:cs="Times New Roman"/>
      <w:b/>
      <w:sz w:val="28"/>
      <w:szCs w:val="20"/>
      <w:lang w:val="x-none" w:eastAsia="x-none"/>
    </w:rPr>
  </w:style>
  <w:style w:type="character" w:styleId="31" w:customStyle="1">
    <w:name w:val="Основной текст 3 Знак"/>
    <w:basedOn w:val="DefaultParagraphFont"/>
    <w:link w:val="BodyText3"/>
    <w:qFormat/>
    <w:rsid w:val="00c44808"/>
    <w:rPr>
      <w:rFonts w:ascii="Times New Roman" w:hAnsi="Times New Roman" w:eastAsia="Times New Roman" w:cs="Times New Roman"/>
      <w:color w:val="0000FF"/>
      <w:sz w:val="24"/>
      <w:szCs w:val="24"/>
      <w:lang w:val="x-none"/>
    </w:rPr>
  </w:style>
  <w:style w:type="character" w:styleId="Style5" w:customStyle="1">
    <w:name w:val="Верхний колонтитул Знак"/>
    <w:basedOn w:val="DefaultParagraphFont"/>
    <w:uiPriority w:val="99"/>
    <w:qFormat/>
    <w:rsid w:val="00c44808"/>
    <w:rPr>
      <w:rFonts w:ascii="Times New Roman" w:hAnsi="Times New Roman" w:eastAsia="Times New Roman" w:cs="Times New Roman"/>
      <w:sz w:val="28"/>
      <w:szCs w:val="28"/>
      <w:lang w:eastAsia="ru-RU"/>
    </w:rPr>
  </w:style>
  <w:style w:type="character" w:styleId="Style6" w:customStyle="1">
    <w:name w:val="Основной текст Знак"/>
    <w:basedOn w:val="DefaultParagraphFont"/>
    <w:qFormat/>
    <w:rsid w:val="00c44808"/>
    <w:rPr>
      <w:rFonts w:ascii="Times New Roman" w:hAnsi="Times New Roman" w:eastAsia="Times New Roman" w:cs="Times New Roman"/>
      <w:sz w:val="28"/>
      <w:szCs w:val="28"/>
      <w:lang w:eastAsia="ru-RU"/>
    </w:rPr>
  </w:style>
  <w:style w:type="character" w:styleId="21" w:customStyle="1">
    <w:name w:val="Основной текст 2 Знак"/>
    <w:basedOn w:val="DefaultParagraphFont"/>
    <w:link w:val="BodyText2"/>
    <w:qFormat/>
    <w:rsid w:val="00c44808"/>
    <w:rPr>
      <w:rFonts w:ascii="Times New Roman" w:hAnsi="Times New Roman" w:eastAsia="Times New Roman" w:cs="Times New Roman"/>
      <w:sz w:val="20"/>
      <w:szCs w:val="20"/>
      <w:lang w:eastAsia="ru-RU"/>
    </w:rPr>
  </w:style>
  <w:style w:type="character" w:styleId="Style7" w:customStyle="1">
    <w:name w:val="Текст сноски Знак"/>
    <w:basedOn w:val="DefaultParagraphFont"/>
    <w:qFormat/>
    <w:rsid w:val="00c44808"/>
    <w:rPr>
      <w:rFonts w:ascii="Times New Roman" w:hAnsi="Times New Roman" w:eastAsia="Times New Roman" w:cs="Times New Roman"/>
      <w:sz w:val="20"/>
      <w:szCs w:val="20"/>
      <w:lang w:eastAsia="ru-RU"/>
    </w:rPr>
  </w:style>
  <w:style w:type="character" w:styleId="Style8" w:customStyle="1">
    <w:name w:val="Символ сноски"/>
    <w:qFormat/>
    <w:rsid w:val="00c44808"/>
    <w:rPr>
      <w:vertAlign w:val="superscript"/>
    </w:rPr>
  </w:style>
  <w:style w:type="character" w:styleId="FootnoteReference">
    <w:name w:val="Footnote Reference"/>
    <w:rPr>
      <w:vertAlign w:val="superscript"/>
    </w:rPr>
  </w:style>
  <w:style w:type="character" w:styleId="32" w:customStyle="1">
    <w:name w:val="Основной текст с отступом 3 Знак"/>
    <w:basedOn w:val="DefaultParagraphFont"/>
    <w:link w:val="BodyTextIndent3"/>
    <w:qFormat/>
    <w:rsid w:val="00c44808"/>
    <w:rPr>
      <w:rFonts w:ascii="Times New Roman" w:hAnsi="Times New Roman" w:eastAsia="Times New Roman" w:cs="Times New Roman"/>
      <w:sz w:val="16"/>
      <w:szCs w:val="16"/>
      <w:lang w:eastAsia="ru-RU"/>
    </w:rPr>
  </w:style>
  <w:style w:type="character" w:styleId="33" w:customStyle="1">
    <w:name w:val="3. Подпункт Знак"/>
    <w:link w:val="34"/>
    <w:qFormat/>
    <w:rsid w:val="00c44808"/>
    <w:rPr>
      <w:rFonts w:ascii="Times New Roman" w:hAnsi="Times New Roman" w:eastAsia="Times New Roman" w:cs="Times New Roman"/>
      <w:b/>
      <w:bCs/>
      <w:sz w:val="24"/>
      <w:szCs w:val="24"/>
      <w:lang w:val="x-none" w:eastAsia="x-none"/>
    </w:rPr>
  </w:style>
  <w:style w:type="character" w:styleId="Style9" w:customStyle="1">
    <w:name w:val="Текст выноски Знак"/>
    <w:basedOn w:val="DefaultParagraphFont"/>
    <w:link w:val="BalloonText"/>
    <w:qFormat/>
    <w:rsid w:val="00c44808"/>
    <w:rPr>
      <w:rFonts w:ascii="Tahoma" w:hAnsi="Tahoma" w:eastAsia="Times New Roman" w:cs="Times New Roman"/>
      <w:sz w:val="16"/>
      <w:szCs w:val="16"/>
      <w:lang w:val="x-none" w:eastAsia="x-none"/>
    </w:rPr>
  </w:style>
  <w:style w:type="character" w:styleId="11" w:customStyle="1">
    <w:name w:val="1. Статья Знак"/>
    <w:link w:val="12"/>
    <w:qFormat/>
    <w:rsid w:val="00c44808"/>
    <w:rPr>
      <w:rFonts w:ascii="Times New Roman" w:hAnsi="Times New Roman" w:eastAsia="Times New Roman" w:cs="Times New Roman"/>
      <w:sz w:val="24"/>
      <w:szCs w:val="24"/>
      <w:lang w:val="x-none" w:eastAsia="x-none"/>
    </w:rPr>
  </w:style>
  <w:style w:type="character" w:styleId="4" w:customStyle="1">
    <w:name w:val="4. Отчерк Знак"/>
    <w:link w:val="42"/>
    <w:qFormat/>
    <w:rsid w:val="00c44808"/>
    <w:rPr>
      <w:rFonts w:ascii="Times New Roman" w:hAnsi="Times New Roman" w:eastAsia="Times New Roman" w:cs="Times New Roman"/>
      <w:sz w:val="24"/>
      <w:szCs w:val="24"/>
      <w:lang w:val="x-none" w:eastAsia="x-none"/>
    </w:rPr>
  </w:style>
  <w:style w:type="character" w:styleId="Annotationreference">
    <w:name w:val="annotation reference"/>
    <w:qFormat/>
    <w:rsid w:val="00c44808"/>
    <w:rPr>
      <w:sz w:val="16"/>
      <w:szCs w:val="16"/>
    </w:rPr>
  </w:style>
  <w:style w:type="character" w:styleId="Style10" w:customStyle="1">
    <w:name w:val="Текст примечания Знак"/>
    <w:basedOn w:val="DefaultParagraphFont"/>
    <w:link w:val="Annotationtext"/>
    <w:qFormat/>
    <w:rsid w:val="00c44808"/>
    <w:rPr>
      <w:rFonts w:ascii="Times New Roman" w:hAnsi="Times New Roman" w:eastAsia="Times New Roman" w:cs="Times New Roman"/>
      <w:sz w:val="20"/>
      <w:szCs w:val="20"/>
      <w:lang w:val="x-none" w:eastAsia="x-none"/>
    </w:rPr>
  </w:style>
  <w:style w:type="character" w:styleId="Style11" w:customStyle="1">
    <w:name w:val="Тема примечания Знак"/>
    <w:basedOn w:val="Style10"/>
    <w:link w:val="Annotationsubject"/>
    <w:qFormat/>
    <w:rsid w:val="00c44808"/>
    <w:rPr>
      <w:rFonts w:ascii="Times New Roman" w:hAnsi="Times New Roman" w:eastAsia="Times New Roman" w:cs="Times New Roman"/>
      <w:b/>
      <w:bCs/>
      <w:sz w:val="20"/>
      <w:szCs w:val="20"/>
      <w:lang w:val="x-none" w:eastAsia="x-none"/>
    </w:rPr>
  </w:style>
  <w:style w:type="character" w:styleId="Style12" w:customStyle="1">
    <w:name w:val="Нижний колонтитул Знак"/>
    <w:basedOn w:val="DefaultParagraphFont"/>
    <w:uiPriority w:val="99"/>
    <w:qFormat/>
    <w:rsid w:val="00c44808"/>
    <w:rPr>
      <w:rFonts w:ascii="Times New Roman" w:hAnsi="Times New Roman" w:eastAsia="Times New Roman" w:cs="Times New Roman"/>
      <w:sz w:val="28"/>
      <w:szCs w:val="28"/>
      <w:lang w:val="x-none" w:eastAsia="x-none"/>
    </w:rPr>
  </w:style>
  <w:style w:type="character" w:styleId="Style13" w:customStyle="1">
    <w:name w:val="Заголовок Знак"/>
    <w:basedOn w:val="DefaultParagraphFont"/>
    <w:link w:val="13"/>
    <w:qFormat/>
    <w:rsid w:val="00c44808"/>
    <w:rPr>
      <w:rFonts w:ascii="Times New Roman" w:hAnsi="Times New Roman" w:eastAsia="Times New Roman" w:cs="Times New Roman"/>
      <w:b/>
      <w:shd w:fill="FFFFFF" w:val="clear"/>
      <w:lang w:val="x-none" w:eastAsia="x-none"/>
    </w:rPr>
  </w:style>
  <w:style w:type="character" w:styleId="Style14" w:customStyle="1">
    <w:name w:val="Основной текст с отступом Знак"/>
    <w:basedOn w:val="DefaultParagraphFont"/>
    <w:qFormat/>
    <w:rsid w:val="00c44808"/>
    <w:rPr>
      <w:rFonts w:ascii="Times New Roman" w:hAnsi="Times New Roman" w:eastAsia="Times New Roman" w:cs="Times New Roman"/>
      <w:sz w:val="28"/>
      <w:szCs w:val="28"/>
      <w:lang w:val="x-none" w:eastAsia="x-none"/>
    </w:rPr>
  </w:style>
  <w:style w:type="character" w:styleId="FontStyle16" w:customStyle="1">
    <w:name w:val="Font Style16"/>
    <w:qFormat/>
    <w:rsid w:val="00c44808"/>
    <w:rPr>
      <w:rFonts w:ascii="Times New Roman" w:hAnsi="Times New Roman" w:cs="Times New Roman"/>
      <w:sz w:val="24"/>
      <w:szCs w:val="24"/>
    </w:rPr>
  </w:style>
  <w:style w:type="character" w:styleId="Hyperlink">
    <w:name w:val="Hyperlink"/>
    <w:uiPriority w:val="99"/>
    <w:unhideWhenUsed/>
    <w:rsid w:val="00c44808"/>
    <w:rPr>
      <w:color w:val="0000FF"/>
      <w:u w:val="single"/>
    </w:rPr>
  </w:style>
  <w:style w:type="character" w:styleId="Style15" w:customStyle="1">
    <w:name w:val="Текст концевой сноски Знак"/>
    <w:basedOn w:val="DefaultParagraphFont"/>
    <w:uiPriority w:val="99"/>
    <w:semiHidden/>
    <w:qFormat/>
    <w:rsid w:val="00c44808"/>
    <w:rPr>
      <w:rFonts w:ascii="Times New Roman" w:hAnsi="Times New Roman" w:eastAsia="Times New Roman" w:cs="Times New Roman"/>
      <w:sz w:val="20"/>
      <w:szCs w:val="20"/>
      <w:lang w:val="x-none" w:eastAsia="x-none"/>
    </w:rPr>
  </w:style>
  <w:style w:type="character" w:styleId="Style16" w:customStyle="1">
    <w:name w:val="Символ концевой сноски"/>
    <w:uiPriority w:val="99"/>
    <w:semiHidden/>
    <w:unhideWhenUsed/>
    <w:qFormat/>
    <w:rsid w:val="00c44808"/>
    <w:rPr>
      <w:vertAlign w:val="superscript"/>
    </w:rPr>
  </w:style>
  <w:style w:type="character" w:styleId="EndnoteReference">
    <w:name w:val="Endnote Reference"/>
    <w:rPr>
      <w:vertAlign w:val="superscript"/>
    </w:rPr>
  </w:style>
  <w:style w:type="character" w:styleId="Style17" w:customStyle="1">
    <w:name w:val="Абзац списка Знак"/>
    <w:link w:val="ListParagraph"/>
    <w:uiPriority w:val="34"/>
    <w:qFormat/>
    <w:locked/>
    <w:rsid w:val="00c44808"/>
    <w:rPr>
      <w:rFonts w:ascii="Times New Roman" w:hAnsi="Times New Roman" w:eastAsia="Times New Roman" w:cs="Times New Roman"/>
      <w:sz w:val="24"/>
      <w:szCs w:val="24"/>
      <w:lang w:eastAsia="ru-RU"/>
    </w:rPr>
  </w:style>
  <w:style w:type="character" w:styleId="41" w:customStyle="1">
    <w:name w:val="Заголовок 4 Знак"/>
    <w:basedOn w:val="DefaultParagraphFont"/>
    <w:uiPriority w:val="9"/>
    <w:semiHidden/>
    <w:qFormat/>
    <w:rsid w:val="00c44808"/>
    <w:rPr>
      <w:rFonts w:ascii="Calibri Light" w:hAnsi="Calibri Light" w:eastAsia="" w:cs="" w:asciiTheme="majorHAnsi" w:cstheme="majorBidi" w:eastAsiaTheme="majorEastAsia" w:hAnsiTheme="majorHAnsi"/>
      <w:i/>
      <w:iCs/>
      <w:color w:val="2E74B5" w:themeColor="accent1" w:themeShade="bf"/>
      <w:sz w:val="28"/>
      <w:szCs w:val="28"/>
      <w:lang w:eastAsia="ru-RU"/>
    </w:rPr>
  </w:style>
  <w:style w:type="character" w:styleId="Accent" w:customStyle="1">
    <w:name w:val="accent"/>
    <w:basedOn w:val="DefaultParagraphFont"/>
    <w:qFormat/>
    <w:rsid w:val="00d31211"/>
    <w:rPr/>
  </w:style>
  <w:style w:type="character" w:styleId="Linenumber1" w:customStyle="1">
    <w:name w:val="line number1"/>
    <w:qFormat/>
    <w:rPr/>
  </w:style>
  <w:style w:type="character" w:styleId="Linenumber">
    <w:name w:val="line number"/>
    <w:qFormat/>
    <w:rPr/>
  </w:style>
  <w:style w:type="paragraph" w:styleId="Style18">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6"/>
    <w:rsid w:val="00c44808"/>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Caption111" w:customStyle="1">
    <w:name w:val="caption111"/>
    <w:basedOn w:val="Normal"/>
    <w:qFormat/>
    <w:pPr>
      <w:suppressLineNumbers/>
      <w:spacing w:before="120" w:after="120"/>
    </w:pPr>
    <w:rPr>
      <w:rFonts w:cs="Arial Unicode MS"/>
      <w:i/>
      <w:iCs/>
      <w:sz w:val="24"/>
      <w:szCs w:val="24"/>
    </w:rPr>
  </w:style>
  <w:style w:type="paragraph" w:styleId="Caption1111" w:customStyle="1">
    <w:name w:val="caption1111"/>
    <w:basedOn w:val="Normal"/>
    <w:qFormat/>
    <w:pPr>
      <w:suppressLineNumbers/>
      <w:spacing w:before="120" w:after="120"/>
    </w:pPr>
    <w:rPr>
      <w:rFonts w:cs="Arial Unicode MS"/>
      <w:i/>
      <w:iCs/>
      <w:sz w:val="24"/>
      <w:szCs w:val="24"/>
    </w:rPr>
  </w:style>
  <w:style w:type="paragraph" w:styleId="BodyText3">
    <w:name w:val="Body Text 3"/>
    <w:basedOn w:val="Normal"/>
    <w:link w:val="31"/>
    <w:qFormat/>
    <w:rsid w:val="00c44808"/>
    <w:pPr>
      <w:spacing w:lineRule="auto" w:line="240"/>
      <w:ind w:hanging="0"/>
    </w:pPr>
    <w:rPr>
      <w:color w:val="0000FF"/>
      <w:sz w:val="24"/>
      <w:szCs w:val="24"/>
      <w:lang w:val="x-none" w:eastAsia="en-US"/>
    </w:rPr>
  </w:style>
  <w:style w:type="paragraph" w:styleId="Style20" w:customStyle="1">
    <w:name w:val="Колонтитул"/>
    <w:basedOn w:val="Normal"/>
    <w:qFormat/>
    <w:pPr/>
    <w:rPr/>
  </w:style>
  <w:style w:type="paragraph" w:styleId="Header">
    <w:name w:val="Header"/>
    <w:basedOn w:val="Normal"/>
    <w:link w:val="Style5"/>
    <w:uiPriority w:val="99"/>
    <w:rsid w:val="00c44808"/>
    <w:pPr>
      <w:tabs>
        <w:tab w:val="clear" w:pos="708"/>
        <w:tab w:val="center" w:pos="4677" w:leader="none"/>
        <w:tab w:val="right" w:pos="9355" w:leader="none"/>
      </w:tabs>
    </w:pPr>
    <w:rPr/>
  </w:style>
  <w:style w:type="paragraph" w:styleId="Style110" w:customStyle="1">
    <w:name w:val="Style1"/>
    <w:basedOn w:val="Normal"/>
    <w:autoRedefine/>
    <w:qFormat/>
    <w:rsid w:val="00c44808"/>
    <w:pPr>
      <w:spacing w:lineRule="auto" w:line="240" w:before="240" w:after="0"/>
      <w:ind w:hanging="0"/>
      <w:jc w:val="left"/>
    </w:pPr>
    <w:rPr>
      <w:b/>
      <w:sz w:val="22"/>
      <w:szCs w:val="20"/>
    </w:rPr>
  </w:style>
  <w:style w:type="paragraph" w:styleId="BodyText2">
    <w:name w:val="Body Text 2"/>
    <w:basedOn w:val="Normal"/>
    <w:link w:val="21"/>
    <w:qFormat/>
    <w:rsid w:val="00c44808"/>
    <w:pPr>
      <w:widowControl w:val="false"/>
      <w:spacing w:lineRule="auto" w:line="480" w:before="0" w:after="120"/>
      <w:ind w:hanging="0"/>
      <w:jc w:val="left"/>
    </w:pPr>
    <w:rPr>
      <w:sz w:val="20"/>
      <w:szCs w:val="20"/>
    </w:rPr>
  </w:style>
  <w:style w:type="paragraph" w:styleId="Style21" w:customStyle="1">
    <w:name w:val="Знак"/>
    <w:basedOn w:val="Normal"/>
    <w:qFormat/>
    <w:rsid w:val="00c44808"/>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7"/>
    <w:uiPriority w:val="99"/>
    <w:rsid w:val="00c44808"/>
    <w:pPr>
      <w:spacing w:lineRule="auto" w:line="240"/>
      <w:ind w:hanging="0"/>
      <w:jc w:val="left"/>
    </w:pPr>
    <w:rPr>
      <w:sz w:val="20"/>
      <w:szCs w:val="20"/>
    </w:rPr>
  </w:style>
  <w:style w:type="paragraph" w:styleId="Style22" w:customStyle="1">
    <w:name w:val="Знак Знак Знак Знак Знак Знак Знак"/>
    <w:basedOn w:val="Normal"/>
    <w:qFormat/>
    <w:rsid w:val="00c44808"/>
    <w:pPr>
      <w:spacing w:lineRule="exact" w:line="240" w:before="0" w:after="160"/>
      <w:ind w:hanging="0"/>
      <w:jc w:val="left"/>
    </w:pPr>
    <w:rPr>
      <w:rFonts w:ascii="Verdana" w:hAnsi="Verdana" w:cs="Verdana"/>
      <w:sz w:val="20"/>
      <w:szCs w:val="20"/>
      <w:lang w:val="en-US" w:eastAsia="en-US"/>
    </w:rPr>
  </w:style>
  <w:style w:type="paragraph" w:styleId="22" w:customStyle="1">
    <w:name w:val="Знак2"/>
    <w:basedOn w:val="Normal"/>
    <w:qFormat/>
    <w:rsid w:val="00c44808"/>
    <w:pPr>
      <w:spacing w:lineRule="exact" w:line="240" w:before="0" w:after="160"/>
      <w:ind w:hanging="0"/>
      <w:jc w:val="left"/>
    </w:pPr>
    <w:rPr>
      <w:rFonts w:ascii="Verdana" w:hAnsi="Verdana" w:cs="Verdana"/>
      <w:sz w:val="20"/>
      <w:szCs w:val="20"/>
      <w:lang w:val="en-US" w:eastAsia="en-US"/>
    </w:rPr>
  </w:style>
  <w:style w:type="paragraph" w:styleId="Style23" w:customStyle="1">
    <w:name w:val="Знак Знак Знак Знак Знак Знак Знак Знак Знак"/>
    <w:basedOn w:val="Normal"/>
    <w:qFormat/>
    <w:rsid w:val="00c44808"/>
    <w:pPr>
      <w:spacing w:lineRule="exact" w:line="240" w:before="0" w:after="160"/>
      <w:ind w:hanging="0"/>
    </w:pPr>
    <w:rPr>
      <w:rFonts w:ascii="Verdana" w:hAnsi="Verdana"/>
      <w:sz w:val="22"/>
      <w:szCs w:val="20"/>
      <w:lang w:val="en-US" w:eastAsia="en-US"/>
    </w:rPr>
  </w:style>
  <w:style w:type="paragraph" w:styleId="Style24" w:customStyle="1">
    <w:name w:val="Пункт договора"/>
    <w:basedOn w:val="Normal"/>
    <w:qFormat/>
    <w:rsid w:val="00c44808"/>
    <w:pPr>
      <w:widowControl w:val="false"/>
      <w:spacing w:lineRule="auto" w:line="240"/>
      <w:ind w:hanging="0"/>
    </w:pPr>
    <w:rPr>
      <w:rFonts w:ascii="Arial" w:hAnsi="Arial"/>
      <w:sz w:val="20"/>
      <w:szCs w:val="20"/>
    </w:rPr>
  </w:style>
  <w:style w:type="paragraph" w:styleId="Style25" w:customStyle="1">
    <w:name w:val="Подпункт договора"/>
    <w:basedOn w:val="Normal"/>
    <w:qFormat/>
    <w:rsid w:val="00c44808"/>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link w:val="32"/>
    <w:qFormat/>
    <w:rsid w:val="00c44808"/>
    <w:pPr>
      <w:spacing w:before="0" w:after="120"/>
      <w:ind w:left="283" w:firstLine="567"/>
    </w:pPr>
    <w:rPr>
      <w:sz w:val="16"/>
      <w:szCs w:val="16"/>
    </w:rPr>
  </w:style>
  <w:style w:type="paragraph" w:styleId="ListParagraph">
    <w:name w:val="List Paragraph"/>
    <w:basedOn w:val="Normal"/>
    <w:link w:val="Style17"/>
    <w:uiPriority w:val="34"/>
    <w:qFormat/>
    <w:rsid w:val="00c44808"/>
    <w:pPr>
      <w:spacing w:lineRule="auto" w:line="240" w:before="0" w:after="0"/>
      <w:ind w:left="720" w:hanging="0"/>
      <w:contextualSpacing/>
      <w:jc w:val="left"/>
    </w:pPr>
    <w:rPr>
      <w:sz w:val="24"/>
      <w:szCs w:val="24"/>
    </w:rPr>
  </w:style>
  <w:style w:type="paragraph" w:styleId="12" w:customStyle="1">
    <w:name w:val="1. Статья"/>
    <w:basedOn w:val="Heading3"/>
    <w:link w:val="11"/>
    <w:qFormat/>
    <w:rsid w:val="00c44808"/>
    <w:pPr>
      <w:keepNext w:val="false"/>
      <w:widowControl w:val="false"/>
      <w:numPr>
        <w:ilvl w:val="0"/>
        <w:numId w:val="1"/>
      </w:numPr>
      <w:tabs>
        <w:tab w:val="clear" w:pos="708"/>
        <w:tab w:val="left" w:pos="2340" w:leader="none"/>
      </w:tabs>
      <w:suppressAutoHyphens w:val="false"/>
      <w:spacing w:before="0" w:after="0"/>
      <w:ind w:right="1462" w:hanging="0"/>
      <w:jc w:val="center"/>
      <w:textAlignment w:val="baseline"/>
    </w:pPr>
    <w:rPr>
      <w:b w:val="false"/>
      <w:sz w:val="24"/>
      <w:szCs w:val="24"/>
    </w:rPr>
  </w:style>
  <w:style w:type="paragraph" w:styleId="23" w:customStyle="1">
    <w:name w:val="2. Пункт"/>
    <w:basedOn w:val="Heading3"/>
    <w:qFormat/>
    <w:rsid w:val="00c44808"/>
    <w:pPr>
      <w:keepNext w:val="false"/>
      <w:widowControl w:val="false"/>
      <w:numPr>
        <w:ilvl w:val="1"/>
        <w:numId w:val="1"/>
      </w:numPr>
      <w:suppressAutoHyphens w:val="false"/>
      <w:spacing w:before="0" w:after="0"/>
      <w:jc w:val="both"/>
      <w:textAlignment w:val="baseline"/>
    </w:pPr>
    <w:rPr>
      <w:b w:val="false"/>
      <w:sz w:val="24"/>
      <w:szCs w:val="24"/>
    </w:rPr>
  </w:style>
  <w:style w:type="paragraph" w:styleId="34" w:customStyle="1">
    <w:name w:val="3. Подпункт"/>
    <w:basedOn w:val="Heading3"/>
    <w:link w:val="33"/>
    <w:qFormat/>
    <w:rsid w:val="00c44808"/>
    <w:pPr>
      <w:keepNext w:val="false"/>
      <w:widowControl w:val="false"/>
      <w:numPr>
        <w:ilvl w:val="2"/>
        <w:numId w:val="1"/>
      </w:numPr>
      <w:tabs>
        <w:tab w:val="clear" w:pos="708"/>
        <w:tab w:val="left" w:pos="1620" w:leader="none"/>
      </w:tabs>
      <w:suppressAutoHyphens w:val="false"/>
      <w:spacing w:before="0" w:after="0"/>
      <w:jc w:val="both"/>
      <w:textAlignment w:val="baseline"/>
    </w:pPr>
    <w:rPr>
      <w:bCs/>
      <w:sz w:val="24"/>
      <w:szCs w:val="24"/>
    </w:rPr>
  </w:style>
  <w:style w:type="paragraph" w:styleId="ConsNormal" w:customStyle="1">
    <w:name w:val="ConsNormal"/>
    <w:qFormat/>
    <w:rsid w:val="00c44808"/>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alloonText">
    <w:name w:val="Balloon Text"/>
    <w:basedOn w:val="Normal"/>
    <w:link w:val="Style9"/>
    <w:qFormat/>
    <w:rsid w:val="00c44808"/>
    <w:pPr>
      <w:spacing w:lineRule="auto" w:line="240"/>
    </w:pPr>
    <w:rPr>
      <w:rFonts w:ascii="Tahoma" w:hAnsi="Tahoma"/>
      <w:sz w:val="16"/>
      <w:szCs w:val="16"/>
      <w:lang w:val="x-none" w:eastAsia="x-none"/>
    </w:rPr>
  </w:style>
  <w:style w:type="paragraph" w:styleId="42" w:customStyle="1">
    <w:name w:val="4. Отчерк"/>
    <w:basedOn w:val="Normal"/>
    <w:link w:val="4"/>
    <w:qFormat/>
    <w:rsid w:val="00c44808"/>
    <w:pPr>
      <w:widowControl w:val="false"/>
      <w:numPr>
        <w:ilvl w:val="0"/>
        <w:numId w:val="2"/>
      </w:numPr>
      <w:spacing w:lineRule="auto" w:line="240"/>
    </w:pPr>
    <w:rPr>
      <w:sz w:val="24"/>
      <w:szCs w:val="24"/>
      <w:lang w:val="x-none" w:eastAsia="x-none"/>
    </w:rPr>
  </w:style>
  <w:style w:type="paragraph" w:styleId="Annotationtext">
    <w:name w:val="annotation text"/>
    <w:basedOn w:val="Normal"/>
    <w:link w:val="Style10"/>
    <w:qFormat/>
    <w:rsid w:val="00c44808"/>
    <w:pPr>
      <w:spacing w:lineRule="auto" w:line="240"/>
    </w:pPr>
    <w:rPr>
      <w:sz w:val="20"/>
      <w:szCs w:val="20"/>
      <w:lang w:val="x-none" w:eastAsia="x-none"/>
    </w:rPr>
  </w:style>
  <w:style w:type="paragraph" w:styleId="Annotationsubject">
    <w:name w:val="annotation subject"/>
    <w:basedOn w:val="Annotationtext"/>
    <w:next w:val="Annotationtext"/>
    <w:link w:val="Style11"/>
    <w:qFormat/>
    <w:rsid w:val="00c44808"/>
    <w:pPr/>
    <w:rPr>
      <w:b/>
      <w:bCs/>
    </w:rPr>
  </w:style>
  <w:style w:type="paragraph" w:styleId="Footer">
    <w:name w:val="Footer"/>
    <w:basedOn w:val="Normal"/>
    <w:link w:val="Style12"/>
    <w:uiPriority w:val="99"/>
    <w:rsid w:val="00c44808"/>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c44808"/>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13" w:customStyle="1">
    <w:name w:val="Заголовок1"/>
    <w:basedOn w:val="Normal"/>
    <w:link w:val="Style13"/>
    <w:qFormat/>
    <w:rsid w:val="00c44808"/>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14"/>
    <w:rsid w:val="00c44808"/>
    <w:pPr>
      <w:spacing w:before="0" w:after="120"/>
      <w:ind w:left="283" w:firstLine="567"/>
    </w:pPr>
    <w:rPr>
      <w:lang w:val="x-none" w:eastAsia="x-none"/>
    </w:rPr>
  </w:style>
  <w:style w:type="paragraph" w:styleId="333" w:customStyle="1">
    <w:name w:val="Пункт 3.3.3"/>
    <w:basedOn w:val="Normal"/>
    <w:qFormat/>
    <w:rsid w:val="00c44808"/>
    <w:pPr>
      <w:keepNext w:val="true"/>
      <w:keepLines/>
      <w:widowControl w:val="false"/>
      <w:tabs>
        <w:tab w:val="clear" w:pos="708"/>
        <w:tab w:val="left" w:pos="920" w:leader="none"/>
      </w:tabs>
      <w:spacing w:lineRule="auto" w:line="240" w:before="240" w:after="240"/>
      <w:ind w:left="704" w:hanging="504"/>
      <w:jc w:val="left"/>
      <w:textAlignment w:val="baseline"/>
      <w:outlineLvl w:val="1"/>
    </w:pPr>
    <w:rPr>
      <w:sz w:val="24"/>
      <w:szCs w:val="20"/>
    </w:rPr>
  </w:style>
  <w:style w:type="paragraph" w:styleId="Caption11111" w:customStyle="1">
    <w:name w:val="caption11111"/>
    <w:basedOn w:val="Normal"/>
    <w:next w:val="Normal"/>
    <w:qFormat/>
    <w:rsid w:val="00c44808"/>
    <w:pPr>
      <w:widowControl w:val="false"/>
      <w:spacing w:lineRule="auto" w:line="240" w:before="120" w:after="120"/>
      <w:ind w:hanging="0"/>
      <w:textAlignment w:val="baseline"/>
    </w:pPr>
    <w:rPr>
      <w:b/>
      <w:bCs/>
      <w:sz w:val="24"/>
      <w:szCs w:val="24"/>
    </w:rPr>
  </w:style>
  <w:style w:type="paragraph" w:styleId="14" w:customStyle="1">
    <w:name w:val="Знак1"/>
    <w:basedOn w:val="Normal"/>
    <w:qFormat/>
    <w:rsid w:val="00c44808"/>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c44808"/>
    <w:pPr>
      <w:keepNext w:val="true"/>
      <w:keepLines/>
      <w:numPr>
        <w:ilvl w:val="0"/>
        <w:numId w:val="4"/>
      </w:numPr>
      <w:tabs>
        <w:tab w:val="clear" w:pos="708"/>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c44808"/>
    <w:pPr>
      <w:numPr>
        <w:ilvl w:val="1"/>
        <w:numId w:val="4"/>
      </w:numPr>
    </w:pPr>
    <w:rPr/>
  </w:style>
  <w:style w:type="paragraph" w:styleId="-2" w:customStyle="1">
    <w:name w:val="Контракт-подпункт"/>
    <w:basedOn w:val="Normal"/>
    <w:qFormat/>
    <w:rsid w:val="00c44808"/>
    <w:pPr>
      <w:numPr>
        <w:ilvl w:val="2"/>
        <w:numId w:val="4"/>
      </w:numPr>
    </w:pPr>
    <w:rPr/>
  </w:style>
  <w:style w:type="paragraph" w:styleId="-3" w:customStyle="1">
    <w:name w:val="Контракт-подподпункт"/>
    <w:basedOn w:val="Normal"/>
    <w:qFormat/>
    <w:rsid w:val="00c44808"/>
    <w:pPr>
      <w:numPr>
        <w:ilvl w:val="3"/>
        <w:numId w:val="4"/>
      </w:numPr>
    </w:pPr>
    <w:rPr/>
  </w:style>
  <w:style w:type="paragraph" w:styleId="EndnoteText">
    <w:name w:val="Endnote Text"/>
    <w:basedOn w:val="Normal"/>
    <w:link w:val="Style15"/>
    <w:uiPriority w:val="99"/>
    <w:semiHidden/>
    <w:unhideWhenUsed/>
    <w:rsid w:val="00c44808"/>
    <w:pPr/>
    <w:rPr>
      <w:sz w:val="20"/>
      <w:szCs w:val="20"/>
      <w:lang w:val="x-none" w:eastAsia="x-none"/>
    </w:rPr>
  </w:style>
  <w:style w:type="paragraph" w:styleId="Style26" w:customStyle="1">
    <w:name w:val="Содержимое врезки"/>
    <w:basedOn w:val="Normal"/>
    <w:qFormat/>
    <w:pPr/>
    <w:rPr/>
  </w:style>
  <w:style w:type="paragraph" w:styleId="Style27" w:customStyle="1">
    <w:name w:val="Содержимое таблицы"/>
    <w:basedOn w:val="Normal"/>
    <w:qFormat/>
    <w:pPr>
      <w:widowControl w:val="false"/>
      <w:suppressLineNumbers/>
    </w:pPr>
    <w:rPr/>
  </w:style>
  <w:style w:type="paragraph" w:styleId="Style28" w:customStyle="1">
    <w:name w:val="Заголовок таблицы"/>
    <w:basedOn w:val="Style27"/>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c44808"/>
    <w:pPr>
      <w:spacing w:line="36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header" Target="header10.xml"/><Relationship Id="rId16" Type="http://schemas.openxmlformats.org/officeDocument/2006/relationships/header" Target="header11.xml"/><Relationship Id="rId17" Type="http://schemas.openxmlformats.org/officeDocument/2006/relationships/header" Target="header12.xml"/><Relationship Id="rId18" Type="http://schemas.openxmlformats.org/officeDocument/2006/relationships/header" Target="header13.xml"/><Relationship Id="rId19" Type="http://schemas.openxmlformats.org/officeDocument/2006/relationships/header" Target="header14.xml"/><Relationship Id="rId20" Type="http://schemas.openxmlformats.org/officeDocument/2006/relationships/header" Target="header15.xml"/><Relationship Id="rId21" Type="http://schemas.openxmlformats.org/officeDocument/2006/relationships/header" Target="header16.xml"/><Relationship Id="rId22" Type="http://schemas.openxmlformats.org/officeDocument/2006/relationships/hyperlink" Target="http://www.cbr.ru/" TargetMode="External"/><Relationship Id="rId23" Type="http://schemas.openxmlformats.org/officeDocument/2006/relationships/hyperlink" Target="http://www.cbr.ru/" TargetMode="External"/><Relationship Id="rId24" Type="http://schemas.openxmlformats.org/officeDocument/2006/relationships/image" Target="media/image1.wmf"/><Relationship Id="rId25" Type="http://schemas.openxmlformats.org/officeDocument/2006/relationships/image" Target="media/image2.wmf"/><Relationship Id="rId26" Type="http://schemas.openxmlformats.org/officeDocument/2006/relationships/image" Target="media/image3.png"/><Relationship Id="rId27" Type="http://schemas.openxmlformats.org/officeDocument/2006/relationships/image" Target="media/image4.wmf"/><Relationship Id="rId28" Type="http://schemas.openxmlformats.org/officeDocument/2006/relationships/image" Target="media/image5.wmf"/><Relationship Id="rId29" Type="http://schemas.openxmlformats.org/officeDocument/2006/relationships/image" Target="media/image6.wmf"/><Relationship Id="rId30" Type="http://schemas.openxmlformats.org/officeDocument/2006/relationships/image" Target="media/image7.wmf"/><Relationship Id="rId31" Type="http://schemas.openxmlformats.org/officeDocument/2006/relationships/image" Target="media/image8.wmf"/><Relationship Id="rId32" Type="http://schemas.openxmlformats.org/officeDocument/2006/relationships/image" Target="media/image9.wmf"/><Relationship Id="rId33" Type="http://schemas.openxmlformats.org/officeDocument/2006/relationships/image" Target="media/image10.wmf"/><Relationship Id="rId34" Type="http://schemas.openxmlformats.org/officeDocument/2006/relationships/image" Target="media/image11.wmf"/><Relationship Id="rId35" Type="http://schemas.openxmlformats.org/officeDocument/2006/relationships/image" Target="media/image12.wmf"/><Relationship Id="rId36" Type="http://schemas.openxmlformats.org/officeDocument/2006/relationships/image" Target="media/image13.wmf"/><Relationship Id="rId37" Type="http://schemas.openxmlformats.org/officeDocument/2006/relationships/image" Target="media/image14.wmf"/><Relationship Id="rId38" Type="http://schemas.openxmlformats.org/officeDocument/2006/relationships/image" Target="media/image15.wmf"/><Relationship Id="rId39" Type="http://schemas.openxmlformats.org/officeDocument/2006/relationships/image" Target="media/image16.wmf"/><Relationship Id="rId40" Type="http://schemas.openxmlformats.org/officeDocument/2006/relationships/image" Target="media/image17.wmf"/><Relationship Id="rId41" Type="http://schemas.openxmlformats.org/officeDocument/2006/relationships/image" Target="media/image18.wmf"/><Relationship Id="rId42" Type="http://schemas.openxmlformats.org/officeDocument/2006/relationships/image" Target="media/image19.wmf"/><Relationship Id="rId43" Type="http://schemas.openxmlformats.org/officeDocument/2006/relationships/image" Target="media/image20.wmf"/><Relationship Id="rId44" Type="http://schemas.openxmlformats.org/officeDocument/2006/relationships/image" Target="media/image21.wmf"/><Relationship Id="rId45" Type="http://schemas.openxmlformats.org/officeDocument/2006/relationships/image" Target="media/image22.wmf"/><Relationship Id="rId46" Type="http://schemas.openxmlformats.org/officeDocument/2006/relationships/image" Target="media/image23.wmf"/><Relationship Id="rId47" Type="http://schemas.openxmlformats.org/officeDocument/2006/relationships/image" Target="media/image24.wmf"/><Relationship Id="rId48" Type="http://schemas.openxmlformats.org/officeDocument/2006/relationships/image" Target="media/image25.wmf"/><Relationship Id="rId49" Type="http://schemas.openxmlformats.org/officeDocument/2006/relationships/image" Target="media/image26.wmf"/><Relationship Id="rId50" Type="http://schemas.openxmlformats.org/officeDocument/2006/relationships/image" Target="media/image27.wmf"/><Relationship Id="rId51" Type="http://schemas.openxmlformats.org/officeDocument/2006/relationships/image" Target="media/image28.wmf"/><Relationship Id="rId52" Type="http://schemas.openxmlformats.org/officeDocument/2006/relationships/image" Target="media/image29.wmf"/><Relationship Id="rId53" Type="http://schemas.openxmlformats.org/officeDocument/2006/relationships/image" Target="media/image30.wmf"/><Relationship Id="rId54" Type="http://schemas.openxmlformats.org/officeDocument/2006/relationships/image" Target="media/image31.wmf"/><Relationship Id="rId55" Type="http://schemas.openxmlformats.org/officeDocument/2006/relationships/image" Target="media/image32.wmf"/><Relationship Id="rId56" Type="http://schemas.openxmlformats.org/officeDocument/2006/relationships/image" Target="media/image33.wmf"/><Relationship Id="rId57" Type="http://schemas.openxmlformats.org/officeDocument/2006/relationships/image" Target="media/image34.wmf"/><Relationship Id="rId58" Type="http://schemas.openxmlformats.org/officeDocument/2006/relationships/image" Target="media/image35.wmf"/><Relationship Id="rId59" Type="http://schemas.openxmlformats.org/officeDocument/2006/relationships/image" Target="media/image36.wmf"/><Relationship Id="rId60" Type="http://schemas.openxmlformats.org/officeDocument/2006/relationships/image" Target="media/image37.wmf"/><Relationship Id="rId61" Type="http://schemas.openxmlformats.org/officeDocument/2006/relationships/image" Target="media/image38.wmf"/><Relationship Id="rId62" Type="http://schemas.openxmlformats.org/officeDocument/2006/relationships/image" Target="media/image39.wmf"/><Relationship Id="rId63" Type="http://schemas.openxmlformats.org/officeDocument/2006/relationships/image" Target="media/image40.wmf"/><Relationship Id="rId64" Type="http://schemas.openxmlformats.org/officeDocument/2006/relationships/image" Target="media/image41.wmf"/><Relationship Id="rId65" Type="http://schemas.openxmlformats.org/officeDocument/2006/relationships/image" Target="media/image42.wmf"/><Relationship Id="rId66" Type="http://schemas.openxmlformats.org/officeDocument/2006/relationships/image" Target="media/image43.wmf"/><Relationship Id="rId67" Type="http://schemas.openxmlformats.org/officeDocument/2006/relationships/image" Target="media/image44.wmf"/><Relationship Id="rId68" Type="http://schemas.openxmlformats.org/officeDocument/2006/relationships/image" Target="media/image45.wmf"/><Relationship Id="rId69" Type="http://schemas.openxmlformats.org/officeDocument/2006/relationships/image" Target="media/image46.wmf"/><Relationship Id="rId70" Type="http://schemas.openxmlformats.org/officeDocument/2006/relationships/image" Target="media/image47.wmf"/><Relationship Id="rId71" Type="http://schemas.openxmlformats.org/officeDocument/2006/relationships/image" Target="media/image48.wmf"/><Relationship Id="rId72" Type="http://schemas.openxmlformats.org/officeDocument/2006/relationships/image" Target="media/image46.wmf"/><Relationship Id="rId73" Type="http://schemas.openxmlformats.org/officeDocument/2006/relationships/image" Target="media/image47.wmf"/><Relationship Id="rId74" Type="http://schemas.openxmlformats.org/officeDocument/2006/relationships/header" Target="header17.xml"/><Relationship Id="rId75" Type="http://schemas.openxmlformats.org/officeDocument/2006/relationships/header" Target="header18.xml"/><Relationship Id="rId76" Type="http://schemas.openxmlformats.org/officeDocument/2006/relationships/footer" Target="footer1.xml"/><Relationship Id="rId77" Type="http://schemas.openxmlformats.org/officeDocument/2006/relationships/footnotes" Target="footnotes.xml"/><Relationship Id="rId78" Type="http://schemas.openxmlformats.org/officeDocument/2006/relationships/numbering" Target="numbering.xml"/><Relationship Id="rId79" Type="http://schemas.openxmlformats.org/officeDocument/2006/relationships/fontTable" Target="fontTable.xml"/><Relationship Id="rId80" Type="http://schemas.openxmlformats.org/officeDocument/2006/relationships/settings" Target="settings.xml"/><Relationship Id="rId81" Type="http://schemas.openxmlformats.org/officeDocument/2006/relationships/theme" Target="theme/theme1.xml"/><Relationship Id="rId8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B76C6-3DFE-4FBB-B0EC-2C2C6BDBD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AlterOffice/3.4.0.9$Linux_X86_64 LibreOffice_project/b8daf9e823b1a5463a2f48435ddc2e8696e7d4fc</Application>
  <AppVersion>15.0000</AppVersion>
  <Pages>62</Pages>
  <Words>20092</Words>
  <Characters>143289</Characters>
  <CharactersWithSpaces>155692</CharactersWithSpaces>
  <Paragraphs>984</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2026-07-10T04:22:00Z</dcterms:created>
  <dc:creator>Костина Татьяна Владимировна</dc:creator>
  <dc:description/>
  <dc:language>ru-RU</dc:language>
  <cp:lastModifiedBy>batsaginmmi@corp.gidroogk.com</cp:lastModifiedBy>
  <dcterms:modified xsi:type="dcterms:W3CDTF">2026-08-04T14:01:46Z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