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 xml:space="preserve">ОКПД2 49.41. Оказание услуги по предоставлению грузоподъемных 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 xml:space="preserve">механизмов с экипажем для нужд Воткинского филиала </w:t>
      </w:r>
    </w:p>
    <w:p>
      <w:pPr>
        <w:pStyle w:val="Normal"/>
        <w:jc w:val="center"/>
        <w:rPr/>
      </w:pPr>
      <w:r>
        <w:rPr/>
        <w:t>лот 00</w:t>
      </w:r>
      <w:r>
        <w:rPr/>
        <w:t>__</w:t>
      </w:r>
      <w:r>
        <w:rPr/>
        <w:t>-РЕМ ДОХ-2026-ГРВКК-ВотФ</w:t>
      </w:r>
    </w:p>
    <w:p>
      <w:pPr>
        <w:pStyle w:val="Normal"/>
        <w:keepNext w:val="true"/>
        <w:keepLines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</w:t>
      </w:r>
      <w:r>
        <w:rPr>
          <w:b/>
          <w:sz w:val="24"/>
          <w:szCs w:val="24"/>
        </w:rPr>
        <w:t>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before="120" w:after="120"/>
            <w:rPr/>
          </w:pPr>
          <w:r>
            <w:fldChar w:fldCharType="begin"/>
          </w:r>
          <w:r>
            <w:rPr>
              <w:webHidden/>
              <w:rStyle w:val="Style16"/>
              <w:vanish w:val="false"/>
            </w:rPr>
            <w:instrText xml:space="preserve"> TOC \z \o "1-4" \u \h</w:instrText>
          </w:r>
          <w:r>
            <w:rPr>
              <w:webHidden/>
              <w:rStyle w:val="Style16"/>
              <w:vanish w:val="false"/>
            </w:rPr>
            <w:fldChar w:fldCharType="separate"/>
          </w:r>
          <w:hyperlink w:anchor="_Toc54646395">
            <w:r>
              <w:rPr>
                <w:webHidden/>
                <w:rStyle w:val="Style16"/>
                <w:vanish w:val="false"/>
              </w:rPr>
              <w:t>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Общие сведения                 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before="120" w:after="120"/>
            <w:rPr/>
          </w:pPr>
          <w:hyperlink w:anchor="_Toc54646396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Обозначения и сокращения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before="120" w:after="120"/>
            <w:rPr/>
          </w:pPr>
          <w:hyperlink w:anchor="_Toc54646397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Наименование закупаемой продукции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before="120" w:after="120"/>
            <w:rPr/>
          </w:pPr>
          <w:hyperlink w:anchor="_Toc54646398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Цель оказания услуг                   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1"/>
            <w:tabs>
              <w:tab w:val="clear" w:pos="0"/>
            </w:tabs>
            <w:ind w:left="284" w:hanging="284"/>
            <w:rPr>
              <w:sz w:val="24"/>
              <w:szCs w:val="24"/>
            </w:rPr>
          </w:pPr>
          <w:r>
            <w:rPr>
              <w:rFonts w:eastAsia="Times New Roman" w:cs="Calibri" w:cstheme="minorHAnsi"/>
              <w:sz w:val="24"/>
              <w:szCs w:val="24"/>
              <w:lang w:val="ru-RU" w:eastAsia="ru-RU"/>
            </w:rPr>
            <w:t>Таблица 1. Перечень объектов заказчика                                                                                      4</w:t>
          </w:r>
        </w:p>
        <w:p>
          <w:pPr>
            <w:pStyle w:val="Normal"/>
            <w:rPr>
              <w:sz w:val="24"/>
              <w:szCs w:val="24"/>
            </w:rPr>
          </w:pPr>
          <w:r>
            <w:rPr>
              <w:sz w:val="24"/>
              <w:szCs w:val="24"/>
            </w:rPr>
            <w:t>1.4. Иные требования и сведения общего характера                                                                         4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before="120" w:after="120"/>
            <w:rPr/>
          </w:pPr>
          <w:hyperlink w:anchor="_Toc54646403">
            <w:r>
              <w:rPr>
                <w:webHidden/>
                <w:rStyle w:val="Style16"/>
                <w:vanish w:val="false"/>
              </w:rPr>
              <w:t>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iCs/>
              </w:rPr>
              <w:t xml:space="preserve">Требования к продукции                                                                                                         5 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before="120" w:after="120"/>
            <w:rPr/>
          </w:pPr>
          <w:hyperlink w:anchor="_Toc54646404">
            <w:r>
              <w:rPr>
                <w:webHidden/>
                <w:rStyle w:val="Style16"/>
                <w:iCs/>
                <w:vanish w:val="false"/>
              </w:rPr>
              <w:t>2.1.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объемам и срокам оказания услуг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2"/>
            <w:tabs>
              <w:tab w:val="clear" w:pos="0"/>
            </w:tabs>
            <w:spacing w:before="120" w:after="120"/>
            <w:ind w:left="0" w:hanging="0"/>
            <w:rPr/>
          </w:pPr>
          <w:hyperlink w:anchor="_Toc54646409">
            <w:r>
              <w:rPr>
                <w:webHidden/>
                <w:rStyle w:val="Style16"/>
                <w:iCs/>
                <w:vanish w:val="false"/>
              </w:rPr>
              <w:t>2.2.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6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lang w:val="ru-RU"/>
              </w:rPr>
              <w:t xml:space="preserve">                 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6"/>
              <w:lang w:val="ru-RU"/>
            </w:rPr>
            <w:fldChar w:fldCharType="end"/>
          </w:r>
        </w:p>
      </w:sdtContent>
    </w:sdt>
    <w:p>
      <w:pPr>
        <w:pStyle w:val="TOC4"/>
        <w:spacing w:before="120" w:after="120"/>
        <w:rPr>
          <w:sz w:val="24"/>
          <w:szCs w:val="24"/>
        </w:rPr>
      </w:pPr>
      <w:r>
        <w:rPr>
          <w:b/>
          <w:sz w:val="24"/>
          <w:szCs w:val="24"/>
        </w:rPr>
        <w:t>Таблица 2. Перечень и объем оказываемых услуг                                                                       5</w:t>
      </w:r>
    </w:p>
    <w:p>
      <w:pPr>
        <w:pStyle w:val="Heading1"/>
        <w:tabs>
          <w:tab w:val="clear" w:pos="0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r>
        <w:rPr>
          <w:sz w:val="24"/>
          <w:szCs w:val="24"/>
          <w:lang w:val="ru-RU"/>
        </w:rPr>
        <w:t>оказания услуг                                                                        5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0"/>
        <w:jc w:val="both"/>
        <w:outlineLvl w:val="1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2.3. 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4"/>
          <w:szCs w:val="24"/>
          <w:lang w:eastAsia="x-none"/>
        </w:rPr>
        <w:t>качеству услуг                                                                                                    6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0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Таблица 4. Требования к качеству услуг                                                                                       6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54646395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54646396"/>
      <w:r>
        <w:rPr/>
        <w:t>Обозначения и сокращения</w:t>
      </w:r>
      <w:bookmarkEnd w:id="2"/>
      <w:bookmarkEnd w:id="3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1"/>
              <w:widowControl w:val="false"/>
              <w:shd w:val="clear" w:color="auto" w:fill="auto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11"/>
              <w:widowControl w:val="false"/>
              <w:shd w:val="clear" w:color="auto" w:fill="auto"/>
              <w:spacing w:lineRule="auto" w:line="2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4" w:name="_Toc54646397"/>
      <w:r>
        <w:rPr/>
        <w:t>Наименование закупаемой продукци</w:t>
      </w:r>
      <w:bookmarkEnd w:id="4"/>
      <w:r>
        <w:rPr/>
        <w:t>и</w:t>
      </w:r>
    </w:p>
    <w:p>
      <w:pPr>
        <w:pStyle w:val="Normal"/>
        <w:rPr>
          <w:lang w:eastAsia="x-none"/>
        </w:rPr>
      </w:pPr>
      <w:r>
        <w:rPr>
          <w:sz w:val="24"/>
          <w:szCs w:val="24"/>
        </w:rPr>
        <w:t>ОКПД2 49.41. Оказание услуг по предоставлению грузоподъемных механизмов с экипажем</w:t>
      </w:r>
      <w:r>
        <w:rPr>
          <w:sz w:val="24"/>
          <w:szCs w:val="24"/>
          <w:lang w:eastAsia="x-none"/>
        </w:rPr>
        <w:t xml:space="preserve"> для нужд Воткинского филиала</w:t>
      </w:r>
    </w:p>
    <w:p>
      <w:pPr>
        <w:pStyle w:val="Heading4"/>
        <w:numPr>
          <w:ilvl w:val="1"/>
          <w:numId w:val="3"/>
        </w:numPr>
        <w:rPr/>
      </w:pPr>
      <w:bookmarkStart w:id="5" w:name="_Toc46743507"/>
      <w:bookmarkStart w:id="6" w:name="_Toc75446569"/>
      <w:r>
        <w:rPr/>
        <w:t xml:space="preserve">Цель </w:t>
      </w:r>
      <w:bookmarkEnd w:id="5"/>
      <w:bookmarkEnd w:id="6"/>
      <w:r>
        <w:rPr>
          <w:lang w:val="ru-RU"/>
        </w:rPr>
        <w:t>оказания услуг</w:t>
      </w:r>
    </w:p>
    <w:p>
      <w:pPr>
        <w:pStyle w:val="Normal"/>
        <w:tabs>
          <w:tab w:val="clear" w:pos="709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Оказание услуг по предоставлению грузоподъемных механизмов с экипажем для выполнения работ на объектах Заказчика ПАО «РусГидро»-«Камская ГЭС» по договорам:</w:t>
      </w:r>
    </w:p>
    <w:p>
      <w:pPr>
        <w:pStyle w:val="Normal"/>
        <w:tabs>
          <w:tab w:val="clear" w:pos="709"/>
          <w:tab w:val="left" w:pos="993" w:leader="none"/>
        </w:tabs>
        <w:jc w:val="both"/>
        <w:rPr/>
      </w:pPr>
      <w:r>
        <w:rPr>
          <w:iCs/>
          <w:color w:val="000000" w:themeColor="text1"/>
          <w:sz w:val="24"/>
          <w:szCs w:val="24"/>
        </w:rPr>
        <w:t>1180-267-2023 от 02.11.2023 г «</w:t>
      </w:r>
      <w:r>
        <w:rPr>
          <w:sz w:val="24"/>
          <w:szCs w:val="24"/>
        </w:rPr>
        <w:t>Капитальный и текущий ремонт оборудования, зданий, сооружений»</w:t>
      </w:r>
    </w:p>
    <w:p>
      <w:pPr>
        <w:pStyle w:val="Normal"/>
        <w:tabs>
          <w:tab w:val="clear" w:pos="709"/>
          <w:tab w:val="left" w:pos="993" w:leader="none"/>
        </w:tabs>
        <w:jc w:val="both"/>
        <w:rPr/>
      </w:pPr>
      <w:r>
        <w:rPr>
          <w:iCs/>
          <w:color w:val="000000" w:themeColor="text1"/>
          <w:sz w:val="24"/>
          <w:szCs w:val="24"/>
        </w:rPr>
        <w:t xml:space="preserve">1180-336-2023 от </w:t>
      </w:r>
      <w:r>
        <w:rPr>
          <w:sz w:val="24"/>
          <w:szCs w:val="24"/>
        </w:rPr>
        <w:t>27.12.2023</w:t>
      </w:r>
      <w:r>
        <w:rPr>
          <w:iCs/>
          <w:color w:val="000000" w:themeColor="text1"/>
          <w:sz w:val="24"/>
          <w:szCs w:val="24"/>
        </w:rPr>
        <w:t xml:space="preserve"> г «Техническое</w:t>
      </w:r>
      <w:r>
        <w:rPr>
          <w:sz w:val="24"/>
          <w:szCs w:val="24"/>
        </w:rPr>
        <w:t xml:space="preserve"> обслуживание оборудования, зданий, сооружений филиала»;</w:t>
      </w:r>
    </w:p>
    <w:p>
      <w:pPr>
        <w:pStyle w:val="Normal"/>
        <w:ind w:left="567" w:hanging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bookmarkStart w:id="7" w:name="_Toc46743508"/>
      <w:bookmarkStart w:id="8" w:name="_Toc54646399"/>
      <w:bookmarkStart w:id="9" w:name="_Toc46743508"/>
      <w:bookmarkStart w:id="10" w:name="_Toc54646399"/>
      <w:bookmarkEnd w:id="9"/>
      <w:bookmarkEnd w:id="10"/>
    </w:p>
    <w:p>
      <w:pPr>
        <w:pStyle w:val="Heading1"/>
        <w:tabs>
          <w:tab w:val="clear" w:pos="0"/>
        </w:tabs>
        <w:ind w:left="284" w:hanging="284"/>
        <w:rPr>
          <w:rStyle w:val="Style8"/>
          <w:b/>
          <w:bCs/>
          <w:color w:val="000000" w:themeColor="text1"/>
          <w:sz w:val="24"/>
          <w:szCs w:val="24"/>
        </w:rPr>
      </w:pPr>
      <w:bookmarkStart w:id="11" w:name="_Toc125982700"/>
      <w:r>
        <w:rPr>
          <w:sz w:val="24"/>
          <w:szCs w:val="24"/>
        </w:rPr>
        <w:t>Таблица 1. Перечень объектов заказчика.</w:t>
      </w:r>
      <w:bookmarkEnd w:id="11"/>
    </w:p>
    <w:tbl>
      <w:tblPr>
        <w:tblW w:w="1017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1"/>
        <w:gridCol w:w="2127"/>
        <w:gridCol w:w="2841"/>
        <w:gridCol w:w="3118"/>
        <w:gridCol w:w="1526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Расположение объекта</w:t>
              <w:br/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5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200"/>
              <w:ind w:left="284" w:hanging="279"/>
              <w:contextualSpacing/>
              <w:rPr>
                <w:i/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i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Филиал ПАО «РусГидро»- «Камская ГЭС»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contextualSpacing/>
              <w:jc w:val="both"/>
              <w:rPr>
                <w:i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РФ, </w:t>
            </w: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</w:rPr>
              <w:t>Пермский край, г.Пермь, филиал ПАО «РусГидро»- «Камская ГЭС».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rPr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iCs/>
                <w:color w:val="000000"/>
                <w:sz w:val="24"/>
                <w:szCs w:val="24"/>
              </w:rPr>
              <w:t>Выполнение работ по доходным Договорам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2" w:name="_Toc125982701"/>
      <w:bookmarkStart w:id="13" w:name="_Toc54643701"/>
      <w:r>
        <w:rPr/>
        <w:t>Иные требования и сведения общего характера</w:t>
      </w:r>
      <w:bookmarkEnd w:id="13"/>
      <w:r>
        <w:rPr/>
        <w:t>.</w:t>
      </w:r>
      <w:bookmarkEnd w:id="12"/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планирует использовать (применять) технику в соответствии с номенклатурой (согласно п. 2.1.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п.2.1.) в случае отсутствия необходимости. 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машино-часа является фиксированной и постоянной на протяжении всего срока действия договора. 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техники в электроустановках (ОРУ, освещение, охранная зона ВЛ и т.п.) у водителей-операторов необходимо наличие удостоверения по электробезопасности не ниже второй группы согласно Правилам по охране труда при эксплуатации электроустановок.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 медикаментами,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категорией. 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соблюдать требования технологической, производственной и трудовой дисциплины.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соблюдать законодательство РФ при эксплуатации, обслуживании и предоставлении транспортных средств, подъемных сооружении и т.д. указанных в п.2.1. данных технических требований.</w:t>
      </w:r>
    </w:p>
    <w:p>
      <w:pPr>
        <w:pStyle w:val="Normal"/>
        <w:tabs>
          <w:tab w:val="clear" w:pos="709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14" w:name="_Toc546437021"/>
      <w:bookmarkStart w:id="15" w:name="_Toc513396931"/>
      <w:bookmarkStart w:id="16" w:name="_Toc125982704"/>
      <w:r>
        <w:rPr>
          <w:lang w:val="ru-RU"/>
        </w:rPr>
        <w:t>Требования</w:t>
      </w:r>
      <w:r>
        <w:rPr/>
        <w:t xml:space="preserve"> к продукции</w:t>
      </w:r>
      <w:bookmarkEnd w:id="14"/>
      <w:bookmarkEnd w:id="15"/>
      <w:bookmarkEnd w:id="16"/>
    </w:p>
    <w:p>
      <w:pPr>
        <w:pStyle w:val="Heading2"/>
        <w:numPr>
          <w:ilvl w:val="1"/>
          <w:numId w:val="3"/>
        </w:numPr>
        <w:rPr/>
      </w:pPr>
      <w:bookmarkStart w:id="17" w:name="_Toc546437031"/>
      <w:bookmarkStart w:id="18" w:name="_Toc12598270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  <w:bookmarkEnd w:id="18"/>
    </w:p>
    <w:p>
      <w:pPr>
        <w:pStyle w:val="Heading2"/>
        <w:numPr>
          <w:ilvl w:val="1"/>
          <w:numId w:val="3"/>
        </w:numPr>
        <w:rPr>
          <w:lang w:val="ru-RU"/>
        </w:rPr>
      </w:pPr>
      <w:bookmarkStart w:id="19" w:name="_Toc546437041"/>
      <w:bookmarkStart w:id="20" w:name="_Toc125982706"/>
      <w:r>
        <w:rPr/>
        <w:t>Требования к перечню и объему услуг</w:t>
      </w:r>
      <w:bookmarkEnd w:id="19"/>
      <w:bookmarkEnd w:id="20"/>
    </w:p>
    <w:p>
      <w:pPr>
        <w:pStyle w:val="Heading1"/>
        <w:tabs>
          <w:tab w:val="clear" w:pos="0"/>
        </w:tabs>
        <w:ind w:left="426" w:hanging="426"/>
        <w:rPr>
          <w:sz w:val="24"/>
          <w:szCs w:val="24"/>
        </w:rPr>
      </w:pPr>
      <w:bookmarkStart w:id="21" w:name="_Toc546437051"/>
      <w:bookmarkStart w:id="22" w:name="_Toc125982707"/>
      <w:bookmarkStart w:id="23" w:name="_Toc51339695"/>
      <w:r>
        <w:rPr>
          <w:sz w:val="24"/>
          <w:szCs w:val="24"/>
        </w:rPr>
        <w:t xml:space="preserve">Таблица 2. Перечень </w:t>
      </w:r>
      <w:bookmarkEnd w:id="23"/>
      <w:r>
        <w:rPr>
          <w:sz w:val="24"/>
          <w:szCs w:val="24"/>
        </w:rPr>
        <w:t>и объем оказываемых услуг</w:t>
      </w:r>
      <w:bookmarkEnd w:id="21"/>
      <w:bookmarkEnd w:id="22"/>
    </w:p>
    <w:tbl>
      <w:tblPr>
        <w:tblW w:w="1009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12"/>
        <w:gridCol w:w="2293"/>
        <w:gridCol w:w="4708"/>
        <w:gridCol w:w="2378"/>
      </w:tblGrid>
      <w:tr>
        <w:trPr>
          <w:trHeight w:val="725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техники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  <w:tab w:val="left" w:pos="426" w:leader="none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Планируемое количество работы (кол-во единиц)</w:t>
            </w:r>
          </w:p>
        </w:tc>
      </w:tr>
      <w:tr>
        <w:trPr>
          <w:trHeight w:val="351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78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Автокран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 xml:space="preserve"> не менее 10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Вылет стрелы крана 15 м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Наличие координатной защиты</w:t>
            </w:r>
            <w:r>
              <w:rPr>
                <w:sz w:val="24"/>
                <w:szCs w:val="24"/>
                <w:lang w:val="en-US"/>
              </w:rPr>
              <w:t xml:space="preserve"> обязательно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Автокран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 xml:space="preserve"> не менее 16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Вылет стрелы крана 15 м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координатной защиты обязательно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Автокран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 не менее 20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Вылет стрелы крана 21 м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координатной защиты обязательно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Автокран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 не менее 25 т. Наличие координатной защиты обязательно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с установленной в кузове лебедкой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Грузоподъемность, не менее 5 т </w:t>
            </w:r>
            <w:bookmarkStart w:id="24" w:name="_GoBack"/>
            <w:bookmarkEnd w:id="24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1"/>
          <w:numId w:val="3"/>
        </w:numPr>
        <w:rPr>
          <w:sz w:val="24"/>
          <w:szCs w:val="24"/>
        </w:rPr>
      </w:pPr>
      <w:bookmarkStart w:id="25" w:name="_Toc125982708"/>
      <w:r>
        <w:rPr>
          <w:sz w:val="24"/>
          <w:szCs w:val="24"/>
        </w:rPr>
        <w:t>Требования к срокам оказания услуг</w:t>
      </w:r>
      <w:bookmarkEnd w:id="25"/>
    </w:p>
    <w:p>
      <w:pPr>
        <w:pStyle w:val="Heading1"/>
        <w:tabs>
          <w:tab w:val="clear" w:pos="0"/>
        </w:tabs>
        <w:ind w:left="426" w:hanging="426"/>
        <w:rPr>
          <w:sz w:val="24"/>
          <w:szCs w:val="24"/>
          <w:lang w:val="ru-RU"/>
        </w:rPr>
      </w:pPr>
      <w:bookmarkStart w:id="26" w:name="_Toc54643707"/>
      <w:bookmarkStart w:id="27" w:name="_Toc125982709"/>
      <w:bookmarkStart w:id="28" w:name="_Toc501251271"/>
      <w:bookmarkStart w:id="29" w:name="_Toc51339697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0" w:name="_Hlk504652841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оказания услуг</w:t>
      </w:r>
      <w:bookmarkEnd w:id="26"/>
      <w:bookmarkEnd w:id="27"/>
    </w:p>
    <w:tbl>
      <w:tblPr>
        <w:tblW w:w="1009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4001"/>
        <w:gridCol w:w="2695"/>
        <w:gridCol w:w="2688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49.41. Оказание услуг по предоставлению грузоподъемных механизмов с экипажем для нужд Воткинского филиала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  <w:lang w:val="en-US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keepNext w:val="true"/>
        <w:numPr>
          <w:ilvl w:val="1"/>
          <w:numId w:val="3"/>
        </w:numPr>
        <w:tabs>
          <w:tab w:val="clear" w:pos="709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200"/>
        <w:contextualSpacing/>
        <w:jc w:val="both"/>
        <w:outlineLvl w:val="1"/>
        <w:rPr>
          <w:rFonts w:eastAsia="Calibri"/>
          <w:b/>
          <w:bCs/>
          <w:sz w:val="24"/>
          <w:szCs w:val="24"/>
          <w:lang w:val="x-none" w:eastAsia="x-none"/>
        </w:rPr>
      </w:pPr>
      <w:bookmarkStart w:id="31" w:name="_Toc125982710"/>
      <w:bookmarkStart w:id="32" w:name="_Toc46743508_Копия_1"/>
      <w:bookmarkStart w:id="33" w:name="_Toc54646399_Копия_1"/>
      <w:bookmarkEnd w:id="32"/>
      <w:bookmarkEnd w:id="33"/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4"/>
          <w:szCs w:val="24"/>
          <w:lang w:eastAsia="x-none"/>
        </w:rPr>
        <w:t>качеству услуг</w:t>
      </w:r>
      <w:bookmarkEnd w:id="31"/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60"/>
        <w:ind w:left="426" w:hanging="426"/>
        <w:outlineLvl w:val="0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  <w:t>Таблица </w:t>
      </w:r>
      <w:r>
        <w:rPr>
          <w:rFonts w:eastAsia="Calibri"/>
          <w:b/>
          <w:sz w:val="24"/>
          <w:szCs w:val="24"/>
          <w:lang w:eastAsia="x-none"/>
        </w:rPr>
        <w:t>4</w:t>
      </w:r>
      <w:r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r>
        <w:rPr>
          <w:rFonts w:eastAsia="Calibri"/>
          <w:b/>
          <w:sz w:val="24"/>
          <w:szCs w:val="24"/>
          <w:lang w:eastAsia="x-none"/>
        </w:rPr>
        <w:t>качеству услуг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uppressAutoHyphens w:val="false"/>
        <w:rPr>
          <w:i/>
          <w:i/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i/>
          <w:color w:val="000000" w:themeColor="text1"/>
          <w:sz w:val="24"/>
          <w:szCs w:val="24"/>
        </w:rPr>
        <w:t xml:space="preserve">в соответствии с Таблицей 2 ТТ «Перечень оказываемых услуг» </w:t>
      </w:r>
    </w:p>
    <w:tbl>
      <w:tblPr>
        <w:tblStyle w:val="affffb"/>
        <w:tblW w:w="154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09"/>
        <w:gridCol w:w="4278"/>
        <w:gridCol w:w="10064"/>
      </w:tblGrid>
      <w:tr>
        <w:trPr>
          <w:trHeight w:val="562" w:hRule="atLeast"/>
        </w:trPr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услуги норм и правил нормативно-технических документов</w:t>
            </w:r>
          </w:p>
        </w:tc>
        <w:tc>
          <w:tcPr>
            <w:tcW w:w="1006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«Правила организации технического обслуживания и ремонта объектов электроэнергетики», зарегистрирован 26.03.2019; приказ Минэнерго России от 25.10.2017 №1013;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-Правила по охране труда при эксплуатации электроустановок», приказ Минтруда России от 15.12.2020 №903н;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-Приказ №461 от 26.11.2020 г.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Правила по охране труда на автомобильном транспорте (утв. приказом Минтруда России от 18.12.2020 №871н.</w:t>
            </w:r>
          </w:p>
        </w:tc>
      </w:tr>
      <w:tr>
        <w:trPr/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Документация, предоставляемая Исполнителем в соответствии с обязательными требованиями промышленной безопасности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</w:p>
        </w:tc>
        <w:tc>
          <w:tcPr>
            <w:tcW w:w="1006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свидетельство о регистрации опасного производственного объекта (включая приложения) (копия);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сведения характеризующие опасный производственной объект, в составе которого эксплуатируется предоставляемый автомобильный кран (копия, все страницы);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изготовителя предоставляемого автомобильного крана (копия, все страницы);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руководство (инструкция) по эксплуатации изготовителя предоставляемого автомобильного крана (копия, все страницы); 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внесенное в реестр Ростехнадзора заключение экспертизы промышленной безопасности с выводами о соответствии ПС требованиям промышленной безопасности (для автомобильного крана с истёкшим срок службы), (копия, все страницы);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страховой полис обязательного страхования гражданской ответственности владельца опасного объекта за причинение вреда в результате аварии в составе которых эксплуатируется предоставляемый грузоподъемный кран;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копии удостоверений, протоколов проверки знаний машинистов автомобильных кранов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использования ТС</w:t>
            </w:r>
          </w:p>
        </w:tc>
        <w:tc>
          <w:tcPr>
            <w:tcW w:w="1006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планирует использовать (применять) технику в соответствии с Таблицей 2 ТТ «Перечень оказываемых услуг» и продолжительностью применения, указанной в подаваемых заявках.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этом Заказчик оставляет за собой право исполнить договор не в полном объёме и не применять какую-либо из перечисленной техники в случае отсутствия необходимости.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и место оказания услуг</w:t>
            </w:r>
          </w:p>
        </w:tc>
        <w:tc>
          <w:tcPr>
            <w:tcW w:w="1006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Планируемый объем и место оказания услуг указывается в подаваемых Заказчиком в заявках. Минимальная продолжительность заявки – 2 часа.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1.2.1.</w:t>
            </w:r>
          </w:p>
        </w:tc>
        <w:tc>
          <w:tcPr>
            <w:tcW w:w="42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ТС, включая, расходы на заработную плату водителей (машинистов), оплату топлива, горюче-смазочных материалов и эксплуатационных жидкостей, оплату ремонта и запасных частей, налоговых пошлин, страховых сборов, штрафов, и иных расходов, возникающих в связи с эксплуатацией ТС в рамках Договора</w:t>
            </w:r>
          </w:p>
        </w:tc>
      </w:tr>
      <w:tr>
        <w:trPr/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применяемым при оказании услуг транспортным средствам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596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ранспортные средства и спецтехника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 предоставляться в исправном состоянии вместе с экипажем (водителями).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454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находиться в технически исправном состоянии и с необходимой документацией (в т.ч. путевым листом, вахтенным журналом).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быть укомплектованы необходимыми вспомогательными средствами: огнетушителем, аварийным знаком, аптечкой с медикаментами.</w:t>
            </w:r>
          </w:p>
        </w:tc>
      </w:tr>
      <w:tr>
        <w:trPr>
          <w:trHeight w:val="686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596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Учет времени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Учет времени эксплуатации ТС производится по факту отработанного времени, указанному в путевых листах, подписанных Заказчиком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596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услуг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считаются оказанными Исполнителем и принятыми Заказчиком с момента подписания Сторонами Акта сдачи-приемки Услуг с приложением путевых листов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596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документов по закупке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Акта сдачи-приемки Услуг должен быть предоставлен Исполнителем по окончании отчетного месяца, в котором были оказаны услуги в 2-х экземплярах с приложением путевых листов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596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представить Заказчику счет-фактуру в течение 5 (пяти) календарных дней с даты подписания Сторонами Акта сдачи-приемки Услуг</w:t>
            </w:r>
          </w:p>
        </w:tc>
      </w:tr>
      <w:tr>
        <w:trPr/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1156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Соблюдать Правила по охране труда на автомобильном транспорте (утв. приказом Минтруда России от 18.12.2020 №871н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Оформлять путевые листы в соответствии с требованиями Приказа № 390 от 28 сентября 2022 года Министерства транспорта Российской Федерации</w:t>
            </w:r>
          </w:p>
        </w:tc>
      </w:tr>
      <w:tr>
        <w:trPr>
          <w:trHeight w:val="1109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823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используемой для оказания услуг ТС в соответствии с настоящими техническими требованиями и действующими нормативными актами РФ.</w:t>
            </w:r>
          </w:p>
        </w:tc>
      </w:tr>
      <w:tr>
        <w:trPr>
          <w:trHeight w:val="1132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2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невозможности предоставления техники, согласованной в Заявке Исполнитель обязан незамедлительно уведомить об этом Заказчика и по согласованию с ним предоставить подменную технику с аналогичными техническими характеристиками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>
          <w:trHeight w:val="735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>
          <w:trHeight w:val="379" w:hRule="atLeast"/>
        </w:trPr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5.1.</w:t>
            </w:r>
          </w:p>
        </w:tc>
        <w:tc>
          <w:tcPr>
            <w:tcW w:w="42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для исполнения договора должен иметь ТС в собственности или на праве аренды</w:t>
            </w:r>
          </w:p>
        </w:tc>
      </w:tr>
      <w:tr>
        <w:trPr>
          <w:trHeight w:val="496" w:hRule="atLeast"/>
        </w:trPr>
        <w:tc>
          <w:tcPr>
            <w:tcW w:w="1109" w:type="dxa"/>
            <w:tcBorders/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143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>
          <w:trHeight w:val="673" w:hRule="atLeast"/>
        </w:trPr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6.1.</w:t>
            </w:r>
          </w:p>
        </w:tc>
        <w:tc>
          <w:tcPr>
            <w:tcW w:w="4278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за 1 маш/час (смену; км)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bookmarkStart w:id="34" w:name="_Toc125982018"/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По каждой единице ТС является фиксированной на протяжении всего срока действия договора</w:t>
            </w:r>
            <w:bookmarkEnd w:id="34"/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567" w:right="851" w:gutter="0" w:header="567" w:top="1134" w:footer="284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683128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9473F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9473F9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  <w:szCs w:val="28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982"/>
        </w:tabs>
        <w:ind w:left="2206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9"/>
        <w:tab w:val="left" w:pos="0" w:leader="none"/>
      </w:tabs>
      <w:spacing w:before="120" w:after="60"/>
      <w:ind w:left="794" w:hanging="51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b41520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a1545"/>
    <w:rPr>
      <w:sz w:val="28"/>
      <w:szCs w:val="28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Основной текст_"/>
    <w:link w:val="111"/>
    <w:uiPriority w:val="99"/>
    <w:qFormat/>
    <w:locked/>
    <w:rsid w:val="001419cf"/>
    <w:rPr>
      <w:sz w:val="28"/>
      <w:szCs w:val="28"/>
      <w:shd w:fill="FFFFFF" w:val="clear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2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66035"/>
    <w:pPr>
      <w:tabs>
        <w:tab w:val="clear" w:pos="709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pPr>
      <w:spacing w:before="0" w:after="200"/>
      <w:ind w:left="720" w:hanging="0"/>
      <w:contextualSpacing/>
    </w:pPr>
    <w:rPr/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b41520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111" w:customStyle="1">
    <w:name w:val="Основной текст1"/>
    <w:basedOn w:val="Normal"/>
    <w:link w:val="Style17"/>
    <w:uiPriority w:val="99"/>
    <w:qFormat/>
    <w:rsid w:val="001419cf"/>
    <w:pPr>
      <w:widowControl w:val="false"/>
      <w:shd w:val="clear" w:color="auto" w:fill="FFFFFF"/>
      <w:suppressAutoHyphens w:val="false"/>
      <w:spacing w:lineRule="exact" w:line="302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A17B0-E4D6-4FBA-81C4-32F4CFC5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AlterOffice/3.4.0.9$Linux_X86_64 LibreOffice_project/b8daf9e823b1a5463a2f48435ddc2e8696e7d4fc</Application>
  <AppVersion>15.0000</AppVersion>
  <Pages>8</Pages>
  <Words>1477</Words>
  <Characters>10198</Characters>
  <CharactersWithSpaces>12609</CharactersWithSpaces>
  <Paragraphs>197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2024-11-25T02:57:00Z</dcterms:created>
  <dc:creator>Быстров Олег Геннадьевич</dc:creator>
  <dc:description/>
  <dc:language>ru-RU</dc:language>
  <cp:lastModifiedBy>zavylovamv@corp.gidroogk.com</cp:lastModifiedBy>
  <cp:lastPrinted>2023-10-17T11:15:00Z</cp:lastPrinted>
  <dcterms:modified xsi:type="dcterms:W3CDTF">2026-08-04T16:40:44Z</dcterms:modified>
  <cp:revision>20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