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</w:rPr>
        <w:t xml:space="preserve">Технические требования </w:t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  <w:t xml:space="preserve">ОКПД2 49.41. Оказание услуги по предоставлению спецтехники с экипажем </w:t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  <w:t xml:space="preserve">для нужд Воткинского филиала </w:t>
      </w:r>
    </w:p>
    <w:p>
      <w:pPr>
        <w:pStyle w:val="Normal"/>
        <w:jc w:val="center"/>
        <w:rPr>
          <w:b/>
        </w:rPr>
      </w:pPr>
      <w:r>
        <w:rPr>
          <w:rFonts w:eastAsia="Calibri"/>
        </w:rPr>
        <w:t>лот 00</w:t>
      </w:r>
      <w:r>
        <w:rPr>
          <w:rFonts w:eastAsia="Calibri"/>
        </w:rPr>
        <w:t>__</w:t>
      </w:r>
      <w:r>
        <w:rPr>
          <w:rFonts w:eastAsia="Calibri"/>
        </w:rPr>
        <w:t>-РЕМ ДОХ-2026-ГРВКК-ВотФ</w:t>
      </w:r>
    </w:p>
    <w:p>
      <w:pPr>
        <w:pStyle w:val="Normal"/>
        <w:keepNext w:val="true"/>
        <w:keepLines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284"/>
              <w:tab w:val="left" w:pos="560" w:leader="none"/>
              <w:tab w:val="right" w:pos="9911" w:leader="dot"/>
            </w:tabs>
            <w:spacing w:before="120" w:after="120"/>
            <w:rPr/>
          </w:pPr>
          <w:r>
            <w:fldChar w:fldCharType="begin"/>
          </w:r>
          <w:r>
            <w:rPr>
              <w:webHidden/>
              <w:rStyle w:val="Style16"/>
              <w:vanish w:val="false"/>
            </w:rPr>
            <w:instrText xml:space="preserve"> TOC \z \o "1-4" \u \h</w:instrText>
          </w:r>
          <w:r>
            <w:rPr>
              <w:webHidden/>
              <w:rStyle w:val="Style16"/>
              <w:vanish w:val="false"/>
            </w:rPr>
            <w:fldChar w:fldCharType="separate"/>
          </w:r>
          <w:hyperlink w:anchor="_Toc54646395">
            <w:r>
              <w:rPr>
                <w:webHidden/>
                <w:rStyle w:val="Style16"/>
                <w:vanish w:val="false"/>
              </w:rPr>
              <w:t>1.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bCs w:val="false"/>
              </w:rPr>
              <w:tab/>
            </w:r>
            <w:r>
              <w:rPr>
                <w:rStyle w:val="Style16"/>
              </w:rPr>
              <w:t xml:space="preserve">Общие сведения                                                                                                                 </w:t>
            </w:r>
          </w:hyperlink>
          <w:hyperlink w:anchor="_Toc5464639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_Toc54646395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6"/>
                <w:vanish w:val="false"/>
              </w:rPr>
              <w:t xml:space="preserve"> </w:t>
            </w:r>
            <w:r>
              <w:rPr>
                <w:webHidden/>
              </w:rPr>
              <w:fldChar w:fldCharType="end"/>
            </w:r>
          </w:hyperlink>
          <w:hyperlink w:anchor="_Toc5464639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_Toc54646395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6"/>
                <w:vanish w:val="false"/>
              </w:rPr>
              <w:t xml:space="preserve"> </w:t>
            </w:r>
            <w:r>
              <w:rPr>
                <w:webHidden/>
              </w:rPr>
              <w:fldChar w:fldCharType="end"/>
            </w:r>
          </w:hyperlink>
          <w:hyperlink w:anchor="_Toc5464639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_Toc54646395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6"/>
                <w:vanish w:val="false"/>
              </w:rPr>
              <w:t xml:space="preserve">       </w:t>
            </w:r>
            <w:r>
              <w:rPr>
                <w:webHidden/>
              </w:rPr>
              <w:fldChar w:fldCharType="end"/>
            </w:r>
          </w:hyperlink>
          <w:r>
            <w:rPr/>
            <w:t>3</w:t>
          </w:r>
        </w:p>
        <w:p>
          <w:pPr>
            <w:pStyle w:val="TOC4"/>
            <w:spacing w:before="120" w:after="120"/>
            <w:rPr/>
          </w:pPr>
          <w:hyperlink w:anchor="_Toc54646396">
            <w:r>
              <w:rPr>
                <w:webHidden/>
                <w:rStyle w:val="Style16"/>
                <w:iCs/>
                <w:vanish w:val="false"/>
                <w:sz w:val="24"/>
                <w:szCs w:val="24"/>
              </w:rPr>
              <w:t>1.1.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_Toc54646396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4"/>
                <w:szCs w:val="24"/>
              </w:rPr>
              <w:t>Обозначения и сокращения                                                                                         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spacing w:before="120" w:after="120"/>
            <w:rPr/>
          </w:pPr>
          <w:hyperlink w:anchor="_Toc54646397">
            <w:r>
              <w:rPr>
                <w:webHidden/>
                <w:rStyle w:val="Style16"/>
                <w:iCs/>
                <w:vanish w:val="false"/>
                <w:sz w:val="24"/>
                <w:szCs w:val="24"/>
              </w:rPr>
              <w:t>1.2.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_Toc54646397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4"/>
                <w:szCs w:val="24"/>
              </w:rPr>
              <w:t>Наименование закупаемой продукции                                                                             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spacing w:before="120" w:after="120"/>
            <w:rPr/>
          </w:pPr>
          <w:hyperlink w:anchor="_Toc54646398">
            <w:r>
              <w:rPr>
                <w:webHidden/>
                <w:rStyle w:val="Style16"/>
                <w:iCs/>
                <w:vanish w:val="false"/>
                <w:sz w:val="24"/>
                <w:szCs w:val="24"/>
              </w:rPr>
              <w:t>1.3.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_Toc54646398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4"/>
                <w:szCs w:val="24"/>
              </w:rPr>
              <w:t>Цель оказания услуг                                                                                                           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Heading1"/>
            <w:tabs>
              <w:tab w:val="clear" w:pos="0"/>
            </w:tabs>
            <w:ind w:left="284" w:hanging="284"/>
            <w:rPr>
              <w:sz w:val="24"/>
              <w:szCs w:val="24"/>
            </w:rPr>
          </w:pPr>
          <w:r>
            <w:rPr>
              <w:rFonts w:eastAsia="Times New Roman" w:cs="Calibri" w:cstheme="minorHAnsi"/>
              <w:sz w:val="24"/>
              <w:szCs w:val="24"/>
              <w:lang w:val="ru-RU" w:eastAsia="ru-RU"/>
            </w:rPr>
            <w:t>Таблица 1. Перечень объектов заказчика                                                                                      4</w:t>
          </w:r>
        </w:p>
        <w:p>
          <w:pPr>
            <w:pStyle w:val="Normal"/>
            <w:rPr>
              <w:sz w:val="24"/>
              <w:szCs w:val="24"/>
            </w:rPr>
          </w:pPr>
          <w:r>
            <w:rPr>
              <w:sz w:val="24"/>
              <w:szCs w:val="24"/>
            </w:rPr>
            <w:t>1.4. Иные требования и сведения общего характера                                                                         4</w:t>
          </w:r>
        </w:p>
        <w:p>
          <w:pPr>
            <w:pStyle w:val="TOC1"/>
            <w:tabs>
              <w:tab w:val="clear" w:pos="284"/>
              <w:tab w:val="left" w:pos="560" w:leader="none"/>
              <w:tab w:val="right" w:pos="9911" w:leader="dot"/>
            </w:tabs>
            <w:spacing w:before="120" w:after="120"/>
            <w:rPr/>
          </w:pPr>
          <w:hyperlink w:anchor="_Toc54646403">
            <w:r>
              <w:rPr>
                <w:webHidden/>
                <w:rStyle w:val="Style16"/>
                <w:vanish w:val="false"/>
              </w:rPr>
              <w:t>2.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iCs/>
              </w:rPr>
              <w:t xml:space="preserve">Требования к продукции                                                                                                         5 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284"/>
              <w:tab w:val="left" w:pos="560" w:leader="none"/>
              <w:tab w:val="right" w:pos="9911" w:leader="dot"/>
            </w:tabs>
            <w:spacing w:before="120" w:after="120"/>
            <w:rPr/>
          </w:pPr>
          <w:hyperlink w:anchor="_Toc54646404">
            <w:r>
              <w:rPr>
                <w:webHidden/>
                <w:rStyle w:val="Style16"/>
                <w:iCs/>
                <w:vanish w:val="false"/>
              </w:rPr>
              <w:t>2.1.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</w:rPr>
              <w:t>Требования к объемам и срокам оказания услуг                                                                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Heading2"/>
            <w:tabs>
              <w:tab w:val="clear" w:pos="0"/>
            </w:tabs>
            <w:spacing w:before="120" w:after="120"/>
            <w:ind w:left="0" w:hanging="0"/>
            <w:rPr/>
          </w:pPr>
          <w:hyperlink w:anchor="_Toc54646409">
            <w:r>
              <w:rPr>
                <w:webHidden/>
                <w:rStyle w:val="Style16"/>
                <w:iCs/>
                <w:vanish w:val="false"/>
              </w:rPr>
              <w:t>2.2.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6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lang w:val="ru-RU"/>
              </w:rPr>
              <w:t xml:space="preserve">                                                                                 5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6"/>
              <w:lang w:val="ru-RU"/>
            </w:rPr>
            <w:fldChar w:fldCharType="end"/>
          </w:r>
        </w:p>
      </w:sdtContent>
    </w:sdt>
    <w:p>
      <w:pPr>
        <w:pStyle w:val="TOC4"/>
        <w:spacing w:before="120" w:after="120"/>
        <w:rPr>
          <w:sz w:val="24"/>
          <w:szCs w:val="24"/>
        </w:rPr>
      </w:pPr>
      <w:r>
        <w:rPr>
          <w:b/>
          <w:sz w:val="24"/>
          <w:szCs w:val="24"/>
        </w:rPr>
        <w:t>Таблица 2. Перечень и объем оказываемых услуг                                                                      5</w:t>
      </w:r>
    </w:p>
    <w:p>
      <w:pPr>
        <w:pStyle w:val="Heading1"/>
        <w:tabs>
          <w:tab w:val="clear" w:pos="0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r>
        <w:rPr>
          <w:sz w:val="24"/>
          <w:szCs w:val="24"/>
          <w:lang w:val="ru-RU"/>
        </w:rPr>
        <w:t>оказания услуг                                                                        5</w:t>
      </w:r>
    </w:p>
    <w:p>
      <w:pPr>
        <w:pStyle w:val="Normal"/>
        <w:keepNext w:val="true"/>
        <w:numPr>
          <w:ilvl w:val="0"/>
          <w:numId w:val="0"/>
        </w:numPr>
        <w:tabs>
          <w:tab w:val="clear" w:pos="284"/>
          <w:tab w:val="left" w:pos="0" w:leader="none"/>
          <w:tab w:val="left" w:pos="567" w:leader="none"/>
          <w:tab w:val="left" w:pos="851" w:leader="none"/>
        </w:tabs>
        <w:suppressAutoHyphens w:val="false"/>
        <w:spacing w:before="120" w:after="0"/>
        <w:jc w:val="both"/>
        <w:outlineLvl w:val="1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eastAsia="x-none"/>
        </w:rPr>
        <w:t xml:space="preserve">2.3. </w:t>
      </w:r>
      <w:r>
        <w:rPr>
          <w:rFonts w:eastAsia="Calibri"/>
          <w:b/>
          <w:bCs/>
          <w:sz w:val="24"/>
          <w:szCs w:val="24"/>
          <w:lang w:val="x-none" w:eastAsia="x-none"/>
        </w:rPr>
        <w:t xml:space="preserve">Требования к </w:t>
      </w:r>
      <w:r>
        <w:rPr>
          <w:rFonts w:eastAsia="Calibri"/>
          <w:b/>
          <w:bCs/>
          <w:sz w:val="24"/>
          <w:szCs w:val="24"/>
          <w:lang w:eastAsia="x-none"/>
        </w:rPr>
        <w:t>качеству услуг                                                                                                    6</w:t>
      </w:r>
    </w:p>
    <w:p>
      <w:pPr>
        <w:pStyle w:val="Normal"/>
        <w:keepNext w:val="true"/>
        <w:numPr>
          <w:ilvl w:val="0"/>
          <w:numId w:val="0"/>
        </w:numPr>
        <w:tabs>
          <w:tab w:val="clear" w:pos="284"/>
          <w:tab w:val="left" w:pos="0" w:leader="none"/>
          <w:tab w:val="left" w:pos="567" w:leader="none"/>
          <w:tab w:val="left" w:pos="851" w:leader="none"/>
        </w:tabs>
        <w:suppressAutoHyphens w:val="false"/>
        <w:spacing w:before="120" w:after="0"/>
        <w:jc w:val="both"/>
        <w:outlineLvl w:val="1"/>
        <w:rPr>
          <w:sz w:val="24"/>
          <w:szCs w:val="24"/>
        </w:rPr>
      </w:pPr>
      <w:r>
        <w:rPr>
          <w:b/>
          <w:sz w:val="24"/>
          <w:szCs w:val="24"/>
        </w:rPr>
        <w:t>Таблица 4. Требования к качеству услуг                                                                                      6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eastAsia="新細明體" w:eastAsiaTheme="minorEastAsia"/>
        </w:rPr>
      </w:pPr>
      <w:r>
        <w:rPr>
          <w:rFonts w:eastAsia="新細明體" w:eastAsiaTheme="minorEastAsia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54646395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46743505"/>
      <w:bookmarkStart w:id="3" w:name="_Toc54646396"/>
      <w:r>
        <w:rPr/>
        <w:t>Обозначения и сокращения</w:t>
      </w:r>
      <w:bookmarkEnd w:id="2"/>
      <w:bookmarkEnd w:id="3"/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426" w:leader="none"/>
              </w:tabs>
              <w:spacing w:before="120" w:after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ГСМ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426" w:leader="none"/>
              </w:tabs>
              <w:spacing w:before="120" w:after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Горюче-смазочные материалы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1"/>
              <w:widowControl w:val="false"/>
              <w:shd w:val="clear" w:color="auto" w:fill="auto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11"/>
              <w:widowControl w:val="false"/>
              <w:shd w:val="clear" w:color="auto" w:fill="auto"/>
              <w:spacing w:lineRule="auto" w:line="2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426" w:leader="none"/>
              </w:tabs>
              <w:spacing w:before="1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426" w:leader="none"/>
              </w:tabs>
              <w:spacing w:before="12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426" w:leader="none"/>
              </w:tabs>
              <w:spacing w:before="1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426" w:leader="none"/>
              </w:tabs>
              <w:spacing w:before="12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>
          <w:lang w:val="ru-RU"/>
        </w:rPr>
      </w:pPr>
      <w:bookmarkStart w:id="4" w:name="_Toc54646397"/>
      <w:r>
        <w:rPr/>
        <w:t>Наименование закупаемой продукци</w:t>
      </w:r>
      <w:bookmarkEnd w:id="4"/>
      <w:r>
        <w:rPr/>
        <w:t>и</w:t>
      </w:r>
    </w:p>
    <w:p>
      <w:pPr>
        <w:pStyle w:val="Normal"/>
        <w:ind w:left="432" w:hanging="0"/>
        <w:jc w:val="both"/>
        <w:rPr>
          <w:lang w:eastAsia="x-none"/>
        </w:rPr>
      </w:pPr>
      <w:r>
        <w:rPr>
          <w:sz w:val="24"/>
          <w:szCs w:val="24"/>
        </w:rPr>
        <w:t>ОКПД2 49.41. Оказание услуг по предоставлению спецтехники с экипажем</w:t>
      </w:r>
      <w:r>
        <w:rPr>
          <w:sz w:val="24"/>
          <w:szCs w:val="24"/>
          <w:lang w:eastAsia="x-none"/>
        </w:rPr>
        <w:t xml:space="preserve"> </w:t>
      </w:r>
      <w:r>
        <w:rPr>
          <w:rFonts w:eastAsia="Calibri"/>
          <w:sz w:val="24"/>
          <w:szCs w:val="24"/>
          <w:lang w:eastAsia="x-none"/>
        </w:rPr>
        <w:t>для нужд Воткинского филиала.</w:t>
      </w:r>
    </w:p>
    <w:p>
      <w:pPr>
        <w:pStyle w:val="Heading4"/>
        <w:numPr>
          <w:ilvl w:val="1"/>
          <w:numId w:val="3"/>
        </w:numPr>
        <w:rPr/>
      </w:pPr>
      <w:bookmarkStart w:id="5" w:name="_Toc46743507"/>
      <w:bookmarkStart w:id="6" w:name="_Toc75446569"/>
      <w:r>
        <w:rPr/>
        <w:t xml:space="preserve">Цель </w:t>
      </w:r>
      <w:bookmarkEnd w:id="5"/>
      <w:bookmarkEnd w:id="6"/>
      <w:r>
        <w:rPr>
          <w:lang w:val="ru-RU"/>
        </w:rPr>
        <w:t>оказания услуг</w:t>
      </w:r>
    </w:p>
    <w:p>
      <w:pPr>
        <w:pStyle w:val="Normal"/>
        <w:tabs>
          <w:tab w:val="clear" w:pos="284"/>
          <w:tab w:val="left" w:pos="993" w:leader="none"/>
        </w:tabs>
        <w:ind w:left="57" w:hanging="57"/>
        <w:jc w:val="both"/>
        <w:rPr>
          <w:sz w:val="24"/>
          <w:szCs w:val="24"/>
        </w:rPr>
      </w:pPr>
      <w:r>
        <w:rPr>
          <w:sz w:val="24"/>
          <w:szCs w:val="24"/>
        </w:rPr>
        <w:t>Оказание услуг по предоставлению спецтехники с экипажем для выполнения работ на объектах Заказчика ПАО «РусГидро»-«Камская ГЭС» по договорам:</w:t>
      </w:r>
    </w:p>
    <w:p>
      <w:pPr>
        <w:pStyle w:val="Normal"/>
        <w:tabs>
          <w:tab w:val="clear" w:pos="284"/>
          <w:tab w:val="left" w:pos="993" w:leader="none"/>
        </w:tabs>
        <w:ind w:left="57" w:hanging="57"/>
        <w:jc w:val="both"/>
        <w:rPr>
          <w:sz w:val="24"/>
          <w:szCs w:val="24"/>
        </w:rPr>
      </w:pPr>
      <w:r>
        <w:rPr>
          <w:iCs/>
          <w:color w:val="000000" w:themeColor="text1"/>
          <w:sz w:val="24"/>
          <w:szCs w:val="24"/>
        </w:rPr>
        <w:t>1180-267-2023 от 02.11.2023 г «</w:t>
      </w:r>
      <w:r>
        <w:rPr>
          <w:sz w:val="24"/>
          <w:szCs w:val="24"/>
        </w:rPr>
        <w:t>Капитальный и текущий ремонт оборудования, зданий, сооружений»;</w:t>
      </w:r>
    </w:p>
    <w:p>
      <w:pPr>
        <w:pStyle w:val="Normal"/>
        <w:tabs>
          <w:tab w:val="clear" w:pos="284"/>
          <w:tab w:val="left" w:pos="993" w:leader="none"/>
        </w:tabs>
        <w:ind w:left="57" w:hanging="57"/>
        <w:jc w:val="both"/>
        <w:rPr>
          <w:sz w:val="24"/>
          <w:szCs w:val="24"/>
        </w:rPr>
      </w:pPr>
      <w:r>
        <w:rPr>
          <w:iCs/>
          <w:color w:val="000000" w:themeColor="text1"/>
          <w:sz w:val="24"/>
          <w:szCs w:val="24"/>
        </w:rPr>
        <w:t>1180-336-2023 от 27.12.2023 г «Техническое</w:t>
      </w:r>
      <w:r>
        <w:rPr>
          <w:sz w:val="24"/>
          <w:szCs w:val="24"/>
        </w:rPr>
        <w:t xml:space="preserve"> обслуживание оборудования, зданий, сооружений филиала»;</w:t>
      </w:r>
    </w:p>
    <w:p>
      <w:pPr>
        <w:pStyle w:val="Heading1"/>
        <w:tabs>
          <w:tab w:val="clear" w:pos="0"/>
        </w:tabs>
        <w:ind w:left="284" w:hanging="284"/>
        <w:rPr>
          <w:rStyle w:val="Style8"/>
          <w:b/>
          <w:bCs/>
          <w:color w:val="000000" w:themeColor="text1"/>
          <w:sz w:val="24"/>
          <w:szCs w:val="24"/>
        </w:rPr>
      </w:pPr>
      <w:bookmarkStart w:id="7" w:name="_Toc125982700"/>
      <w:bookmarkStart w:id="8" w:name="_Toc46743508"/>
      <w:bookmarkStart w:id="9" w:name="_Toc54646399"/>
      <w:bookmarkEnd w:id="8"/>
      <w:bookmarkEnd w:id="9"/>
      <w:r>
        <w:rPr>
          <w:sz w:val="24"/>
          <w:szCs w:val="24"/>
        </w:rPr>
        <w:t>Таблица 1. Перечень объектов заказчика.</w:t>
      </w:r>
      <w:bookmarkEnd w:id="7"/>
    </w:p>
    <w:tbl>
      <w:tblPr>
        <w:tblW w:w="1017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63"/>
        <w:gridCol w:w="2127"/>
        <w:gridCol w:w="2839"/>
        <w:gridCol w:w="3118"/>
        <w:gridCol w:w="1526"/>
      </w:tblGrid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ind w:hanging="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Расположение объекта</w:t>
              <w:br/>
            </w:r>
            <w:r>
              <w:rPr>
                <w:i/>
                <w:iCs/>
                <w:color w:val="000000" w:themeColor="text1"/>
                <w:sz w:val="24"/>
                <w:szCs w:val="24"/>
              </w:rPr>
              <w:t>(место оказания услуг)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5" w:hanging="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>
        <w:trPr>
          <w:trHeight w:val="881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before="0" w:after="200"/>
              <w:ind w:left="284" w:hanging="279"/>
              <w:contextualSpacing/>
              <w:rPr>
                <w:i/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73" w:hanging="6"/>
              <w:rPr>
                <w:i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Филиал ПАО «РусГидро»- «Камская ГЭС»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284"/>
                <w:tab w:val="left" w:pos="709" w:leader="none"/>
              </w:tabs>
              <w:spacing w:before="0" w:after="0"/>
              <w:contextualSpacing/>
              <w:jc w:val="both"/>
              <w:rPr>
                <w:i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РФ, </w:t>
            </w:r>
            <w:r>
              <w:rPr>
                <w:rStyle w:val="Style8"/>
                <w:b w:val="false"/>
                <w:i w:val="false"/>
                <w:color w:val="000000"/>
                <w:sz w:val="24"/>
                <w:szCs w:val="24"/>
                <w:shd w:fill="FFFFFF" w:val="clear"/>
              </w:rPr>
              <w:t>Пермский край, г.Пермь, филиал ПАО «РусГидро»- «Камская ГЭС».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6"/>
              <w:rPr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iCs/>
                <w:color w:val="000000"/>
                <w:sz w:val="24"/>
                <w:szCs w:val="24"/>
              </w:rPr>
              <w:t>Выполнение работ по доходным Договорам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84" w:hanging="6"/>
              <w:jc w:val="center"/>
              <w:rPr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10" w:name="_Toc125982701"/>
      <w:bookmarkStart w:id="11" w:name="_Toc54643701"/>
      <w:r>
        <w:rPr/>
        <w:t>Иные требования и сведения общего характера</w:t>
      </w:r>
      <w:bookmarkEnd w:id="11"/>
      <w:r>
        <w:rPr/>
        <w:t>.</w:t>
      </w:r>
      <w:bookmarkEnd w:id="10"/>
    </w:p>
    <w:p>
      <w:pPr>
        <w:pStyle w:val="Normal"/>
        <w:tabs>
          <w:tab w:val="clear" w:pos="284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планирует использовать (применять) технику в соответствии с номенклатурой (согласно п. 2.1. настоящих Технических требований) и продолжительностью применения, указанных в подаваемых заявках Заказчика. При этом Заказчик оставляет за собой право исполнить договор не в полном объёме и не применять какую-либо единицу техники в соответствии с номенклатурой (согласно п.2.1.) в случае отсутствия необходимости. </w:t>
      </w:r>
    </w:p>
    <w:p>
      <w:pPr>
        <w:pStyle w:val="Normal"/>
        <w:tabs>
          <w:tab w:val="clear" w:pos="284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Стоимость машино-часа является фиксированной и постоянной на протяжении всего срока действия договора. </w:t>
      </w:r>
    </w:p>
    <w:p>
      <w:pPr>
        <w:pStyle w:val="Normal"/>
        <w:tabs>
          <w:tab w:val="clear" w:pos="284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  <w:t>При использовании техники в электроустановках (ОРУ, освещение, охранная зона ВЛ и т.п.) у водителей-операторов необходимо наличие удостоверения по электробезопасности не ниже второй группы согласно Правилам по охране труда при эксплуатации электроустановок.</w:t>
      </w:r>
    </w:p>
    <w:p>
      <w:pPr>
        <w:pStyle w:val="Normal"/>
        <w:tabs>
          <w:tab w:val="clear" w:pos="284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обязан нести все расходы, связанные с эксплуатацией спецтехники,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спецтехники, оплату стоимости налоговых пошлин, страховых сборов, оплату штрафов, и иных расходов, возникающих в связи с эксплуатацией спецтехники.</w:t>
      </w:r>
    </w:p>
    <w:p>
      <w:pPr>
        <w:pStyle w:val="Normal"/>
        <w:tabs>
          <w:tab w:val="clear" w:pos="284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  <w:t>Предоставляемая техника должна находиться в технически исправном состоянии с заправкой ГСМ и необходимой документацией (в т.ч. путевым листом), укомплектованная необходимыми вспомогательными средствами: огнетушителем, аварийным знаком, аптечкой с медикаментами, в соответствии с согласованными Сторонами в Заявке временем и местом подачи. Исполнитель несет ответственность за техническое состояние техники. Исполнитель должен обеспечить соблюдение водителями (машинистами) правил и инструкций по охране труда, безопасности дорожного движения, пожарной и электробезопасности во время оказания услуг. Исполнитель несет ответственность за соблюдение действующих норм и правил при работе с ГПМ.</w:t>
      </w:r>
    </w:p>
    <w:p>
      <w:pPr>
        <w:pStyle w:val="Normal"/>
        <w:tabs>
          <w:tab w:val="clear" w:pos="284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обязан при невозможности предоставления спецтехники, согласованной в Заявке (ДТП, постановка в ремонт / на техническое обслуживание, угон ТС, иные причины) незамедлительно уведомить об этом Заказчика и по согласованию с Заказчиком предоставить подменную спецтехнику с аналогичными техническими характеристиками, соответствующими условиям Договора и на условиях, согласованных в Заявках. Время простоя, по причине неисправной техники, не оплачивается.</w:t>
      </w:r>
    </w:p>
    <w:p>
      <w:pPr>
        <w:pStyle w:val="Normal"/>
        <w:tabs>
          <w:tab w:val="clear" w:pos="284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Лица, управляющие техникой, должны иметь действующие квалификационные удостоверения на работу с техникой в действующих электроустановках и водительское удостоверение с разрешенной категорией. </w:t>
      </w:r>
    </w:p>
    <w:p>
      <w:pPr>
        <w:pStyle w:val="Normal"/>
        <w:tabs>
          <w:tab w:val="clear" w:pos="284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должен соблюдать требования технологической, производственной и трудовой дисциплины.</w:t>
      </w:r>
    </w:p>
    <w:p>
      <w:pPr>
        <w:pStyle w:val="Normal"/>
        <w:tabs>
          <w:tab w:val="clear" w:pos="284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должен соблюдать законодательство РФ при эксплуатации, обслуживании и предоставлении транспортных средств, подъемных сооружении и т.д. указанных в п.2.1. данных технических требований.</w:t>
      </w:r>
    </w:p>
    <w:p>
      <w:pPr>
        <w:pStyle w:val="Normal"/>
        <w:tabs>
          <w:tab w:val="clear" w:pos="284"/>
          <w:tab w:val="left" w:pos="993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0" w:hanging="0"/>
        <w:rPr>
          <w:caps/>
          <w:lang w:val="ru-RU"/>
        </w:rPr>
      </w:pPr>
      <w:bookmarkStart w:id="12" w:name="_Toc546437021"/>
      <w:bookmarkStart w:id="13" w:name="_Toc513396931"/>
      <w:bookmarkStart w:id="14" w:name="_Toc125982704"/>
      <w:r>
        <w:rPr>
          <w:lang w:val="ru-RU"/>
        </w:rPr>
        <w:t>Требования</w:t>
      </w:r>
      <w:r>
        <w:rPr/>
        <w:t xml:space="preserve"> к продукции</w:t>
      </w:r>
      <w:bookmarkEnd w:id="12"/>
      <w:bookmarkEnd w:id="13"/>
      <w:bookmarkEnd w:id="14"/>
    </w:p>
    <w:p>
      <w:pPr>
        <w:pStyle w:val="Heading2"/>
        <w:numPr>
          <w:ilvl w:val="1"/>
          <w:numId w:val="3"/>
        </w:numPr>
        <w:rPr/>
      </w:pPr>
      <w:bookmarkStart w:id="15" w:name="_Toc546437031"/>
      <w:bookmarkStart w:id="16" w:name="_Toc125982705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5"/>
      <w:bookmarkEnd w:id="16"/>
    </w:p>
    <w:p>
      <w:pPr>
        <w:pStyle w:val="Heading2"/>
        <w:numPr>
          <w:ilvl w:val="1"/>
          <w:numId w:val="3"/>
        </w:numPr>
        <w:rPr>
          <w:lang w:val="ru-RU"/>
        </w:rPr>
      </w:pPr>
      <w:bookmarkStart w:id="17" w:name="_Toc546437041"/>
      <w:bookmarkStart w:id="18" w:name="_Toc125982706"/>
      <w:r>
        <w:rPr/>
        <w:t>Требования к перечню и объему услуг</w:t>
      </w:r>
      <w:bookmarkEnd w:id="17"/>
      <w:bookmarkEnd w:id="18"/>
    </w:p>
    <w:p>
      <w:pPr>
        <w:pStyle w:val="Heading1"/>
        <w:tabs>
          <w:tab w:val="clear" w:pos="0"/>
        </w:tabs>
        <w:ind w:left="426" w:hanging="426"/>
        <w:rPr>
          <w:sz w:val="24"/>
          <w:szCs w:val="24"/>
        </w:rPr>
      </w:pPr>
      <w:bookmarkStart w:id="19" w:name="_Toc546437051"/>
      <w:bookmarkStart w:id="20" w:name="_Toc125982707"/>
      <w:bookmarkStart w:id="21" w:name="_Toc51339695"/>
      <w:r>
        <w:rPr>
          <w:sz w:val="24"/>
          <w:szCs w:val="24"/>
        </w:rPr>
        <w:t xml:space="preserve">Таблица 2. Перечень </w:t>
      </w:r>
      <w:bookmarkEnd w:id="21"/>
      <w:r>
        <w:rPr>
          <w:sz w:val="24"/>
          <w:szCs w:val="24"/>
        </w:rPr>
        <w:t>и объем оказываемых услуг</w:t>
      </w:r>
      <w:bookmarkEnd w:id="19"/>
      <w:bookmarkEnd w:id="20"/>
    </w:p>
    <w:tbl>
      <w:tblPr>
        <w:tblW w:w="992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11"/>
        <w:gridCol w:w="2124"/>
        <w:gridCol w:w="4708"/>
        <w:gridCol w:w="2379"/>
      </w:tblGrid>
      <w:tr>
        <w:trPr>
          <w:trHeight w:val="725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техники</w:t>
            </w:r>
          </w:p>
          <w:p>
            <w:pPr>
              <w:pStyle w:val="Normal"/>
              <w:widowControl w:val="false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характеристикам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left" w:pos="284" w:leader="none"/>
                <w:tab w:val="left" w:pos="426" w:leader="none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Планируемое количество работы (кол-во единиц)</w:t>
            </w:r>
          </w:p>
        </w:tc>
      </w:tr>
      <w:tr>
        <w:trPr>
          <w:trHeight w:val="351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478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Самосвал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Грузоподъемность 10 т.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Перемещение груза весом 10 т.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478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Самосвал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Грузоподъемность 15 т.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Перемещение груза весом 15 т.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478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Самосвал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Грузоподъемность 30 т.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Перемещение груза весом 30 т.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478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Ассенизаторская машина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Вместимость цистерны (10м3)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478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Прочистная машина (канало-</w:t>
            </w:r>
            <w:r>
              <w:rPr>
                <w:sz w:val="24"/>
                <w:szCs w:val="24"/>
              </w:rPr>
              <w:t>пробивная)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Вместимость цистерны (10м3)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478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Экскаватор погрузчик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Грузоподъемность 2т. Перемещение груза весом 2т.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false"/>
              <w:spacing w:before="0" w:after="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  <w:bookmarkStart w:id="22" w:name="_GoBack"/>
      <w:bookmarkStart w:id="23" w:name="_GoBack"/>
      <w:bookmarkEnd w:id="23"/>
    </w:p>
    <w:p>
      <w:pPr>
        <w:pStyle w:val="Heading1"/>
        <w:rPr>
          <w:sz w:val="24"/>
          <w:szCs w:val="24"/>
        </w:rPr>
      </w:pPr>
      <w:bookmarkStart w:id="24" w:name="_Toc125982708"/>
      <w:r>
        <w:rPr>
          <w:sz w:val="24"/>
          <w:szCs w:val="24"/>
        </w:rPr>
        <w:t>Требования к срокам оказания услуг</w:t>
      </w:r>
      <w:bookmarkEnd w:id="24"/>
    </w:p>
    <w:p>
      <w:pPr>
        <w:pStyle w:val="Heading1"/>
        <w:tabs>
          <w:tab w:val="clear" w:pos="0"/>
        </w:tabs>
        <w:ind w:left="426" w:hanging="426"/>
        <w:rPr>
          <w:sz w:val="24"/>
          <w:szCs w:val="24"/>
          <w:lang w:val="ru-RU"/>
        </w:rPr>
      </w:pPr>
      <w:bookmarkStart w:id="25" w:name="_Toc54643707"/>
      <w:bookmarkStart w:id="26" w:name="_Toc125982709"/>
      <w:bookmarkStart w:id="27" w:name="_Toc501251271"/>
      <w:bookmarkStart w:id="28" w:name="_Toc51339697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9" w:name="_Hlk504652841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7"/>
      <w:bookmarkEnd w:id="28"/>
      <w:bookmarkEnd w:id="29"/>
      <w:r>
        <w:rPr>
          <w:sz w:val="24"/>
          <w:szCs w:val="24"/>
          <w:lang w:val="ru-RU"/>
        </w:rPr>
        <w:t>оказания услуг</w:t>
      </w:r>
      <w:bookmarkEnd w:id="25"/>
      <w:bookmarkEnd w:id="26"/>
    </w:p>
    <w:tbl>
      <w:tblPr>
        <w:tblW w:w="1009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8"/>
        <w:gridCol w:w="4000"/>
        <w:gridCol w:w="2694"/>
        <w:gridCol w:w="2690"/>
      </w:tblGrid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0" w:after="0"/>
              <w:ind w:left="0" w:hanging="0"/>
              <w:contextualSpacing/>
              <w:jc w:val="center"/>
              <w:rPr/>
            </w:pPr>
            <w:r>
              <w:rPr/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услуг по предоставлению транспортного средства с экипажем </w:t>
            </w:r>
            <w:r>
              <w:rPr>
                <w:rFonts w:eastAsia="Calibri"/>
                <w:sz w:val="24"/>
                <w:szCs w:val="24"/>
              </w:rPr>
              <w:t>для нужд Воткинского филиала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</w:rPr>
              <w:t>.2026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first" r:id="rId5"/>
          <w:type w:val="nextPage"/>
          <w:pgSz w:w="11906" w:h="16838"/>
          <w:pgMar w:left="1134" w:right="851" w:gutter="0" w:header="680" w:top="1134" w:footer="737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ListParagraph"/>
        <w:keepNext w:val="true"/>
        <w:numPr>
          <w:ilvl w:val="1"/>
          <w:numId w:val="3"/>
        </w:numPr>
        <w:tabs>
          <w:tab w:val="clear" w:pos="284"/>
          <w:tab w:val="left" w:pos="0" w:leader="none"/>
          <w:tab w:val="left" w:pos="567" w:leader="none"/>
          <w:tab w:val="left" w:pos="851" w:leader="none"/>
        </w:tabs>
        <w:suppressAutoHyphens w:val="false"/>
        <w:spacing w:before="120" w:after="200"/>
        <w:contextualSpacing/>
        <w:jc w:val="both"/>
        <w:outlineLvl w:val="1"/>
        <w:rPr>
          <w:rFonts w:eastAsia="Calibri"/>
          <w:b/>
          <w:bCs/>
          <w:sz w:val="24"/>
          <w:szCs w:val="24"/>
          <w:lang w:val="x-none" w:eastAsia="x-none"/>
        </w:rPr>
      </w:pPr>
      <w:bookmarkStart w:id="30" w:name="_Toc125982710"/>
      <w:bookmarkStart w:id="31" w:name="_Toc46743508_Копия_1"/>
      <w:bookmarkStart w:id="32" w:name="_Toc54646399_Копия_1"/>
      <w:bookmarkEnd w:id="31"/>
      <w:bookmarkEnd w:id="32"/>
      <w:r>
        <w:rPr>
          <w:rFonts w:eastAsia="Calibri"/>
          <w:b/>
          <w:bCs/>
          <w:sz w:val="24"/>
          <w:szCs w:val="24"/>
          <w:lang w:val="x-none" w:eastAsia="x-none"/>
        </w:rPr>
        <w:t xml:space="preserve">Требования к </w:t>
      </w:r>
      <w:r>
        <w:rPr>
          <w:rFonts w:eastAsia="Calibri"/>
          <w:b/>
          <w:bCs/>
          <w:sz w:val="24"/>
          <w:szCs w:val="24"/>
          <w:lang w:eastAsia="x-none"/>
        </w:rPr>
        <w:t>качеству услуг</w:t>
      </w:r>
      <w:bookmarkEnd w:id="30"/>
    </w:p>
    <w:p>
      <w:pPr>
        <w:pStyle w:val="Normal"/>
        <w:keepNext w:val="true"/>
        <w:numPr>
          <w:ilvl w:val="0"/>
          <w:numId w:val="0"/>
        </w:numPr>
        <w:tabs>
          <w:tab w:val="clear" w:pos="284"/>
          <w:tab w:val="left" w:pos="0" w:leader="none"/>
          <w:tab w:val="left" w:pos="567" w:leader="none"/>
          <w:tab w:val="left" w:pos="851" w:leader="none"/>
        </w:tabs>
        <w:suppressAutoHyphens w:val="false"/>
        <w:spacing w:before="120" w:after="60"/>
        <w:ind w:left="426" w:hanging="426"/>
        <w:outlineLvl w:val="0"/>
        <w:rPr>
          <w:rFonts w:eastAsia="Calibri"/>
          <w:b/>
          <w:sz w:val="24"/>
          <w:szCs w:val="24"/>
          <w:lang w:val="x-none" w:eastAsia="x-none"/>
        </w:rPr>
      </w:pPr>
      <w:r>
        <w:rPr>
          <w:rFonts w:eastAsia="Calibri"/>
          <w:b/>
          <w:sz w:val="24"/>
          <w:szCs w:val="24"/>
          <w:lang w:val="x-none" w:eastAsia="x-none"/>
        </w:rPr>
        <w:t>Таблица </w:t>
      </w:r>
      <w:r>
        <w:rPr>
          <w:rFonts w:eastAsia="Calibri"/>
          <w:b/>
          <w:sz w:val="24"/>
          <w:szCs w:val="24"/>
          <w:lang w:eastAsia="x-none"/>
        </w:rPr>
        <w:t>4</w:t>
      </w:r>
      <w:r>
        <w:rPr>
          <w:rFonts w:eastAsia="Calibri"/>
          <w:b/>
          <w:sz w:val="24"/>
          <w:szCs w:val="24"/>
          <w:lang w:val="x-none" w:eastAsia="x-none"/>
        </w:rPr>
        <w:t xml:space="preserve">. Требования к </w:t>
      </w:r>
      <w:r>
        <w:rPr>
          <w:rFonts w:eastAsia="Calibri"/>
          <w:b/>
          <w:sz w:val="24"/>
          <w:szCs w:val="24"/>
          <w:lang w:eastAsia="x-none"/>
        </w:rPr>
        <w:t>качеству услуг</w:t>
      </w:r>
      <w:r>
        <w:rPr>
          <w:rFonts w:eastAsia="Calibri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suppressAutoHyphens w:val="false"/>
        <w:rPr>
          <w:i/>
          <w:i/>
          <w:iCs/>
          <w:sz w:val="24"/>
          <w:szCs w:val="24"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услуг: </w:t>
      </w:r>
      <w:r>
        <w:rPr>
          <w:i/>
          <w:color w:val="000000" w:themeColor="text1"/>
          <w:sz w:val="24"/>
          <w:szCs w:val="24"/>
        </w:rPr>
        <w:t xml:space="preserve">в соответствии с Таблицей 2 ТТ «Перечень оказываемых услуг» </w:t>
      </w:r>
    </w:p>
    <w:tbl>
      <w:tblPr>
        <w:tblStyle w:val="affffa"/>
        <w:tblW w:w="1542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22"/>
        <w:gridCol w:w="2427"/>
        <w:gridCol w:w="1908"/>
        <w:gridCol w:w="10065"/>
      </w:tblGrid>
      <w:tr>
        <w:trPr>
          <w:trHeight w:val="322" w:hRule="atLeast"/>
        </w:trPr>
        <w:tc>
          <w:tcPr>
            <w:tcW w:w="102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335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006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276" w:hRule="atLeast"/>
        </w:trPr>
        <w:tc>
          <w:tcPr>
            <w:tcW w:w="102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35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06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10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33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00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40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1440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</w:tr>
      <w:tr>
        <w:trPr/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33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Соблюдение при оказании услуги норм и правил нормативно-технических документов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06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«Правила организации технического обслуживания и ремонта объектов электроэнергетики», зарегистрирован 26.03.2019; приказ Минэнерго России от 25.10.2017 №1013;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-Правила по охране труда при эксплуатации электроустановок», приказ Минтруда России от 15.12.2020 №903н;</w:t>
            </w:r>
          </w:p>
          <w:p>
            <w:pPr>
              <w:pStyle w:val="Normal"/>
              <w:widowControl w:val="false"/>
              <w:tabs>
                <w:tab w:val="clear" w:pos="284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Правила по охране труда на автомобильном транспорте (утв. приказом Минтруда России от 18.12.2020 №871н.</w:t>
            </w:r>
          </w:p>
        </w:tc>
      </w:tr>
      <w:tr>
        <w:trPr/>
        <w:tc>
          <w:tcPr>
            <w:tcW w:w="102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335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использования</w:t>
            </w:r>
          </w:p>
        </w:tc>
        <w:tc>
          <w:tcPr>
            <w:tcW w:w="1006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Заказчик планирует использовать (применять) технику в соответствии с Таблицей 2 ТТ «Перечень оказываемых услуг» и продолжительностью применения, указанной в подаваемых заявках.</w:t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этом Заказчик оставляет за собой право исполнить договор не в полном объёме и не применять какую-либо из перечисленной техники в случае отсутствия необходимости.</w:t>
            </w:r>
          </w:p>
        </w:tc>
      </w:tr>
      <w:tr>
        <w:trPr/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33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и место оказания услуг</w:t>
            </w:r>
          </w:p>
        </w:tc>
        <w:tc>
          <w:tcPr>
            <w:tcW w:w="1006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планируемый объем и место оказания услуг указывается в подаваемых Заказчиком в заявках. Минимальная продолжительность заявки – 2 часа.</w:t>
            </w:r>
          </w:p>
        </w:tc>
      </w:tr>
      <w:tr>
        <w:trPr/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40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102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1.2.1.</w:t>
            </w:r>
          </w:p>
        </w:tc>
        <w:tc>
          <w:tcPr>
            <w:tcW w:w="433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100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нести все расходы, связанные с эксплуатацией ТС, включая, расходы на заработную плату водителей (машинистов), оплату топлива, горюче-смазочных материалов и эксплуатационных жидкостей, оплату ремонта и запасных частей, налоговых пошлин, страховых сборов, штрафов, и иных расходов, возникающих в связи с эксплуатацией ТС в рамках Договора</w:t>
            </w:r>
          </w:p>
        </w:tc>
      </w:tr>
      <w:tr>
        <w:trPr/>
        <w:tc>
          <w:tcPr>
            <w:tcW w:w="102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40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0"/>
                <w:lang w:val="ru-RU" w:eastAsia="ru-RU" w:bidi="ar-SA"/>
              </w:rPr>
              <w:t>Требования к применяемым при оказании услуг транспортным средствам</w:t>
            </w:r>
          </w:p>
        </w:tc>
      </w:tr>
      <w:tr>
        <w:trPr/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335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Транспортные средства и спецтехника</w:t>
            </w:r>
          </w:p>
        </w:tc>
        <w:tc>
          <w:tcPr>
            <w:tcW w:w="100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должны предоставляться в исправном состоянии вместе с экипажем (водителями).</w:t>
            </w:r>
          </w:p>
        </w:tc>
      </w:tr>
      <w:tr>
        <w:trPr/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335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0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должны: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находиться в технически исправном состоянии и с необходимой документацией (в т.ч. путевым листом).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быть укомплектованы необходимыми вспомогательными средствами: огнетушителем, аварийным знаком, аптечкой с медикаментами.</w:t>
            </w:r>
          </w:p>
        </w:tc>
      </w:tr>
      <w:tr>
        <w:trPr>
          <w:trHeight w:val="477" w:hRule="atLeast"/>
        </w:trPr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40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40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/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33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Учет времени</w:t>
            </w:r>
          </w:p>
        </w:tc>
        <w:tc>
          <w:tcPr>
            <w:tcW w:w="100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Учет времени эксплуатации ТС производится по факту отработанного времени, указанному в путевых листах, подписанных Заказчиком</w:t>
            </w:r>
          </w:p>
        </w:tc>
      </w:tr>
      <w:tr>
        <w:trPr/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40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33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услуг</w:t>
            </w:r>
          </w:p>
        </w:tc>
        <w:tc>
          <w:tcPr>
            <w:tcW w:w="10065" w:type="dxa"/>
            <w:tcBorders/>
          </w:tcPr>
          <w:p>
            <w:pPr>
              <w:pStyle w:val="Normal"/>
              <w:widowControl w:val="false"/>
              <w:tabs>
                <w:tab w:val="clear" w:pos="284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считаются оказанными Исполнителем и принятыми Заказчиком с момента подписания Сторонами Акта сдачи-приемки Услуг с приложением путевых листов</w:t>
            </w:r>
          </w:p>
        </w:tc>
      </w:tr>
      <w:tr>
        <w:trPr/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40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</w:tr>
      <w:tr>
        <w:trPr/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335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Оформление документов по закупке</w:t>
            </w:r>
          </w:p>
        </w:tc>
        <w:tc>
          <w:tcPr>
            <w:tcW w:w="100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Акта сдачи-приемки Услуг должен быть предоставлен Исполнителем по окончании отчетного месяца, в котором были оказаны услуги в 2-х экземплярах с приложением путевых листов</w:t>
            </w:r>
          </w:p>
        </w:tc>
      </w:tr>
      <w:tr>
        <w:trPr/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335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284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065" w:type="dxa"/>
            <w:tcBorders/>
          </w:tcPr>
          <w:p>
            <w:pPr>
              <w:pStyle w:val="Normal"/>
              <w:widowControl w:val="false"/>
              <w:tabs>
                <w:tab w:val="clear" w:pos="284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представить Заказчику счет-фактуру в течение 5 (пяти) календарных дней с даты подписания Сторонами Акта сдачи-приемки Услуг</w:t>
            </w:r>
          </w:p>
        </w:tc>
      </w:tr>
      <w:tr>
        <w:trPr>
          <w:trHeight w:val="760" w:hRule="atLeast"/>
        </w:trPr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40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>
        <w:trPr>
          <w:trHeight w:val="1156" w:hRule="atLeast"/>
        </w:trPr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33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</w:t>
            </w:r>
          </w:p>
        </w:tc>
        <w:tc>
          <w:tcPr>
            <w:tcW w:w="10065" w:type="dxa"/>
            <w:tcBorders/>
          </w:tcPr>
          <w:p>
            <w:pPr>
              <w:pStyle w:val="Normal"/>
              <w:widowControl w:val="false"/>
              <w:tabs>
                <w:tab w:val="clear" w:pos="284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Соблюдать Правила по охране труда на автомобильном транспорте (утв. приказом Минтруда России от 18.12.2020 №871н</w:t>
            </w:r>
          </w:p>
          <w:p>
            <w:pPr>
              <w:pStyle w:val="Normal"/>
              <w:widowControl w:val="false"/>
              <w:tabs>
                <w:tab w:val="clear" w:pos="284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Оформлять путевые листы в соответствии с требованиями Приказа № 390 от 28 сентября 2022 года Министерства транспорта Российской Федерации</w:t>
            </w:r>
          </w:p>
        </w:tc>
      </w:tr>
      <w:tr>
        <w:trPr>
          <w:trHeight w:val="861" w:hRule="atLeast"/>
        </w:trPr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40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>
        <w:trPr>
          <w:trHeight w:val="1115" w:hRule="atLeast"/>
        </w:trPr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335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Ответственность Исполнителя</w:t>
            </w:r>
          </w:p>
        </w:tc>
        <w:tc>
          <w:tcPr>
            <w:tcW w:w="100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несет ответственность за качество, работоспособность, функциональные свойства используемой для оказания услуг ТС в соответствии с настоящими техническими требованиями и действующими нормативными актами РФ.</w:t>
            </w:r>
          </w:p>
        </w:tc>
      </w:tr>
      <w:tr>
        <w:trPr>
          <w:trHeight w:val="1631" w:hRule="atLeast"/>
        </w:trPr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335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0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невозможности предоставления техники, согласованной в Заявке Исполнитель обязан незамедлительно уведомить об этом Заказчика и по согласованию с ним предоставить подменную технику с аналогичными техническими характеристиками и на условиях, согласованных в Заявках. Время простоя, по причине неисправной техники, не оплачивается.</w:t>
            </w:r>
          </w:p>
        </w:tc>
      </w:tr>
      <w:tr>
        <w:trPr>
          <w:trHeight w:val="579" w:hRule="atLeast"/>
        </w:trPr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1440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>
        <w:trPr>
          <w:trHeight w:val="614" w:hRule="atLeast"/>
        </w:trPr>
        <w:tc>
          <w:tcPr>
            <w:tcW w:w="10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5.1.</w:t>
            </w:r>
          </w:p>
        </w:tc>
        <w:tc>
          <w:tcPr>
            <w:tcW w:w="24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1197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для исполнения договора должен иметь ТС в собственности или на праве аренды</w:t>
            </w:r>
          </w:p>
        </w:tc>
      </w:tr>
      <w:tr>
        <w:trPr>
          <w:trHeight w:val="354" w:hRule="atLeast"/>
        </w:trPr>
        <w:tc>
          <w:tcPr>
            <w:tcW w:w="1022" w:type="dxa"/>
            <w:tcBorders/>
            <w:vAlign w:val="center"/>
          </w:tcPr>
          <w:p>
            <w:pPr>
              <w:pStyle w:val="ListParagraph"/>
              <w:widowControl w:val="false"/>
              <w:suppressAutoHyphens w:val="false"/>
              <w:spacing w:before="0" w:after="0"/>
              <w:ind w:left="0" w:hanging="0"/>
              <w:contextualSpacing w:val="false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1440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</w:tr>
      <w:tr>
        <w:trPr>
          <w:trHeight w:val="528" w:hRule="atLeast"/>
        </w:trPr>
        <w:tc>
          <w:tcPr>
            <w:tcW w:w="10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6.1.</w:t>
            </w:r>
          </w:p>
        </w:tc>
        <w:tc>
          <w:tcPr>
            <w:tcW w:w="4335" w:type="dxa"/>
            <w:gridSpan w:val="2"/>
            <w:tcBorders/>
            <w:vAlign w:val="center"/>
          </w:tcPr>
          <w:p>
            <w:pPr>
              <w:pStyle w:val="Style30"/>
              <w:keepNext w:val="false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Стоимость за 1 маш/час (смену; км)</w:t>
            </w:r>
          </w:p>
        </w:tc>
        <w:tc>
          <w:tcPr>
            <w:tcW w:w="10065" w:type="dxa"/>
            <w:tcBorders/>
            <w:vAlign w:val="center"/>
          </w:tcPr>
          <w:p>
            <w:pPr>
              <w:pStyle w:val="Style30"/>
              <w:keepNext w:val="false"/>
              <w:widowControl w:val="false"/>
              <w:suppressAutoHyphens w:val="true"/>
              <w:spacing w:before="0" w:after="0"/>
              <w:jc w:val="both"/>
              <w:rPr>
                <w:rFonts w:eastAsia="Times New Roman"/>
                <w:lang w:eastAsia="ru-RU"/>
              </w:rPr>
            </w:pPr>
            <w:bookmarkStart w:id="33" w:name="_Toc125982018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По каждой единице ТС является фиксированной на протяжении всего срока действия договора</w:t>
            </w:r>
            <w:bookmarkEnd w:id="33"/>
          </w:p>
        </w:tc>
      </w:tr>
    </w:tbl>
    <w:p>
      <w:pPr>
        <w:pStyle w:val="Normal"/>
        <w:jc w:val="both"/>
        <w:rPr>
          <w:sz w:val="24"/>
          <w:szCs w:val="24"/>
          <w:lang w:eastAsia="x-none"/>
        </w:rPr>
      </w:pPr>
      <w:r>
        <w:rPr/>
      </w:r>
    </w:p>
    <w:sectPr>
      <w:headerReference w:type="default" r:id="rId6"/>
      <w:headerReference w:type="first" r:id="rId7"/>
      <w:footerReference w:type="default" r:id="rId8"/>
      <w:footerReference w:type="first" r:id="rId9"/>
      <w:type w:val="nextPage"/>
      <w:pgSz w:orient="landscape" w:w="16838" w:h="11906"/>
      <w:pgMar w:left="567" w:right="851" w:gutter="0" w:header="567" w:top="1134" w:footer="284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8673215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49473F9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49473F9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8"/>
        <w:b/>
        <w:szCs w:val="28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131"/>
        </w:tabs>
        <w:ind w:left="1355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284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284"/>
        <w:tab w:val="left" w:pos="0" w:leader="none"/>
      </w:tabs>
      <w:spacing w:before="120" w:after="60"/>
      <w:ind w:left="794" w:hanging="51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Style24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3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b41520"/>
    <w:rPr>
      <w:rFonts w:ascii="Calibri" w:hAnsi="Calibri" w:eastAsia="Calibri" w:cs="Arial" w:cstheme="minorBidi" w:eastAsiaTheme="minorHAnsi"/>
      <w:sz w:val="22"/>
      <w:szCs w:val="21"/>
      <w:lang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a1545"/>
    <w:rPr>
      <w:sz w:val="28"/>
      <w:szCs w:val="28"/>
    </w:rPr>
  </w:style>
  <w:style w:type="character" w:styleId="Style16" w:customStyle="1">
    <w:name w:val="Ссылка указателя"/>
    <w:qFormat/>
    <w:rPr/>
  </w:style>
  <w:style w:type="character" w:styleId="Style17" w:customStyle="1">
    <w:name w:val="Основной текст_"/>
    <w:link w:val="111"/>
    <w:uiPriority w:val="99"/>
    <w:qFormat/>
    <w:locked/>
    <w:rsid w:val="001419cf"/>
    <w:rPr>
      <w:sz w:val="28"/>
      <w:szCs w:val="28"/>
      <w:shd w:fill="FFFFFF" w:val="clear"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" w:customStyle="1">
    <w:name w:val="index heading11"/>
    <w:basedOn w:val="Title"/>
    <w:qFormat/>
    <w:pPr/>
    <w:rPr/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284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284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2"/>
    <w:qFormat/>
    <w:rsid w:val="0076353a"/>
    <w:pPr>
      <w:tabs>
        <w:tab w:val="clear" w:pos="284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284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966035"/>
    <w:pPr>
      <w:tabs>
        <w:tab w:val="clear" w:pos="284"/>
        <w:tab w:val="left" w:pos="1120" w:leader="none"/>
        <w:tab w:val="right" w:pos="9911" w:leader="dot"/>
      </w:tabs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99"/>
    <w:qFormat/>
    <w:pPr>
      <w:spacing w:before="0" w:after="200"/>
      <w:ind w:left="720" w:hanging="0"/>
      <w:contextualSpacing/>
    </w:pPr>
    <w:rPr/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rsid w:val="00d22f6d"/>
    <w:pPr>
      <w:widowControl w:val="false"/>
      <w:tabs>
        <w:tab w:val="clear" w:pos="284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3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b41520"/>
    <w:pPr/>
    <w:rPr>
      <w:rFonts w:ascii="Calibri" w:hAnsi="Calibri" w:eastAsia="Calibri" w:cs="Arial" w:cstheme="minorBidi" w:eastAsiaTheme="minorHAnsi"/>
      <w:sz w:val="22"/>
      <w:szCs w:val="21"/>
      <w:lang w:eastAsia="en-US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paragraph" w:styleId="111" w:customStyle="1">
    <w:name w:val="Основной текст1"/>
    <w:basedOn w:val="Normal"/>
    <w:link w:val="Style17"/>
    <w:uiPriority w:val="99"/>
    <w:qFormat/>
    <w:rsid w:val="001419cf"/>
    <w:pPr>
      <w:widowControl w:val="false"/>
      <w:shd w:val="clear" w:color="auto" w:fill="FFFFFF"/>
      <w:suppressAutoHyphens w:val="false"/>
      <w:spacing w:lineRule="exact" w:line="302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e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C0F83-12B3-4BF0-9A9C-08038C07E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Application>AlterOffice/3.4.0.9$Linux_X86_64 LibreOffice_project/b8daf9e823b1a5463a2f48435ddc2e8696e7d4fc</Application>
  <AppVersion>15.0000</AppVersion>
  <Pages>8</Pages>
  <Words>1304</Words>
  <Characters>8868</Characters>
  <CharactersWithSpaces>11113</CharactersWithSpaces>
  <Paragraphs>187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2023-09-15T08:35:00Z</dcterms:created>
  <dc:creator>Быстров Олег Геннадьевич</dc:creator>
  <dc:description/>
  <dc:language>ru-RU</dc:language>
  <cp:lastModifiedBy>zavylovamv@corp.gidroogk.com</cp:lastModifiedBy>
  <cp:lastPrinted>2023-10-17T11:15:00Z</cp:lastPrinted>
  <dcterms:modified xsi:type="dcterms:W3CDTF">2026-08-04T16:59:40Z</dcterms:modified>
  <cp:revision>25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